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color w:val="auto"/>
        </w:rPr>
        <w:t>WASHINGTON, D.C. 20549</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62" w:lineRule="exact"/>
        <w:rPr>
          <w:sz w:val="24"/>
          <w:szCs w:val="24"/>
          <w:color w:val="auto"/>
        </w:rPr>
      </w:pPr>
    </w:p>
    <w:p>
      <w:pPr>
        <w:jc w:val="center"/>
        <w:ind w:left="4320" w:right="2000" w:hanging="2313"/>
        <w:spacing w:after="0" w:line="441" w:lineRule="auto"/>
        <w:tabs>
          <w:tab w:leader="none" w:pos="2169" w:val="left"/>
        </w:tabs>
        <w:numPr>
          <w:ilvl w:val="1"/>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 xml:space="preserve">ANNUAL REPORT PURSUANT TO SECTION 13 OR 15 (d) OF THE SECURITIES EXCHANGE ACT OF 1934 </w:t>
      </w:r>
      <w:r>
        <w:rPr>
          <w:rFonts w:ascii="Times New Roman" w:cs="Times New Roman" w:eastAsia="Times New Roman" w:hAnsi="Times New Roman"/>
          <w:sz w:val="14"/>
          <w:szCs w:val="14"/>
          <w:color w:val="auto"/>
        </w:rPr>
        <w:t>For the fiscal year ended December 31, 2025</w:t>
      </w:r>
    </w:p>
    <w:p>
      <w:pPr>
        <w:spacing w:after="0" w:line="29" w:lineRule="exact"/>
        <w:rPr>
          <w:rFonts w:ascii="MS PGothic" w:cs="MS PGothic" w:eastAsia="MS PGothic" w:hAnsi="MS PGothic"/>
          <w:sz w:val="14"/>
          <w:szCs w:val="14"/>
          <w:color w:val="auto"/>
          <w:highlight w:val="black"/>
        </w:rPr>
      </w:pPr>
    </w:p>
    <w:p>
      <w:pPr>
        <w:jc w:val="center"/>
        <w:ind w:left="4040" w:right="1860" w:hanging="2163"/>
        <w:spacing w:after="0" w:line="454" w:lineRule="auto"/>
        <w:tabs>
          <w:tab w:leader="none" w:pos="2041"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________ to _________</w:t>
      </w:r>
    </w:p>
    <w:p>
      <w:pPr>
        <w:ind w:left="46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color w:val="auto"/>
        </w:rPr>
        <w:t>Commission file number 1-11430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MINERALS TECHNOLOGIES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tcBorders>
              <w:bottom w:val="single" w:sz="8" w:color="auto"/>
            </w:tcBorders>
          </w:tcPr>
          <w:p>
            <w:pPr>
              <w:jc w:val="center"/>
              <w:ind w:left="1654"/>
              <w:spacing w:after="0"/>
              <w:rPr>
                <w:sz w:val="20"/>
                <w:szCs w:val="20"/>
                <w:color w:val="auto"/>
              </w:rPr>
            </w:pPr>
            <w:r>
              <w:rPr>
                <w:rFonts w:ascii="Times New Roman" w:cs="Times New Roman" w:eastAsia="Times New Roman" w:hAnsi="Times New Roman"/>
                <w:sz w:val="13"/>
                <w:szCs w:val="13"/>
                <w:color w:val="auto"/>
                <w:w w:val="96"/>
              </w:rPr>
              <w:t>Delaware</w:t>
            </w:r>
          </w:p>
        </w:tc>
        <w:tc>
          <w:tcPr>
            <w:tcW w:w="1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jc w:val="center"/>
              <w:ind w:right="1594"/>
              <w:spacing w:after="0"/>
              <w:rPr>
                <w:sz w:val="20"/>
                <w:szCs w:val="20"/>
                <w:color w:val="auto"/>
              </w:rPr>
            </w:pPr>
            <w:r>
              <w:rPr>
                <w:rFonts w:ascii="Times New Roman" w:cs="Times New Roman" w:eastAsia="Times New Roman" w:hAnsi="Times New Roman"/>
                <w:sz w:val="13"/>
                <w:szCs w:val="13"/>
                <w:color w:val="auto"/>
                <w:w w:val="95"/>
              </w:rPr>
              <w:t>25-1190717</w:t>
            </w:r>
          </w:p>
        </w:tc>
      </w:tr>
      <w:tr>
        <w:trPr>
          <w:trHeight w:val="158"/>
        </w:trPr>
        <w:tc>
          <w:tcPr>
            <w:tcW w:w="55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20" w:type="dxa"/>
            <w:vAlign w:val="bottom"/>
          </w:tcPr>
          <w:p>
            <w:pPr>
              <w:jc w:val="center"/>
              <w:ind w:right="1614"/>
              <w:spacing w:after="0"/>
              <w:rPr>
                <w:sz w:val="20"/>
                <w:szCs w:val="20"/>
                <w:color w:val="auto"/>
              </w:rPr>
            </w:pPr>
            <w:r>
              <w:rPr>
                <w:rFonts w:ascii="Times New Roman" w:cs="Times New Roman" w:eastAsia="Times New Roman" w:hAnsi="Times New Roman"/>
                <w:sz w:val="13"/>
                <w:szCs w:val="13"/>
                <w:color w:val="auto"/>
                <w:w w:val="97"/>
              </w:rPr>
              <w:t>(I.R.S. Employer Identification Number)</w:t>
            </w:r>
          </w:p>
        </w:tc>
      </w:tr>
      <w:tr>
        <w:trPr>
          <w:trHeight w:val="221"/>
        </w:trPr>
        <w:tc>
          <w:tcPr>
            <w:tcW w:w="3800" w:type="dxa"/>
            <w:vAlign w:val="bottom"/>
          </w:tcPr>
          <w:p>
            <w:pPr>
              <w:jc w:val="center"/>
              <w:ind w:left="1654"/>
              <w:spacing w:after="0"/>
              <w:rPr>
                <w:sz w:val="20"/>
                <w:szCs w:val="20"/>
                <w:color w:val="auto"/>
              </w:rPr>
            </w:pPr>
            <w:r>
              <w:rPr>
                <w:rFonts w:ascii="Times New Roman" w:cs="Times New Roman" w:eastAsia="Times New Roman" w:hAnsi="Times New Roman"/>
                <w:sz w:val="13"/>
                <w:szCs w:val="13"/>
                <w:b w:val="1"/>
                <w:bCs w:val="1"/>
                <w:color w:val="auto"/>
                <w:w w:val="96"/>
              </w:rPr>
              <w:t>622 Third Avenue, 38th Floor</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155"/>
        </w:trPr>
        <w:tc>
          <w:tcPr>
            <w:tcW w:w="3800" w:type="dxa"/>
            <w:vAlign w:val="bottom"/>
            <w:tcBorders>
              <w:bottom w:val="single" w:sz="8" w:color="auto"/>
            </w:tcBorders>
          </w:tcPr>
          <w:p>
            <w:pPr>
              <w:jc w:val="center"/>
              <w:ind w:left="1654"/>
              <w:spacing w:after="0"/>
              <w:rPr>
                <w:sz w:val="20"/>
                <w:szCs w:val="20"/>
                <w:color w:val="auto"/>
              </w:rPr>
            </w:pPr>
            <w:r>
              <w:rPr>
                <w:rFonts w:ascii="Times New Roman" w:cs="Times New Roman" w:eastAsia="Times New Roman" w:hAnsi="Times New Roman"/>
                <w:sz w:val="13"/>
                <w:szCs w:val="13"/>
                <w:b w:val="1"/>
                <w:bCs w:val="1"/>
                <w:color w:val="auto"/>
                <w:w w:val="93"/>
              </w:rPr>
              <w:t>New York, New York</w:t>
            </w:r>
          </w:p>
        </w:tc>
        <w:tc>
          <w:tcPr>
            <w:tcW w:w="1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jc w:val="center"/>
              <w:ind w:right="1614"/>
              <w:spacing w:after="0"/>
              <w:rPr>
                <w:sz w:val="20"/>
                <w:szCs w:val="20"/>
                <w:color w:val="auto"/>
              </w:rPr>
            </w:pPr>
            <w:r>
              <w:rPr>
                <w:rFonts w:ascii="Times New Roman" w:cs="Times New Roman" w:eastAsia="Times New Roman" w:hAnsi="Times New Roman"/>
                <w:sz w:val="13"/>
                <w:szCs w:val="13"/>
                <w:color w:val="auto"/>
                <w:w w:val="98"/>
              </w:rPr>
              <w:t>10017-6707</w:t>
            </w:r>
          </w:p>
        </w:tc>
      </w:tr>
      <w:tr>
        <w:trPr>
          <w:trHeight w:val="158"/>
        </w:trPr>
        <w:tc>
          <w:tcPr>
            <w:tcW w:w="3800" w:type="dxa"/>
            <w:vAlign w:val="bottom"/>
          </w:tcPr>
          <w:p>
            <w:pPr>
              <w:jc w:val="center"/>
              <w:ind w:left="1654"/>
              <w:spacing w:after="0"/>
              <w:rPr>
                <w:sz w:val="20"/>
                <w:szCs w:val="20"/>
                <w:color w:val="auto"/>
              </w:rPr>
            </w:pPr>
            <w:r>
              <w:rPr>
                <w:rFonts w:ascii="Times New Roman" w:cs="Times New Roman" w:eastAsia="Times New Roman" w:hAnsi="Times New Roman"/>
                <w:sz w:val="13"/>
                <w:szCs w:val="13"/>
                <w:color w:val="auto"/>
                <w:w w:val="97"/>
              </w:rPr>
              <w:t>(Address of principal executive office)</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20" w:type="dxa"/>
            <w:vAlign w:val="bottom"/>
          </w:tcPr>
          <w:p>
            <w:pPr>
              <w:jc w:val="center"/>
              <w:ind w:right="1594"/>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23"/>
        </w:trPr>
        <w:tc>
          <w:tcPr>
            <w:tcW w:w="3800" w:type="dxa"/>
            <w:vAlign w:val="bottom"/>
          </w:tcPr>
          <w:p>
            <w:pPr>
              <w:spacing w:after="0"/>
              <w:rPr>
                <w:sz w:val="19"/>
                <w:szCs w:val="19"/>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(212) 878-1800</w:t>
            </w:r>
          </w:p>
        </w:tc>
        <w:tc>
          <w:tcPr>
            <w:tcW w:w="3820" w:type="dxa"/>
            <w:vAlign w:val="bottom"/>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820" w:type="dxa"/>
            <w:vAlign w:val="bottom"/>
          </w:tcPr>
          <w:p>
            <w:pPr>
              <w:spacing w:after="0"/>
              <w:rPr>
                <w:sz w:val="14"/>
                <w:szCs w:val="14"/>
                <w:color w:val="auto"/>
              </w:rPr>
            </w:pPr>
          </w:p>
        </w:tc>
      </w:tr>
      <w:tr>
        <w:trPr>
          <w:trHeight w:val="289"/>
        </w:trPr>
        <w:tc>
          <w:tcPr>
            <w:tcW w:w="380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20" w:type="dxa"/>
            <w:vAlign w:val="bottom"/>
          </w:tcPr>
          <w:p>
            <w:pPr>
              <w:spacing w:after="0"/>
              <w:rPr>
                <w:sz w:val="24"/>
                <w:szCs w:val="24"/>
                <w:color w:val="auto"/>
              </w:rPr>
            </w:pPr>
          </w:p>
        </w:tc>
      </w:tr>
      <w:tr>
        <w:trPr>
          <w:trHeight w:val="284"/>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$0.10 par value</w:t>
            </w: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MTX</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 LLC</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3"/>
          <w:szCs w:val="13"/>
          <w:u w:val="single" w:color="auto"/>
          <w:color w:val="auto"/>
        </w:rPr>
        <w:t>None</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8" w:lineRule="exact"/>
        <w:rPr>
          <w:sz w:val="24"/>
          <w:szCs w:val="24"/>
          <w:color w:val="auto"/>
        </w:rPr>
      </w:pPr>
    </w:p>
    <w:p>
      <w:pPr>
        <w:ind w:left="5280"/>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Yes </w:t>
      </w:r>
      <w:r>
        <w:rPr>
          <w:rFonts w:ascii="Arial Unicode MS" w:cs="Arial Unicode MS" w:eastAsia="Arial Unicode MS" w:hAnsi="Arial Unicode MS"/>
          <w:sz w:val="13"/>
          <w:szCs w:val="13"/>
          <w:color w:val="auto"/>
          <w:highlight w:val="black"/>
        </w:rPr>
        <w:t>☒</w:t>
      </w:r>
      <w:r>
        <w:rPr>
          <w:rFonts w:ascii="Times New Roman" w:cs="Times New Roman" w:eastAsia="Times New Roman" w:hAnsi="Times New Roman"/>
          <w:sz w:val="13"/>
          <w:szCs w:val="13"/>
          <w:b w:val="1"/>
          <w:bCs w:val="1"/>
          <w:color w:val="auto"/>
        </w:rPr>
        <w:t xml:space="preserve"> No </w:t>
      </w:r>
      <w:r>
        <w:rPr>
          <w:rFonts w:ascii="Arial Unicode MS" w:cs="Arial Unicode MS" w:eastAsia="Arial Unicode MS" w:hAnsi="Arial Unicode MS"/>
          <w:sz w:val="13"/>
          <w:szCs w:val="13"/>
          <w:color w:val="auto"/>
          <w:highlight w:val="black"/>
        </w:rPr>
        <w:t>☐</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Registrant is not required to file reports pursuant to Section 13 or 15(d) of the Act.</w:t>
      </w:r>
    </w:p>
    <w:p>
      <w:pPr>
        <w:spacing w:after="0" w:line="8" w:lineRule="exact"/>
        <w:rPr>
          <w:sz w:val="24"/>
          <w:szCs w:val="24"/>
          <w:color w:val="auto"/>
        </w:rPr>
      </w:pPr>
    </w:p>
    <w:p>
      <w:pPr>
        <w:jc w:val="center"/>
        <w:ind w:right="-1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Yes </w:t>
      </w:r>
      <w:r>
        <w:rPr>
          <w:rFonts w:ascii="Arial Unicode MS" w:cs="Arial Unicode MS" w:eastAsia="Arial Unicode MS" w:hAnsi="Arial Unicode MS"/>
          <w:sz w:val="13"/>
          <w:szCs w:val="13"/>
          <w:color w:val="auto"/>
          <w:highlight w:val="black"/>
        </w:rPr>
        <w:t>☐</w:t>
      </w:r>
      <w:r>
        <w:rPr>
          <w:rFonts w:ascii="Times New Roman" w:cs="Times New Roman" w:eastAsia="Times New Roman" w:hAnsi="Times New Roman"/>
          <w:sz w:val="13"/>
          <w:szCs w:val="13"/>
          <w:b w:val="1"/>
          <w:bCs w:val="1"/>
          <w:color w:val="auto"/>
        </w:rPr>
        <w:t xml:space="preserve"> No </w:t>
      </w:r>
      <w:r>
        <w:rPr>
          <w:rFonts w:ascii="Arial Unicode MS" w:cs="Arial Unicode MS" w:eastAsia="Arial Unicode MS" w:hAnsi="Arial Unicode MS"/>
          <w:sz w:val="13"/>
          <w:szCs w:val="13"/>
          <w:color w:val="auto"/>
          <w:highlight w:val="black"/>
        </w:rPr>
        <w:t>☒</w:t>
      </w:r>
    </w:p>
    <w:p>
      <w:pPr>
        <w:spacing w:after="0" w:line="8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Yes </w:t>
      </w:r>
      <w:r>
        <w:rPr>
          <w:rFonts w:ascii="Arial Unicode MS" w:cs="Arial Unicode MS" w:eastAsia="Arial Unicode MS" w:hAnsi="Arial Unicode MS"/>
          <w:sz w:val="13"/>
          <w:szCs w:val="13"/>
          <w:color w:val="auto"/>
          <w:highlight w:val="black"/>
        </w:rPr>
        <w:t>☒</w:t>
      </w:r>
      <w:r>
        <w:rPr>
          <w:rFonts w:ascii="Times New Roman" w:cs="Times New Roman" w:eastAsia="Times New Roman" w:hAnsi="Times New Roman"/>
          <w:sz w:val="13"/>
          <w:szCs w:val="13"/>
          <w:b w:val="1"/>
          <w:bCs w:val="1"/>
          <w:color w:val="auto"/>
        </w:rPr>
        <w:t xml:space="preserve"> No </w:t>
      </w:r>
      <w:r>
        <w:rPr>
          <w:rFonts w:ascii="Arial Unicode MS" w:cs="Arial Unicode MS" w:eastAsia="Arial Unicode MS" w:hAnsi="Arial Unicode MS"/>
          <w:sz w:val="13"/>
          <w:szCs w:val="13"/>
          <w:color w:val="auto"/>
          <w:highlight w:val="black"/>
        </w:rPr>
        <w:t>☐</w:t>
      </w:r>
    </w:p>
    <w:p>
      <w:pPr>
        <w:spacing w:after="0" w:line="8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19"/>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Yes </w:t>
      </w:r>
      <w:r>
        <w:rPr>
          <w:rFonts w:ascii="Arial Unicode MS" w:cs="Arial Unicode MS" w:eastAsia="Arial Unicode MS" w:hAnsi="Arial Unicode MS"/>
          <w:sz w:val="13"/>
          <w:szCs w:val="13"/>
          <w:color w:val="auto"/>
          <w:highlight w:val="black"/>
        </w:rPr>
        <w:t>☒</w:t>
      </w:r>
      <w:r>
        <w:rPr>
          <w:rFonts w:ascii="Times New Roman" w:cs="Times New Roman" w:eastAsia="Times New Roman" w:hAnsi="Times New Roman"/>
          <w:sz w:val="13"/>
          <w:szCs w:val="13"/>
          <w:b w:val="1"/>
          <w:bCs w:val="1"/>
          <w:color w:val="auto"/>
        </w:rPr>
        <w:t xml:space="preserve"> No </w:t>
      </w:r>
      <w:r>
        <w:rPr>
          <w:rFonts w:ascii="Arial Unicode MS" w:cs="Arial Unicode MS" w:eastAsia="Arial Unicode MS" w:hAnsi="Arial Unicode MS"/>
          <w:sz w:val="13"/>
          <w:szCs w:val="13"/>
          <w:color w:val="auto"/>
          <w:highlight w:val="black"/>
        </w:rPr>
        <w:t>☐</w:t>
      </w:r>
    </w:p>
    <w:p>
      <w:pPr>
        <w:spacing w:after="0" w:line="86" w:lineRule="exact"/>
        <w:rPr>
          <w:sz w:val="24"/>
          <w:szCs w:val="24"/>
          <w:color w:val="auto"/>
        </w:rPr>
      </w:pPr>
    </w:p>
    <w:p>
      <w:pPr>
        <w:jc w:val="both"/>
        <w:ind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9" w:right="339" w:bottom="1440" w:gutter="0" w:footer="0" w:header="0"/>
        </w:sectPr>
      </w:pPr>
    </w:p>
    <w:p>
      <w:pPr>
        <w:spacing w:after="0" w:line="1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Large Accelerated Filer </w:t>
      </w:r>
      <w:r>
        <w:rPr>
          <w:rFonts w:ascii="Arial Unicode MS" w:cs="Arial Unicode MS" w:eastAsia="Arial Unicode MS" w:hAnsi="Arial Unicode MS"/>
          <w:sz w:val="12"/>
          <w:szCs w:val="12"/>
          <w:color w:val="auto"/>
          <w:highlight w:val="black"/>
        </w:rPr>
        <w:t>☒</w:t>
      </w:r>
    </w:p>
    <w:p>
      <w:pPr>
        <w:spacing w:after="0" w:line="26"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Non-accelerated Filer </w:t>
      </w:r>
      <w:r>
        <w:rPr>
          <w:rFonts w:ascii="Arial Unicode MS" w:cs="Arial Unicode MS" w:eastAsia="Arial Unicode MS" w:hAnsi="Arial Unicode MS"/>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Accelerated Filer </w:t>
      </w:r>
      <w:r>
        <w:rPr>
          <w:rFonts w:ascii="Arial Unicode MS" w:cs="Arial Unicode MS" w:eastAsia="Arial Unicode MS" w:hAnsi="Arial Unicode MS"/>
          <w:sz w:val="13"/>
          <w:szCs w:val="13"/>
          <w:color w:val="auto"/>
          <w:highlight w:val="black"/>
        </w:rPr>
        <w:t>☐</w:t>
      </w:r>
    </w:p>
    <w:p>
      <w:pPr>
        <w:spacing w:after="0" w:line="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Smaller Reporting Company </w:t>
      </w:r>
      <w:r>
        <w:rPr>
          <w:rFonts w:ascii="Arial Unicode MS" w:cs="Arial Unicode MS" w:eastAsia="Arial Unicode MS" w:hAnsi="Arial Unicode MS"/>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2020"/>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Emerging Growth Company </w:t>
      </w:r>
      <w:r>
        <w:rPr>
          <w:rFonts w:ascii="Arial Unicode MS" w:cs="Arial Unicode MS" w:eastAsia="Arial Unicode MS" w:hAnsi="Arial Unicode MS"/>
          <w:sz w:val="12"/>
          <w:szCs w:val="12"/>
          <w:color w:val="auto"/>
          <w:highlight w:val="black"/>
        </w:rPr>
        <w:t>☐</w:t>
      </w:r>
    </w:p>
    <w:p>
      <w:pPr>
        <w:spacing w:after="0" w:line="281" w:lineRule="exact"/>
        <w:rPr>
          <w:sz w:val="24"/>
          <w:szCs w:val="24"/>
          <w:color w:val="auto"/>
        </w:rPr>
      </w:pPr>
    </w:p>
    <w:p>
      <w:pPr>
        <w:sectPr>
          <w:pgSz w:w="11900" w:h="16838" w:orient="portrait"/>
          <w:cols w:equalWidth="0" w:num="3">
            <w:col w:w="3000" w:space="720"/>
            <w:col w:w="3100" w:space="720"/>
            <w:col w:w="3700"/>
          </w:cols>
          <w:pgMar w:left="320" w:top="869" w:right="339" w:bottom="1440" w:gutter="0" w:footer="0" w:header="0"/>
          <w:type w:val="continuous"/>
        </w:sectPr>
      </w:pPr>
    </w:p>
    <w:p>
      <w:pPr>
        <w:jc w:val="both"/>
        <w:spacing w:after="0" w:line="175" w:lineRule="exact"/>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2"/>
          <w:szCs w:val="12"/>
          <w:color w:val="auto"/>
        </w:rPr>
        <w:t>f an emerging growth company, indicate by check mark if the registrant has elected not to use the extended transition period for complying with any new or revised financial accounting standards provided pursuant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 xml:space="preserve">Section 13(a) of the Exchange Act. </w:t>
      </w:r>
      <w:r>
        <w:rPr>
          <w:rFonts w:ascii="Arial Unicode MS" w:cs="Arial Unicode MS" w:eastAsia="Arial Unicode MS" w:hAnsi="Arial Unicode MS"/>
          <w:sz w:val="12"/>
          <w:szCs w:val="12"/>
          <w:color w:val="auto"/>
        </w:rPr>
        <w:t>☐</w:t>
      </w:r>
    </w:p>
    <w:p>
      <w:pPr>
        <w:spacing w:after="0" w:line="87"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2"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72"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Arial Unicode MS" w:cs="Arial Unicode MS" w:eastAsia="Arial Unicode MS" w:hAnsi="Arial Unicode MS"/>
          <w:sz w:val="13"/>
          <w:szCs w:val="13"/>
          <w:color w:val="auto"/>
          <w:highlight w:val="black"/>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Arial Unicode MS" w:cs="Arial Unicode MS" w:eastAsia="Arial Unicode MS" w:hAnsi="Arial Unicode MS"/>
          <w:sz w:val="13"/>
          <w:szCs w:val="13"/>
          <w:color w:val="auto"/>
          <w:highlight w:val="black"/>
        </w:rPr>
        <w:t>☒</w:t>
      </w:r>
    </w:p>
    <w:p>
      <w:pPr>
        <w:spacing w:after="0" w:line="124"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3"/>
          <w:szCs w:val="13"/>
          <w:color w:val="auto"/>
        </w:rPr>
        <w:t>As of June 29, 2025, the aggregate market value of the voting stock held by non-affiliates of the Registrant (based upon the closing price at which the stock was sold as of June 27, 2025) was approximately $1.2 billion. Solely for the purposes of this calculation, shares of common stock held by officers, directors, and beneficial owners of 10% or more of the outstanding common stock have been excluded in that such persons may be deemed to be affiliates. This determination of affiliate status is not necessarily a conclusive determination for other purposes.</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6, 2026, the Registrant had outstanding 31,048,585 shares of common stock, all of one class.</w:t>
      </w:r>
    </w:p>
    <w:p>
      <w:pPr>
        <w:spacing w:after="0" w:line="11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its 2026 Annual Meeting of Stockholders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1"/>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MINERALS TECHNOLOGIES INC.</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gridSpan w:val="11"/>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2025 FORM 10-K ANNUAL REPORT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96"/>
        </w:trPr>
        <w:tc>
          <w:tcPr>
            <w:tcW w:w="104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the Registrant’s Common Equity, Related Stockholder Matters and Issuer Purchases of Equity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78"/>
        </w:trPr>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gridSpan w:val="15"/>
          </w:tcPr>
          <w:p>
            <w:pPr>
              <w:jc w:val="center"/>
              <w:ind w:left="4191"/>
              <w:spacing w:after="0"/>
              <w:rPr>
                <w:sz w:val="20"/>
                <w:szCs w:val="20"/>
                <w:color w:val="auto"/>
              </w:rPr>
            </w:pPr>
            <w:r>
              <w:rPr>
                <w:rFonts w:ascii="Times New Roman" w:cs="Times New Roman" w:eastAsia="Times New Roman" w:hAnsi="Times New Roman"/>
                <w:sz w:val="13"/>
                <w:szCs w:val="13"/>
                <w:color w:val="auto"/>
                <w:w w:val="91"/>
              </w:rPr>
              <w:t>2</w:t>
            </w:r>
          </w:p>
        </w:tc>
        <w:tc>
          <w:tcPr>
            <w:tcW w:w="5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Minerals Technologies Inc. (together with its subsidiaries, the “Company,” “MTI,” “we,” “us” or “our”) is a global, technology-driven specialty minerals company that develops, produces, and markets a wide range of minerals and mineral-based products and services. We are the world's largest producer of bentonite and a leading producer of calcium carbonate. Our products and minerals are an essential part of everyday life for millions of people around the world.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vertical integration extends from mine to market: we directly source minerals from our globally distributed reserves, transform them at our plants through proprietary technologies and applications into fit-for-purpose products, and market these products to customers across a range of industries. This process is driven by our world-class manufacturing, R&amp;D capabilities, efficient approach to new product development, and company-wide focus on innovation and Operational Excellence.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Company's operations are reflected in the following two reportable business segments under which we managed our operations, assessed performance, and reported earnings: Consumer &amp; Specialties and Engineered Solutions.</w:t>
      </w:r>
    </w:p>
    <w:p>
      <w:pPr>
        <w:spacing w:after="0" w:line="162"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The Consumer &amp; Specialties segment serves consumer end markets directly with mineral-to-market finished products and also provides specialty mineral-based solutions and technologies that are an essential component of our customers’ finished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-257175</wp:posOffset>
            </wp:positionV>
            <wp:extent cx="5143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43"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The Engineered Solutions segment serves industrial end markets with engineered systems, mineral blends, and technologies that are designed to improve our customers’ manufacturing processes and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-257175</wp:posOffset>
            </wp:positionV>
            <wp:extent cx="5143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focused on executing our growth strategy of expanding our business into faster-growing markets and geographies, strengthening our leadership positions in existing markets, and introducing innovative, high-value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percentage of our revenues generated from each segment for each of our last three fiscal years: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7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21 to the Consolidated Financial Statements for additional details on our two business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&amp; SPECIALTIES SEGMENT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&amp; Specialties segment provides technologically enhanced products to consumer-driven end markets, including mineral-to-market household products, as well as specialty additives that become functional components in a variety of consumer and industrial goods. This segment includes two product lines: Household &amp; Personal Care and Specialty Additives.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Household &amp; Personal Care Products and Markets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Household &amp; Personal Care product line delivers mineral-to-market products to a variety of consumer-oriented markets, including cat litter, personal care, fabric care, edible oil and renewable fuel purification, animal health, and agriculture. This product line uses a core technology that we call “Functional Additives,” which is the use of unique minerals and additives to deliver functionality to our products and our customers’ products.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cat litter products include sodium bentonite-based scoopable (clumping), lightweight, alternative, and non-clumping cat litters sold throughout North America, Europe, and Asia. The Company's cat litter products are marketed on a business-to-business basis under the SIVO™ global brand. The Company’s scoopable products’ clump-forming capability traps urine, reducing waste by allowing for easy removal of only the odor-producing elements from the litter box. The Company is a provider of private-label cat litter to retail partners, as well as a provider of packaged and bulk cat litter to globally recognized national brands. The Company’s internal transportation group provides logistics services and is a key component of our capability in supplying customers on a national basis. The Company has completed a number of acquisitions of cat litter manufacturers over the past several years in both the European and North American markets.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The Company also produces several other bentonite and leonardite-based proprietary solutions for consumer and industrial applications, such as: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Filtration media for edible oil and renewable fuels, including sustainable aviation fuels, for which the company's differentiated product allows for the targeted removal of specific contaminants.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-257810</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Natural bentonite feed additives to improve animals’ digestive health through gastrointestinal binding of mycotoxins.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-80645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Filtration media for beverage clarification.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-80645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Agricultural products to improve plant harvests, plant health, and crop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-80645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4"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In addition, the Company supplies fabric care products and additives consisting of high-grade, agglomerated bentonite and other mineral additives that perform as softening agents in certain powdered-detergent formulations or act as carriers for colorants, surfactants, and fragrances. These fabric care products are formulated to adapt to our customers’ changing technical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manufactures personal care ingredients for cosmetic anti-aging formulations and advanced delivery system technologies for the sustained release of retinoid and other actives in cosmetic, OTC, and prescription formulations. It also produces mineral ingredients providing improved feel and viscosity control in cosmetic formulations. Products range from ingredient sales to fully formulated finished goods.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Household &amp; Personal Care net sales were $512.8 million, $530.0 million, and $517.6 million for the years ended December 31,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Additives Products and Markets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Specialty Additives product line delivers mineral additives to a variety of consumer and industrial end markets, including paper and packaging, food and pharmaceutical, sealants and adhesives, paints and coatings, and plastics. This product line uses a core technology that we call “Crystal Engineering,” and involves proprietary processes to synthesize crystal type, size, and morphology to achieve specific functionality.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manufactures customized Precipitated Calcium Carbonate (PCC) and Ground Calcium Carbonate (GCC) products using proprietary processes for the paper, paperboard, and fiber-based packaging industry. Each product is designed to provide the optimum balance of paper properties including brightness, opacity, bulk, strength, and improved printability. The majority of this product line's sales to paper or packaging makers originate from “satellite” plants. A satellite plant is a manufacturing facility located near a paper or packaging mill thereby eliminating the cost of transporting product from remote production sites to the paper or packaging mill for our customers.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owns, operates, and maintains all of its satellite facilities and owns or licenses the related technology. Generally, the Company and its customers enter into long-term evergreen agreements, initially ten to fifteen years in length, pursuant to which the Company supplies substantially all of the customers' requirements. The Company is generally permitted to sell to third parties products produced at a satellite plant in excess of the host mill’s requirements.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Company offers mineral solutions for filler and coating applications in both containerboard and cartonboard packaging. Growth in the packaging segment is driven by trends in consumption, e-commerce, and demand for sustainable packaging solutions.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produces and sells a full range of specialized PCC products on a merchant basis for non-paper and packaging applications, including surface-treated and untreated grades of PCC to the polymer industry for use in automotive and construction applications, and to the adhesives industry. The Company’s PCC is also used by the pharmaceutical industries as a source of calcium, as a buffering agent in tablets, food applications, and as a mild abrasive in toothpaste.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 mines and processes GCC products at its reserves in the eastern and western parts of the United States. GCC is used and sold in the construction, automotive, and consumer markets in addition to packaging applications. Our high-quality limestone and dolomitic limestone are defined primarily by the chemistry and color characteristics of the ore bodies. We serve multiple markets from each of our operations, each of which has different requirements relating to a combination of chemical and physical properties.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Specialty Additives net sales were $584.9 million, $610.2 million, and $642.6 million for the years ended December 31, 2025, 2024, and 2023,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ENGINEERED SOLUTIONS SEGMENT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Engineered Solutions segment provides advanced process technologies and solutions that are designed to improve our customers’ manufacturing processes and projects. This segment includes two product lines: High-Temperature Technologies and Environmental &amp; Infrastructure.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High-Temperature Technologies Products and Markets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High-Temperature Technologies product line delivers mineral-based blends, technologies, and systems to the foundry, steel, glass, aluminum, and other high-temperature processing industries. This product line uses a core technology that we call “Engineered Blends” and is the development of tailored blends of specific minerals and additives to enhance customer processes and product performance.</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the foundry industry, this product line produces custom-blended mineral and non-mineral products, also known as Green Sand Bonds, to strengthen sand molds for casting for auto and heavy truck parts, agriculture, and construction equipment, municipal, infrastructure, and other industrial castings markets. These products help our customers in the foundry industry improve productivity by reducing scrap from defects and poor surface quality. Our ADDITROL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blends also improve the efficiency and recycling of sand blends in mold sand systems by lowering clay consumption and improve air quality by reducing volatile organic compound emissions. Our mine to mold operational capability has resulted in providing a consistent high-quality product, technical support, and reliable on-time delivery service valued by our customers.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also offers a broad range of monolithic and pre-cast refractory products and related systems and services for the steel industry.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sells the following refractory products:</w:t>
      </w:r>
    </w:p>
    <w:p>
      <w:pPr>
        <w:spacing w:after="0" w:line="225"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Gunnable monolithic refractory products and application systems to users of basic oxygen furnaces and electric arc furnaces for application on furnace walls to prolong the life of furnace linings.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-257175</wp:posOffset>
            </wp:positionV>
            <wp:extent cx="5143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75"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Monolithic refractory materials and pre-cast refractory shapes for iron and steel ladles, vacuum degassers, continuous casting tundishes, blast furnaces, and reheating furnaces.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-257175</wp:posOffset>
            </wp:positionV>
            <wp:extent cx="5143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Refractory shapes and linings to the glass, cement, aluminum, petrochemicals, power generation, and other non-steel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-63500</wp:posOffset>
            </wp:positionV>
            <wp:extent cx="5143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19" w:lineRule="exact"/>
        <w:rPr>
          <w:sz w:val="20"/>
          <w:szCs w:val="20"/>
          <w:color w:val="auto"/>
        </w:rPr>
      </w:pPr>
    </w:p>
    <w:p>
      <w:pPr>
        <w:jc w:val="both"/>
        <w:ind w:firstLine="785"/>
        <w:spacing w:after="0" w:line="246" w:lineRule="auto"/>
        <w:rPr>
          <w:sz w:val="20"/>
          <w:szCs w:val="20"/>
          <w:color w:val="auto"/>
        </w:rPr>
      </w:pPr>
      <w:r>
        <w:rPr>
          <w:rFonts w:ascii="Times New Roman" w:cs="Times New Roman" w:eastAsia="Times New Roman" w:hAnsi="Times New Roman"/>
          <w:sz w:val="18"/>
          <w:szCs w:val="18"/>
          <w:color w:val="auto"/>
        </w:rPr>
        <w:t>The Company’s proprietary application equipment is used to apply refractory materials to the walls of steel-making furnaces and other high temperature vessels to maintain and extend their useful life. MINSCAN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refractory application machines allow for remote-controlled application of the Company’s refractory products in steel-making furnaces, as well as in steel ladles. This helps the steel-making industry to achieve their employee safety goals and increase productivity. These application systems and the technologically advanced refractory materials developed in the Company’s research laboratories have been well accepted by the Company’s customers. These solutions allow steel makers to improve their performance through, among other things, the application of monolithic refractories to furnace linings while the furnace is at operating temperature, thereby eliminating the need for furnace cool-down periods and steel-production interruption. The result is a lower overall cost for steel makers.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Refractory product sales are often supported by Company-supplied proprietary application equipment, laser measurement systems, and on-site technical service support. The Company’s technical service staff and application equipment assist customers to achieve desired productivity objectives. The Company’s technicians are also able to conduct laser measurement of refractory wear, sometimes in conjunction with robotic application tools, to improve refractory performance at many customer locations. The Company believes that these services, together with its refractory product offerings, provide it with a strategic marketing advantage. The Company also produces a number of other technologically advanced products for the steel industry, including calcium metal, metallurgical wire products, and a number of metal treatment specialty products.</w:t>
      </w:r>
    </w:p>
    <w:p>
      <w:pPr>
        <w:spacing w:after="0" w:line="191"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The Company also produces a specialized line of carbon composites and PYROID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pyrolitic graphite, primarily for the aerospace and electronics industries.</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High-Temperature Technologies net sales were $704.7 million, $713.2 million, and $720.9 million for the years ended December 31, 2025, 2024, and 2023,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Environmental &amp; Infrastructure Products and Markets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Environmental &amp; Infrastructure product line offers project-based products and solutions for environmental remediation, water treatment, building materials, and infrastructure. This product line uses a core technology that we call “Particle Surface Modification” and is the modification of the outer layer of our minerals through chemistry.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geosynthetic clay lining systems are used for lining and capping landfills, mine waste disposal sites, and industrial waste storage sites such as bauxite residue and coal ash waste. The Company also provides associated geosynthetic materials for these applications, including geotextiles and drainage geocomposites. The vapor intrusion mitigation applications include specialized technologies to prevent gas vapor intrusion in new building</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construction. Products offered include Liquid Boot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vapor barrier, a spray applied system that works as a stand-alone or in conjunction with various membrane systems to provide best in class performance.</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offers a wide variety of both active and passive waterproofing and greenroof technologies for use in protecting structures from groundwater intrusion. The end users of these products are specialty subcontractors trained by the company in the proper installation of all our products.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Company is also well known in the environmental remediation industry providing technologies that address a variety of complex and aggressive contaminants in soil, groundwater, and marine sediment. The reactive capping technologies and solutions are used to effectively contain residual contamination and to reduce costs associated with ex-situ remedies. The Company also specializes in treating soil, groundwater, landfill leachate, surface waters and drinking water sources contaminated with Per-and polyfluoroalkyl substances (PFAS) and Perfluorooctane sulfonate (PFOS) with our FLUORO-SORB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adsorbent.</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drilling products are used in environmental and geotechnical drilling applications, horizontal directional drilling, mineral exploration, and foundation construction, as well as in oil and gas well drilling. Bentonite imparts thickening and suspension properties that facilitate the transport of rock cuttings to the surface during the drilling process. It also contributes to a drilling fluid’s ability to lubricate the drill bit and coat the underground formations to prevent hole collapse and drill-bit seizing.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within this product line, the Company provides offshore filtration and well testing services to improve the production, cost, compliance, and environmental impact of activities performed globally in the oil and gas industry.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Environmental &amp; Infrastructure net sales were $270.2 million, $265.1, million and $288.8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principally on its worldwide direct sales force to market its products. The direct sales force is augmented by technical service teams that are familiar with the industries to which the Company markets its products, and by several regional distributors. The Company’s sales force works closely with the Company’s technical service staff to solve technical and other issues faced by the Company’s customers.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Consumer &amp; Specialties segment, the Company is a provider of private-label cat litter to retail partners, as well as a provider of packaged and bulk cat litter to globally recognized national brands. In addition, the Company’s sales team and technical services staff assist paper producers in ongoing evaluations of the use of PCC for paper coating and filling applications as well as PCC and GCC use in the packaging, automotive, construction, and household goods markets.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Engineered Solutions segment, the Company relies on industry-specialized technically oriented salespersons. For the foundry market, these sales teams provide expertise to educate our customers on the bentonite blend properties and to aid them in producing castings efficiently. Certain other products are distributed through networks of distributors and representatives, who warehouse specific products at strategic locations. In addition, the Company’s technical service personnel advise on the use of refractory materials, and, in many cases pursuant to service agreements, apply the refractory materials to the customers’ furnaces and other vessels. Our staff includes sales professionals and technical support engineers who analyze the suitability of our products in relation to the customer’s specific application and the conditions that products will endure or the environment in which they will operate.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continued use of skilled technical service teams is an important component of the Company’s business strategy. The Company works closely with its customers to ensure that their requirements are satisfied, and it often trains and supports customer personnel in the use of the Company’s products. The Company oversees domestic marketing and sales activities principally from Bethlehem, Pennsylvania and Hoffman Estates, Illinois, and from regional sales offices located elsewhere in the United States. The Company’s international marketing and sales efforts are directed from regional centers located in Brazil, Canada, China, Germany, India, Japan, Netherlands, Spain, Turkey, and the United Kingdom. The Company believes that its worldwide network of sales personnel and manufacturing sites facilitates continued international expansion.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depends in part on having an adequate supply of raw materials for its manufacturing operations, particularly lime and carbon dioxide for the Specialty Additives product line, and magnesia and alumina for the High-Temperature Technologies operations. We also depend on having an adequate supply of bentonite, leonardite, and limestone. Supplies of bentonite, leonardite, and limestone are mainly provided through the Company’s own mining operations and we depend on having adequate access to ore reserves of appropriate quality at such mining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uses lime in the production of PCC and is a significant purchaser of lime worldwide. Generally, the lime utilized in our business is readily available from numerous sources and we purchase lime under long-term supply contracts from unaffiliated suppliers located in close geographic proximity to the Company’s PCC plants. We currently supply some quantities of lime to third parties that are in close proximity to our Adams, Massachusetts plant and could supply small quantities of lime to certain of our PCC satellite facilities that are in close geographic proximity to the Adams plant. Carbon dioxide is readily available in exhaust gas from the host mills for our satellites, or other operations at our merchant facilities.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principal raw materials used in the Company’s monolithic refractory products are refractory-grade magnesia and various forms of alumina silicates. Approximately 57% of the Company’s magnesia requirements were purchased from sources in China over the past five years. The price and availability of bulk raw materials from China are subject to fluctuations that could affect the Company’s sales to its customers. In addition, the volatility of transportation costs and application of U.S. tariffs have also affected the delivered cost of raw materials imported from China to North America and Europe. The Company has developed alternate sources of magnesia that have diversified our supply of magnesia. The amount sourced from China and other locations can vary from year to year depending upon price and availability from each source. The alumina we utilize in our business is readily available from numerous sources. The Company also purchases calcium metal, calcium silicide, carbon, and various alloys for use in the production of metallurgical wire products and uses lime and aluminum in the production of calcium metal.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bentonite and leonardite provided through our mining operations, the principal raw materials for the products we supply to the foundry industry in our High-Temperature Technologies product line are coal, soda ash, and chromite, all of which are readily available from numerous 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Reserves and Mining Process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relies on access to bentonite reserves to support our businesses. The Company has reserves of sodium and calcium bentonite at various locations in the U.S., including Wyoming, Montana, South Dakota, Nevada, and Alabama, as well as in Australia, China, Slovakia, and Turkey. Through the Company’s affiliations and joint ventures, the Company also has access to bentonite deposits in Mexico. The Company owns or controls the properties on which the bentonite reserves are located through long-term leases, royalty agreements (including easement and right of way agreements), and patented and unpatented mining claims. No single or group of mining claims or leases is significant or material to the financial condition or operations of our Company or our segments.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our bentonite reserves are immediately adjacent to, or within sixty miles of, one of the related processing plants. All of the properties on which our reserves are located are either physically accessible for the purposes of mining and hauling or the cost of obtaining physical access would not be material. Access to processing facilities from the mining areas is generally by private road, public highway, or railroad. For most of our leased properties and mining claims, there are multiple means of access.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Specialty Additives product line is supported by the Company’s limestone reserves located in the western and eastern parts of the United States. The Company generally owns and surface mines these reserves and processes its products at nearby processing plants.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ongoing exploration and development activities for all of its mineral interests with the intent to increase its proven and probable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2, “Properties,” for more information with respect to these facilities and mines.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relies on shipping cargos of bentonite from the United States, Turkey, and China to customers, as well as our own subsidiaries, and we are sensitive to our ability to recover these shipping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continually engaged in efforts to develop new products and technologies and refine existing products and technologies in order to remain competitive and to position itself as a market leader. The Company is the world's largest producer of bentonite and a leading producer of calcium carbonate.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competes on the basis of product quality, service, technical support, price, product availability, and logistics. There are numerous major producers of competing products and various regional suppliers in the areas the Company serves. Within the Consumer &amp; Specialties segment, the Company is a global leader in private-label cat litter, North America bulk clumping cat litter, and European premium cat litter. With respect to its PCC products, the Company competes for sales to the paper and packaging industry with other minerals, such as GCC and kaolin, based in large part upon technological know-how, patents, and processes that allow the Company to deliver PCC that it believes imparts gloss, brightness, opacity, and other properties to paper and packaging on an economical basis. The Company is the leading manufacturer and supplier of PCC to the paper industry and specialty PCC in North America. The Company competes in sales of its GCC products based primarily upon quality, price, and geographic location.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Company’s High-Temperature Technologies products, competitive conditions vary by geographic region. Competition is based upon the performance characteristics of the product (including strength, consistency, thermal durability, and ease of application), price, and the availability of technical support. We believe the Company is the world’s largest producer and supplier of Green Sand Bonds, as well as the leader in refractory laser measurement systems, North American monolithic refractories, and solid core calcium wire.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Environmental &amp; Infrastructure product line, the Company competes with geosynthetic clay liner manufacturers worldwide, several suppliers of alternative lining technologies, and providers of soil and environmental remediation solutions and products. In addition, our filtration and well-testing services compete with other oil and gas services companies. In building materials applications, the Company competes in a highly fragmented market comprised of a wide variety of alternative technologies. A number of integrated bentonite companies compete with the Company’s drilling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within the Environmental &amp; Infrastructure product line in the Engineered Solutions segment are impacted by weather and soil conditions. Many of the products cannot be applied in wet or winter weather conditions and, as such, sales and profits tend to be greater during the period from April through October. Sales in our Specialty Additives product line, within the Consumer &amp; Specialties segment, are subject to similar seasonal patterns. In addition, the offshore oil and gas services are subject to natural disasters, such as hurricanes, which could lead to lower sales in the June to November months within the Environmental and Infrastructure product 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and continuous innovation are one of the growth pillars of our Company. Our leadership positions across product lines are defined by our ability to understand our customers’ needs and deliver solutions that create sustainable, long-term value.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product lines are based on advanced, proprietary technologies that are applied during the manufacturing process. The Company’s internal research team has dedicated years of experience to analyzing properties of minerals and synthetic materials while developing processes and applications to enhance their performance. Our core technologies of Functional Additives, Crystal Engineering, Engineered Blends, and Particle Surface Modification are fundamental to our four major product lines. Our focus is on delivering the most efficient, high-performing, and innovative solutions to our customers. The combination of our unique, differentiated global mineral reserves and our technologies and application know-how allows us to continually develop new products focused on secular and sustainable trends.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Household &amp; Personal Care product line, the Company’s research and development efforts employ our Functional Additives core technology to support both our private-label and branded products. In pet care, we work with our customers to develop new formulations and packaging solutions. For our other specialized products, we are focused on expanding our offering of natural and sustainable solutions for a variety of products including edible oil and renewable fuel purification, animal health, personal care, fabric care, and agricultural products.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Specialty Additives product line, the Company’s research and development efforts include application of our Crystal Engineering technology to create new PCC and GCC solutions for paper and packaging applications, including the repurposing of customer waste for use as a filler. We are also continually looking for new ways to apply our specialty PCC expertise to new markets and solutions as well as enhance our existing offerings.</w:t>
      </w:r>
    </w:p>
    <w:p>
      <w:pPr>
        <w:spacing w:after="0" w:line="176" w:lineRule="exact"/>
        <w:rPr>
          <w:sz w:val="20"/>
          <w:szCs w:val="20"/>
          <w:color w:val="auto"/>
        </w:rPr>
      </w:pPr>
    </w:p>
    <w:p>
      <w:pPr>
        <w:jc w:val="both"/>
        <w:ind w:firstLine="696"/>
        <w:spacing w:after="0" w:line="266" w:lineRule="auto"/>
        <w:rPr>
          <w:sz w:val="20"/>
          <w:szCs w:val="20"/>
          <w:color w:val="auto"/>
        </w:rPr>
      </w:pPr>
      <w:r>
        <w:rPr>
          <w:rFonts w:ascii="Times New Roman" w:cs="Times New Roman" w:eastAsia="Times New Roman" w:hAnsi="Times New Roman"/>
          <w:sz w:val="18"/>
          <w:szCs w:val="18"/>
          <w:color w:val="auto"/>
        </w:rPr>
        <w:t>In the High-Temperature Technologies product line, our main objective is to design products and applications based on our customers’ needs by using our Engineered Blends core technology. We develop solutions for broader applications within the steel production process and are developing new blends for our foundry customers in order to further enhance their productivity and sustainability profile.</w:t>
      </w:r>
    </w:p>
    <w:p>
      <w:pPr>
        <w:spacing w:after="0" w:line="17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the Environmental &amp; Infrastructure product line, our Particle Surface Modification core technology is used to develop products that meet critical performance criteria for a variety of customers. Our focus is on developing new solutions for waterproofing and environmental remediation. Our team is also working on developing treatment solutions for a broader range of contaminated water conditions to meet drinking water standards, building on the proven effectiveness of our FLOURO-SORB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Adsorbent.</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spent approximately $22.9 million, $23.0 million, and $21.2 million, respectively, on research and development. The Company’s research and development spending as a percentage of sales was approximately 1.1%, 1.1%, and 1.0% for 2025, 2024 and 2023,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its primary research facilities in Bethlehem and Easton, Pennsylvania and Hoffman Estates, Illinois. It also has research and development facilities in China, England, Germany, Ireland, Japan, Turkey, and additional sites in the United States. Approximately 216 employees worldwide are engaged in research and development.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active new product and process development program. Each year, numerous new product and process ideas are submitted and undergo a rigorous stage gate evaluation process. As a result, the Company commercializes a number of these products each year. Many of our products also contribute to improving our customers' sustainability profile.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owns or has the right to use approximately 232 patents and approximately 1,808 trademarks related to its business. Our patents expire between 2026 and 2041. Our trademarks continue indefinitely. The Company believes that its rights under its existing patents, patent applications, and trademarks are of value to its operations, but no one patent, application, or trademark is material to the conduct of the Company’s business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liability and property insurance and insurance for business interruption in the event of damage to its production facilities and certain other insurance covering risks associated with its business. The Company believes such insurance is adequate for the operation of its business. There is no assurance that in the future the Company will be able to maintain the coverage currently in place or that the premiums will not increase substantially.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people power the success of MTI. They are the cornerstone of our operational excellence and safety first culture, key to our ability to execute on our growth strategies, and vital to our success. Our core values — people, excellence, honesty, customer focus, and accountability — guide our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Workforce Demographics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employed 3,782 persons globally, located in over 30 countries. Of these, 1,755 (46%) were located in North America, 931 (25%) were located in Asia, 902 (24%) were located in Europe, and 194 (5%) were located in Latin America.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Focus on Safety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Safety comes first at MTI. The health and safety of our people, partners, and communities is our top priority. Our “safety-first” culture has been built through dedication, continuous improvement, and active engagement. Creating a safe work environment by continuously identifying and reducing workplace risks and by reinforcing safe behaviors means that employees will return to their families every day in the same condition in which they came to work. While we believe zero-injuries is attainable, we have set goals of 1.00 for Total Recordable Incident Rate (TRIR, which is the number of recordable injuries per 100 employees) and 0.10 for Lost Workday Injury Rate (LWIR, which is the number of lost workday injuries per 100 employees), and we continue to make strides to drive incidents below these levels. In 2025, our TRIR was 0.54 and our LWIR was 0.14. This safety-first mindset helps us attract and retain top talent from around the world and drives continuous improvement in our manufacturing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Culture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Operational Excellence (OE) journey, rooted in the active engagement of our employees, began almost two decades ago when we developed a comprehensive and highly structured business system of lean principles closely integrated with safe and reliable work practices. We’ve significantly advanced OE across all aspects of our company, fostering a culture of continuous improvement where each employee recognizes the importance of applying these people-focused principles and tools to solve challenges, constantly refine our processes, identify and remove risk and waste, and deliver value to our customers. Every day, MTI employees show their engagement and apply their skills in ways that deliver measurable outcomes and create both business and social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 and Inclusion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people are essential to the successful delivery of the MTI strategy and to sustaining superior business performance. Our people strategy and programs are designed and implemented in support of our business and strategic objectives. We accelerate the development of our employees, strengthen our leadership capabilities, and enhance employee performance through a wide variety of formal and informal training initiatives, development programs, and regular succession plan reviews.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MTI recognizes that its employees are most likely to thrive when they have the resources to meet their needs in both their professional and personal lives. In support of this belief, the Company is committed to providing compensation that is competitive, equitable, and allows employees to share in the Company’s success through various incentive compensation programs. We design compensation programs and strategies that are built upon the foundational philosophies of market competitiveness and performance. We also offer a comprehensive and valuable benefits program that promotes physical, emotional, and financial wellness with the goal of supporting employees and their families. While offerings vary around the world, employees can access medical, dental, vision, and free life insurance on the first day of employment. Additional benefits include 100% company paid tuition assistance, free counseling through our Employee Assistance Program, a robust fertility and family building benefit, paid time off, and paid maternity leave.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workforce diversity, especially diversity of perspectives, strengthens our performance-driven culture and is vital to business success. Diversity and inclusion are embedded in our core values and sustainability strategy. Empowered teams, inclusive culture, and open expression of viewpoints help us drive long-term shareholder value. Our commitment is reflected in our policies, performance management, leadership development, and our CEO-led Global Inclusion Council. These efforts have reshaped benefits, enhanced leader training, fostered meaningful dialogue, and aligned our 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Matters and Government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federal, state, local, and foreign laws and regulations relating to the environment and health and safety. In particular, we are subject to certain requirements under the Clean Air Act. In addition, certain of the Company’s operations involve and have involved the use and release of substances that have been and are classified as toxic or hazardous within the meaning of these laws and regulations. Environmental operating permits are, or may be, required for certain of the Company’s operations and such permits are subject to modification, renewal, and revocation. We are also subject to land reclamation requirements relating to our mining operations. In addition to environmental and health and safety laws and regulations, we are subject to a wide variety of other federal, state, local, and foreign laws and regulations in the countries where we conduct business. The Company regularly monitors and reviews its operations, procedures, and policies for compliance with these laws and regulations. Compliance with these laws and regulations often requires the dedication of time and effort of employees, as well as financial resources. The Company believes its operations are in substantial compliance with these laws and regulations and that there are no violations that would have a material effect on the Company. Despite these compliance efforts, some risk of environmental and other damage is inherent in the Company’s operations, as it is with other companies engaged in similar businesses, and there can be no assurance that material violations will not occur in the future. In fiscal 2025, compliance with the regulations applicable to us did not have a material effect on our capital expenditures, earnings, or competitive position, and the cost of compliance with these laws and regulations is not expected to have a material adverse effect on the Company in the future.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0" w:name="page11"/>
    <w:bookmarkEnd w:id="10"/>
    <w:p>
      <w:pPr>
        <w:ind w:firstLine="648"/>
        <w:spacing w:after="0" w:line="261" w:lineRule="auto"/>
        <w:rPr>
          <w:sz w:val="20"/>
          <w:szCs w:val="20"/>
          <w:color w:val="auto"/>
        </w:rPr>
      </w:pPr>
      <w:r>
        <w:rPr>
          <w:rFonts w:ascii="Times New Roman" w:cs="Times New Roman" w:eastAsia="Times New Roman" w:hAnsi="Times New Roman"/>
          <w:sz w:val="18"/>
          <w:szCs w:val="18"/>
          <w:color w:val="auto"/>
        </w:rPr>
        <w:t>Sustainability is core to who we are and the foundation of how we operate our company. At MTI, we are focused on providing the safest workplace for our employees, reducing our environmental impact, preserving natural resources, and making positive contributions to our local communities</w:t>
      </w:r>
    </w:p>
    <w:p>
      <w:pPr>
        <w:jc w:val="both"/>
        <w:spacing w:after="0" w:line="229" w:lineRule="auto"/>
        <w:rPr>
          <w:sz w:val="20"/>
          <w:szCs w:val="20"/>
          <w:color w:val="auto"/>
        </w:rPr>
      </w:pPr>
      <w:r>
        <w:rPr>
          <w:rFonts w:ascii="Times New Roman" w:cs="Times New Roman" w:eastAsia="Times New Roman" w:hAnsi="Times New Roman"/>
          <w:sz w:val="18"/>
          <w:szCs w:val="18"/>
          <w:color w:val="auto"/>
        </w:rPr>
        <w:t>— all of which are ingrained in our values. For the past 17 years, MTI has published an annual Sustainability Report that describes our efforts in continuous improvement regarding our safety culture, environmental performance, new product development, social impact, and community engagement. Over the past several years, we have taken meaningful steps to advance our broad range of sustainability initiatives, including establishing 2025 environmental reduction targets in six focus areas: Scope 1 and Scope 2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emissions, airborne pollutants, water used, water discharged, and process waste disposed, each on an absolute basis and per ton of production for each of our focus areas. By 2024, we met or exceeded our targets in eleven out of twelve total environmental emission and discharge reduction targets.</w:t>
      </w:r>
    </w:p>
    <w:p>
      <w:pPr>
        <w:spacing w:after="0" w:line="20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Laws and regulations are subject to change. See Item 1A, Risk Factors, for information regarding the possible effects that compliance with new laws and regulations, including those relating to climate change, may have on our businesses and operating results.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certain agreements entered into in connection with the Company’s initial public offering in 1992, Pfizer Inc. (“Pfizer”) agreed to indemnify the Company against certain liabilities being retained by Pfizer and its subsidiaries including, but not limited to, pending lawsuits and claims, and any lawsuits or claims brought at any time in the future alleging damages or injury from the use, handling of, or exposure to any product sold by Pfizer’s specialty minerals business prior to the closing of the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an internet website located at http://www.mineralstech.com. Its reports on Forms 10-K, 10-Q, and 8-K, and amendments to those reports, as well as its Proxy Statement and filings under Section 16 of the Securities Exchange Act of 1934 are available free of charge through the Investor Relations page of its website, as soon as reasonably practicable after they are filed with, or furnished to, the Securities and Exchange Commission (“SEC”). Investors may access these reports through the Company’s website by navigating to “Investors,” then to “Financials,” and then to “SEC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Set forth below are all risks that we believe are material at this time. Our business, financial condition, and results of operations could be materially adversely affected by any of these risks. These risks should be read in conjunction with the other information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general economic, business, and industry conditions may have an adverse effect on the Company’s results.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business and operating results are affected by worldwide and regional economic, business, and industry conditions. In recent years, we have experienced, among other things, declining consumer and business confidence, volatile raw material prices, instability in credit markets, high unemployment, fluctuating interest and exchange rates, and other challenges in the countries in which we operate. Uncertainty or a deterioration in the economic conditions affecting the businesses to which, or geographic areas in which, we sell products could reduce demand for our products and inflationary pressures may increase our costs. The Company’s customers and potential customers may experience deterioration of their businesses, cash flow shortages, and difficulty obtaining financing. As discussed below, the industries we serve have in the past been adversely affected by the uncertain global economic climate due to the cyclical nature of their businesses. As a result, existing or potential customers may reduce or delay their growth and investments and their plans to purchase products, pursue inventory reduction measures, and may not be able to fulfill their obligations in a timely fashion. Further, suppliers could experience similar conditions, which could affect their ability to fulfill their obligations to the Company. We may also experience pricing pressure on products and services, or be unsuccessful in passing along to our customers an increase in our raw materials costs or energy prices, which could decrease our revenues and have an adverse effect on our financial condition and cash flows. Adversity within capital markets may also impact the Company’s results of operations by negatively affecting the amount of expense the Company records for its pension and other postretirement benefit plans. Actuarial valuations used to calculate income or expense for the plans reflect assumptions about financial market and other economic conditions – the most significant of which are the discount rate and the expected long-term rate of return on plan assets. Such actuarial valuations may change based on changes in key economic indicators. Global economic markets remain uncertain, and there can be no assurance that market conditions will improve in the near future. Future weakness in the global economy could materially and adversely affect our business and operating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number of our customers’ businesses are cyclical or have changing regional demands. Our operations are subject to these trends, and we may not be able to mitigate these risks.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paper industry, which is served by the Specialty Additives product line of our Consumer &amp; Specialties segment, production levels for uncoated freesheet within North America and Europe, our two largest markets, are projected to continue to decrease. The reduced demand for premium writing paper products has resulted in closures and conversions of mills in both North America and Europe. Additionally, the Specialty Additives product line is affected by the domestic residential building and construction markets, as well as the automotive market.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the sales of the High-Temperature Technologies product line of our Engineered Solutions segment are derived from the metalcasting market. The metalcasting market is dependent upon the demand for castings for automobile and heavy truck components, farm and construction equipment, oil and gas production equipment, power generation equipment, and rail car components. Many of these types of equipment are sensitive to fluctuations in demand during periods of recession or difficult economic conditions. This product line also serves the steel industry. In recent years, global steel production has been volatile. These trends have affected and may continue to affect the demand for our Engineered Solutions segment’s products and services. The Environmental &amp; Infrastructure product line of our Engineered Solutions segment serves the commercial construction, environmental remediation, infrastructure, and oil and gas markets.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Demand for our products is subject to trends in these markets. During periods of economic slowdown, our customers often reduce their capital expenditure and defer or cancel pending projects. Such developments occur even amongst customers that are not experiencing financial difficulties. In addition, these trends could cause our customers to face liquidity issues or bankruptcy, which could deteriorate the aging of our accounts receivable, increase our bad debt exposure and possibly trigger impairment of assets or realignment of our businesses. The Company has taken steps to reduce its exposure to variations in its customers’ businesses, including by diversifying its portfolio of products and services through geographic expansion, growth in less cyclical consumer-oriented markets, and by structuring most of its long-term satellite contracts to provide a degree of protection against declines in the quantity of product purchased, since the price per ton of our products generally rises as the number of tons purchased declines. In addition, many of our product lines lower our customers’ costs of production or increase their productivity, which should encourage them to use our products. However, there can be no assurance that these efforts will mitigate the risks of our dependence on these industries. Continued weakness in the industries we serve has had, and may in the future have, an adverse effect on sales of our products and our results of operations. A continued or renewed economic downturn in one or more of the industries or geographic regions that the Company serves, or in the worldwide economy, could cause actual results of operations to differ materially from historical and expected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operates in very competitive industries, which could adversely affect our profitability.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many competitors. Some of our principal competitors have greater financial and other resources than we have. Accordingly, these competitors may be better able to withstand economic downturns and changes in conditions within the industries in which we operate and may have significantly greater operating and financial flexibility than we do. We also face competition for some of our products from alternative products, and some of the competition we face comes from competitors in lower-cost production countries like China and India. As a result of the competitive environment in the markets in which we operate, we currently face and will continue to face pressure on the sales prices of our products from competitors, which could reduce profit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sales could be adversely affected by consolidation in customer industries.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consolidations in the paper industry have taken place in recent years and such consolidation could continue in the future. These consolidations could result in partial or total closure of some paper mills where the Company operates satellite plants. Such closures would reduce the Company’s sales, except to the extent that they resulted in shifting paper production and associated purchases of calcium carbonate to another location served by the Company. Similarly, consolidations have occurred in the foundry and steel industries. Such consolidations in the major industries we serve concentrate purchasing power in the hands of a smaller number of manufacturers, enabling them to increase pressure on suppliers, such as the Company. This increased pressure could have an adverse effect on the Company’s results of operations in the future.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sales could be adversely affected by our failure to renew or extend long-term sales contracts for our satellite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sales of calcium carbonate to paper customers are typically pursuant to long-term evergreen agreements, initially ten to fifteen years in length, with paper mills where the Company operates satellite plants. Sales pursuant to these contracts represent a significant portion of our sales in the Specialty Additives product line of the Consumer &amp; Specialties segment. The terms of many of these agreements have been extended or renewed in the past, often in connection with an expansion of the satellite plant. However, failure of a number of the Company’s customers to renew or extend existing agreements on terms as favorable to the Company as those currently in effect, or at all, could have a substantial adverse effect on the Company’s results of operations, and could also result in impairment of the assets associated with the satellite plant.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the Company’s debt will require a significant amount of cash. This could reduce the Company’s flexibility to respond to changing business and economic conditions or fund capital expenditures or working capital needs. Our ability to generate cash depends on many factors beyond our control.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December 31, 2025, the Company had $961.7 million aggregate principal amount of total indebtedness (consisting primarily of $569.3 million aggregate principal amount of loans under our term facility, $400.0 million aggregate principal amount of notes and no loans outstanding under our revolving credit facility) and an additional $390.8 million of borrowing capacity under the revolving credit facility (after giving effect to $9.2 million of outstanding letters of credit). Our outstanding indebtedness will require a significant amount of cash to make interest payments. Further, the interest rate on a significant portion of our borrowings under our senior secured credit facility is based on SOFR interest rates, which has resulted in and could continue to result in higher interest expense in the event of increases in interest rates. Our ability to pay interest on our debt and to satisfy our other debt obligations will depend in part upon our future financial and operating performance and upon our ability to renew or refinance borrowings. Prevailing economic conditions and financial, business, competitive, regulatory, and other factors, many of which are beyond our control, will affect our ability to make these payments. We cannot guarantee that our business will generate sufficient cash flow from operations or that future borrowings will be available to us in an amount sufficient to enable us to fund our liquidity needs. If we are unable to generate sufficient cash flow to meet our debt service obligations, we will have to pursue one or more alternatives, such as reducing or delaying capital or other expenditures, refinancing debt, selling assets, or raising equity capital. Further, the requirement to make significant interest payments may reduce the Company’s flexibility to respond to changing business and economic conditions or fund capital expenditure or working capital needs and may increase the Company’s vulnerability to adverse economic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various covenants that could significantly impact our ability to operate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agreement governing our senior secured credit facility and the indenture that governs our 5.0% Senior Notes due 2028 contain a number of significant covenants that, among other things, limit our ability to: incur or guarantee additional indebtedness, pay dividends or make other distributions or repurchase or redeem capital stock, prepay, redeem or repurchase certain debt, issue certain preferred stock or similar equity securities, make loans and investments, sell or otherwise dispose of assets, incur liens, enter into transactions with affiliates, enter into agreements restricting our subsidiaries’ ability to pay dividends and consolidate, merge or sell all or substantially all of our assets. In addition, we are required to comply with specific financial ratios, including a maximum net leverage ratio, under which we are required to achieve specific financial results. Our ability to comply with these provisions may be affected by events beyond our control. A breach of any of these covenants would result in a default under the applicable agreements. In the event of any default under our senior secured credit facility, our lenders could elect to declare all amounts borrowed under the credit agreement, together with accrued interest thereon, to be due and payable. In such an event, we cannot assure you that we would have sufficient assets to pay debt then outstanding under the credit agreement, the indenture governing our notes, and any other agreements governing our debt. Any future refinancing of the senior secured credit facility is likely to contain similar restrictive covenants. We may also incur future debt obligations that might subject us to additional restrictive covenants that could affect our financial and operational flexibility. We cannot assure you that we will be granted waivers or amendments to these agreements if for any reason we are unable to comply with these agreements or that we will be able to refinance our debt on terms acceptable to us, or at all.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Development and Growth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results could be adversely affected if it is unable to effectively achieve and implement its growth initiatives.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and income growth of the Company depends upon a number of uncertain events. Growth will depend in part on sales growth from our existing businesses and customers. The Company has a strategic growth initiative to increase penetration into geographic markets such as Brazil, China, and India as well as other Asian and Eastern European countries. The Company also has a strategic growth initiative to increase penetration into consumer-oriented markets such as cat litter, personal care, animal and health care and natural oil purification. Our strategy also anticipates growth through future acquisitions. However, our ability to identify and consummate any future acquisitions on terms that are favorable to us may be limited by the number of attractive acquisition targets, internal demands on our resources, and our ability to obtain financing. Our success in integrating newly acquired businesses will depend upon our ability to retain key personnel, avoid diversion of management’s attention from operational matters, and integrate general and administrative services. In addition, future acquisitions could result in the incurrence of additional debt, costs, and contingent liabilities. Integration of acquired operations may take longer, or be more costly or disruptive to our business, than originally anticipated, and it is also possible that expected synergies from future acquisitions may not materialize. We also may incur costs and divert management attention with regard to potential acquisitions that are never consummated. Difficulties, delays, or failure of any of these strategies could affect the future growth rate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or failures in new product development could adversely affect the Company’s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future business success will depend in part upon its ability to maintain and enhance its technological capabilities, to respond to changing customer needs, and to successfully anticipate or respond to technological changes on a cost-effective and timely basis. The Company is engaged in a continuous effort to develop new products and processes in all of its product lines. Difficulties, delays, or failures in the development, testing, production, marketing, or sale of such new products could cause actual results of operations to differ materially from our expected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compete is dependent upon its ability to defend its intellectual property against inappropriate disclosure, theft, and infringement.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compete is based in part upon proprietary knowledge, both patented and unpatented. The Company’s ability to achieve anticipated results depends in part on its ability to defend its intellectual property against inappropriate disclosure and theft as well as against infringement. In addition, development by the Company’s competitors of new products or technologies that are more effective or less expensive than those the Company offers could have a material adverse effect on the Company’s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operations could be impacted by the increased risks of doing business abroad.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does business in many areas internationally. Approximately 48% of our sales in 2025 were derived from outside the United States and we have significant production facilities which are located outside of the United States. We have in recent years expanded our operations in emerging markets, and we plan to continue to do so in the future, particularly in Brazil, China, India, the Middle East, and Eastern Europe. Some of our operations are located in areas that have experienced political or economic instability, including Brazil, China, Egypt, Indonesia, Malaysia, Nigeria, Saudi Arabia, South Africa, Thailand, and Turkey. As the Company expands its operations overseas, it faces increased risks of doing business abroad, including inflation, fluctuation in interest rates, changes in applicable laws and regulatory requirements, nationalization, expropriation, limits on repatriation of funds, civil unrest, unstable governments and legal systems, and other factors. The U.S. and foreign countries may also adopt or increase restrictions on foreign trade or investment, including currency exchange controls, tariffs or other taxes, or limitations on imports or exports.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Beginning in the first quarter of 2025, the United States government has imposed additional tariffs on goods imported into the U.S. from numerous countries and multiple nations have responded with reciprocal tariffs and other actions. The scope and duration of such tariffs has continued to change and remains uncertain.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However, the imposition of tariffs as well as uncertainty about their scope and duration could negatively affect demand, result in an increase in some input costs and/or inflation that we are unable to mitigate, or otherwise adversely affect economic conditions. The United States Supreme Court on February 20, 2026 issued a ruling striking down certain tariffs imposed by the United States, including those affecting certain goods that the Company imports. We are currently evaluating the impact of such decision. The Company continues to monitor the economic effects of the trade environment, but the effects associated with the tariffs remain uncertain.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geopolitical and terrorism threats, including armed conflict among countries, could in the future affect our business overseas, including leading to, among other things, impairment of our or our customers’ ability to conduct operations, adverse impact to our employees, and a loss of our investment. While recent geopolitical conflicts, such as between Russia and Ukraine and between Israel and Hamas, have not significantly affected our business, the broader consequences of geopolitical and terrorism threats, which may include sanctions that prohibit our ability to do business in specific countries, embargoes, supply chain disruptions, potential contractual breaches and litigation, regional instability, and geopolitical shifts, cannot be predicted. We are also subject to increased risks of natural disasters, public health crises, including the occurrence of a contagious disease or illness, such as COVID-19, and other catastrophic events in such countries. Many of these risks are beyond our control and can lead to sudden, and potentially prolonged, changes in demand for our products, difficulty in enforcing agreements, and losses in the realizability of our assets.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raw material purchases and sales outside the United States are denominated in foreign currencies, and liabilities for non-U.S. operating expenses and income taxes are denominated in local currencies. Accordingly, reported sales, net earnings, cash flows, and fair values have been and, in the future, will be affected by changes in foreign currency exchange rates. Our overall success as a global business depends, in part, upon our ability to succeed in differing legal, regulatory, economic, social, and political conditions. We cannot assure you that we will implement policies and strategies that will be effective in each location where we do business.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Adverse developments in any of the areas in which we do business could cause actual results to differ materially from historical and expected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operations are dependent on the availability of raw materials and access to ore reserves at its mining operations. Increases in costs of raw materials, energy, or shipping could adversely affect our financial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depends in part on having an adequate supply of raw materials for its manufacturing operations, particularly lime and carbon dioxide for the production of PCC, and magnesia and alumina for its refractory operations. Purchase prices and availability of these critical raw materials are subject to volatility. At any given time, we may be unable to obtain an adequate supply of these critical raw materials on a timely basis, on price and other terms, or at all. While most such raw materials are readily available, the Company has purchased approximately 57% of its magnesia requirements from sources in China over the past five years. The price and availability of magnesia have fluctuated in the past and they may fluctuate in the future. Price increases for certain other of our raw materials, including petrochemical products, as well as increases in energy prices, have also affected our business. Our production processes consume a significant amount of energy, primarily electricity, diesel fuel, natural gas, and coal. We use diesel fuel to operate our mining and processing equipment, and our freight costs are heavily dependent upon fuel prices and surcharges. Energy costs also affect the cost of raw materials. On a combined basis, these factors represent a large exposure to petrochemical and energy products which may be subject to significant price fluctuations. The contracts pursuant to which we construct and operate our PCC satellite plants generally adjust pricing to reflect the pass-through of increases in costs resulting from inflation, including energy. However, there is a time lag before such price adjustments can be implemented. The Company and its customers will typically negotiate reasonable price adjustments in order to recover these escalating costs, but there can be no assurance that we will be able to recover increasing costs through such negotiations.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depends on having adequate access to ore reserves of appropriate quality at its mining operations. There are numerous uncertainties inherent in estimating ore reserves including subjective judgments and determinations that are based on available geological, technical, contract, and economic information. In addition, mining permits, leases, and other rights are, or may be, required for certain of the Company’s mining operations. Such permits, leases, and other rights are subject to modification, renewal, and revocation. Our ability to maintain such mining permits, leases, and other rights has been, and may continue to be, affected by changes in laws, regulations, and governmental actions, particularly in emerging markets such as China and Turkey. We cannot assure you that we will be able to maintain such mining permits, leases, and other rights to the extent we currently maintain them or at all.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relies on shipping cargos of bentonite from the United States, Turkey, and China to customers, as well as our own subsidiaries, and we are sensitive to our ability to recover these shipping costs. If we cannot secure our container requirements or offset additional shipping costs with price increases to customers, our profitability could be impacted. We are also subject to other shipping risks. In particular, rail service interruptions have affected our ability to ship, and the availability of rail service, and our ability to recover increased rail costs, may be beyond our control. In addition, governmental restrictions can, and during the COVID-19 pandemic did, affect our ability to ship our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Company’s subsidiaries, BMI Oldco Inc. (f/k/a Barretts Minerals Inc.) (“Oldco”) and Barretts Ventures Texas LLC (together with Oldco, the “Chapter 11 Debtors”), have filed voluntary petitions for relief under Chapter 11 of the U.S. Bankruptcy Code to address and comprehensively resolve Oldco’s liabilities associated with talc. Risks and uncertainties related to this filing could have a material adverse effect on the Company’s business, financial condition, results of operations, and cash flows.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certain of the Company’s subsidiaries are among numerous defendants in over nine hundred cases seeking damages for alleged exposure to asbestos-contaminated talc products sold by the Company’s subsidiary Oldco. On October 2, 2023 (the “Petition Date”), notwithstanding the Company’s confidence in the safety of Oldco’s talc products,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aggregate principal amount under such DIP Credit Agreement. In the second quarter of 2025, the Company amended the DIP Credit Agreement to increase the maximum principal amount available under the DIP Credit Agreement by $30 million. Proceeds of the sale of Oldco's talc assets and funds drawn by Oldco under the DIP Credit Agreement have been and will be used to fund the Chapter 11 Cases.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The Chapter 11 Debtors have been deconsolidated from the Company’s financial statements since the Petition Date.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the Chapter 11 Cases are progressing, it is not possible at this time to predict how the District Court will rule on the pending motions, whether an appellate court will affirm or reverse the Bankruptcy Court order denying the Committee’s motion to dismiss, the form of any ultimate resolution, or when an ultimate resolution might occur. Accordingly, the Company is unable to estimate the possible loss or range of loss related to the amount that will be necessary to fully and finally resolve all of Oldco’s current and future talc-related claims in connection with a confirmed Chapter 11 plan of reorganization beyond the amount accrued. Several risks and uncertainties related to the Chapter 11 Cases could have a material adverse effect on the Company’s business, financial condition, results of operations, and cash flows, including the ultimate amount necessary to be contributed to any trust established pursuant to Section 524(g) of the U.S. Bankruptcy Code, the potential for the Company’s talc-related exposure to extend beyond the Chapter 11 Debtors arising from claims by talc plaintiffs relating to the Company’s liability for talc claims, corporate veil piercing efforts or otherwise, any final resolution of the scope of the Pfizer indemnity, the ongoing costs of the Chapter 11 Cases, which may require additional funding from time to time, the cost and length of time necessary to ultimately resolve the cases, either through settlement or as a result of litigation arising in connection with the Chapter 11 Cases, and the possibility that the Chapter 11 Debtors will be unsuccessful in attaining relief under Chapter 11. Further, while the Company anticipates that the Chapter 11 Debtors will benefit from the operation of the automatic stay during the Chapter 11 proceedings, depending on the ultimate outcome of any of these litigation matters, the Company could in the future be required to pay significant amounts as a result of settlements or judgments, potentially in excess of liabilities accrued to date in respect of such matters. The resolution of, or recognition of additional liabilities in connection with, pending or future litigation could have a material adverse effect on the Company’s results of operations, cash flows, and financial condition.</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further discussion of the Chapter 11 Cases and Oldco's talc-related liabilities, see Note 17 to the Consolidated Financial Statements, included in this report.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stringent regulation in the areas of environmental, health and safety, and tax, and may incur unanticipated costs or liabilities arising out of claims for various legal, environmental, and tax matters or product stewardship issues that could materially harm the Company’s results of operations, cash flows, and financial condition.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Company’s operations are subject to international, federal, state, and local governmental environmental, health and safety, tax, and other laws and regulations. We have expended, and may be required to expend in the future, substantial funds for compliance with such laws and regulations. In addition, future events, such as changes to or modifications of interpretations of existing laws and regulations, or enforcement polices, or further investigation or evaluation of the potential environmental impacts of operations or health hazards of certain products, may affect our mining rights or give rise to additional compliance and other costs that could have a material adverse effect on the Company. Further, certain of our customers are subject to various federal and international laws and regulations relating to environmental and health and safety matters, especially customers of our Environmental &amp; Infrastructure product line of our Engineered Solutions segment, who are subject to drilling permits, waste-water disposal, and other regulations. To the extent that these laws and regulations affecting our customers change, demand for our products and services could also change and thereby affect our financial results. Greenhouse gas emissions have become the subject of an increasing amount of concern from state, national, and international governments and agencies. These concerns have resulted in, and may continue to result in, the enactment or adoption of climate-related legislation and regulation that would restrict emissions of greenhouse gases in areas in which we conduct business, result in additional compliance costs, or have an adverse effect on our operations or demand for our products. Our manufacturing processes for our products use a significant amount of energy and, should energy prices increase as a result of such legislation or regulation, we may not be able to pass these increased costs on to purchasers of our products. We cannot predict if or when currently proposed or additional laws and regulations regarding climate change or other environmental or health and safety concerns will be enacted or adopted.</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income tax laws and regulations in the United States and various foreign jurisdictions. Significant judgment is required in evaluating and estimating our provision and accruals for these taxes. Our income tax liabilities are dependent upon the location of earnings among these different jurisdictions. Our income tax provision and income tax liabilities could be adversely affected by the jurisdictional mix of earnings, changes in valuation of deferred tax assets and liabilities, and changes in tax treaties, laws, and regulations.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currently a party in various litigation matters and tax and environmental proceedings and faces risks arising from various unasserted litigation matters, including product liability, patent infringement, antitrust claims, and claims for third-party property damage or personal injury stemming from alleged torts, including, as discussed elsewhere in this Report, a number of cases seeking damages for alleged exposure to asbestos-contaminated talc products sold by Oldco. Any failure to appropriately manage safety, human health, product liability, and environmental risks associated with the Company’s products and production processes could adversely impact the Company’s employees and other stakeholders, the Company’s reputation, and its results of operations, cash flows, and financial condition. Public perception of the risks associated with the Company’s products and production processes could impact product acceptance and influence the regulatory environment in which the Company operates. Any unanticipated liability arising out of a current matter or proceeding, or from the other risks described above, could have a material adverse effect on the Company’s results of operations, cash flows, and financial condition.</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Production facilities are subject to operating risks and capacity limitations that may adversely affect the Company’s financial condition or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dependent on the continued operation of its production facilities. Our production facilities and the transportation of our products and/or the raw materials used to manufacture our products are subject to hazards associated with the manufacturing, handling, storage, and transportation of chemical materials and products, including mechanical failure, leaks, ruptures, explosions, fires, inclement weather and natural disasters, transportation interruptions, and environmental risks. Such operating problems may cause personal injury and/or loss of life, damage to or destruction of property and equipment, environmental damage, unscheduled downtime, and customer attrition.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Production at our facilities may also be affected by labor disputes, labor shortages, and increased turnover, which could disrupt our operations, cause a decline in our production, increase employee-related costs, and divert the attention of our management. Production facilities are also subject to governmental requirements that may affect our ability to operate. Further, from time to time, we may experience capacity limitations in our manufacturing operations. In addition, if we are unable to effectively forecast our customers’ demand, it could affect our ability to successfully manage operating capacity limitations. These hazards, limitations, labor, and employee issues, disruptions in supply, and capacity constraints could adversely affect financial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for some of our businesses are seasonal.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7"/>
          <w:szCs w:val="17"/>
          <w:color w:val="auto"/>
        </w:rPr>
        <w:t>Certain of our businesses are affected by seasonal weather patterns. A majority of revenues from our energy services business within the Environmental &amp; Infrastructure product line of our Engineered Solutions segment is derived from the Gulf of Mexico and surrounding states, which are susceptible to hurricanes that typically occur June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through November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Actual or threatened hurricanes can result in volatile demand for services provided by our energy services business. Our other businesses within the Environmental &amp; Infrastructure product line are affected by weather patterns which determine the feasibility of construction activities. Typically, less construction activity occurs in winter months and thus this segment’s revenues tend to be greatest in the second and third quarters when weather patterns in our geographic markets are more conducive to construction activities. Additionally, some of the businesses within the Specialty Additives product line of our Consumer &amp; Specialties segment are subject to similar seasonal patterns.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and will continue to be subject to cyberattacks and other disruptions to our information systems that could have a material adverse impact on our business, consolidated results of operations, and consolidated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dependent on digital technologies and services, including systems operated by third parties that include embedded artificial intelligence (“AI”). We use these technologies for activities important to our business, including managing and operating our manufacturing facilities, communications within our company and with customers and suppliers, processing transactions, maintaining accurate financial records and other enterprise resource planning requirements, protecting confidential information, complying with regulatory, financial reporting, and legal requirements, and otherwise storing, processing, and transmitting our data. Increased use of remote working arrangements has only increased our reliance on these technologies and services. Our business has in the past and could in the future be negatively affected by security incidents and systems disruptions. These disruptions or incidents may be caused by cyberattacks and other cyber incidents, network or power outages, software, equipment, or telecommunications failures, the unintentional or malicious actions of employees or contractors, an inability to appropriately update our systems, natural disasters, fires, or other catastrophic events.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Cyberattacks and other cyber incidents are occurring more frequently and the techniques used to gain access to information technology systems and data, disable or degrade service or sabotage systems are constantly evolving, becoming more sophisticated in nature, and are being carried out by groups and individuals with a wide range of expertise and motives. Cyberattacks and cyber incidents may be difficult to detect for periods of time and take many forms including cyber extortion, denial of service, social engineering, introduction of viruses or malware (such as ransomware), exploiting vulnerabilities in hardware, software, or other infrastructure, hacking, website defacement, theft of passwords and other credentials, unauthorized use of computing resources, and business email compromise. Continued geopolitical instability has heightened the risk of cyberattacks.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Like other global companies, our systems are subject to recurring attempts by third parties to access information, manipulate data, or disrupt our operations, and we have experienced cyber incidents. If we do not allocate and effectively manage the resources necessary to continue building and maintaining our information technology infrastructure, or if we fail to timely identify or appropriately respond to cyberattacks or other cyber incidents, our business has been and can continue to be adversely affected by, among other things: interruption of our business operations; loss of or damage to intellectual property, proprietary or confidential information, or customer, supplier, or employee data; and increased costs required to prevent, respond to, or mitigate cybersecurity attacks. Similar risks exist with respect to our business partners and third-party providers that we rely upon. We also are subject to the risk that the activities associated with our business partners and third-party providers can adversely affect our business even if the attack or breach does not directly impact our systems or information. Our use of AI software may create additional risks related to the unintentional disclosure of proprietary, confidential, or otherwise sensitive information.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cyber incidents that we have experienced to date have not had a material effect on our business, such incidents or disruptions could have a material adverse effect on us in the future. While we believe we devote significant resources to network security, disaster recovery, employee training, and other measures to secure our information technology systems and prevent unauthorized access to or loss of data, there can be no guarantee that they will be adequate to safeguard against all cyber incidents, systems disruptions, or misuses of data. In addition, while we currently maintain insurance coverage that is intended to address costs associated with certain aspects of cyber incidents and information systems failures, this insurance coverage may not cover all losses or all types of claims that arise from an incident, or the damage to our reputation or brands that may result from an incident.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Company has processes, policies, and procedures for identifying, assessing, managing, and responding to cybersecurity threats and incidents. These are integrated into our overall risk management systems, as overseen by our Board of Directors, primarily through the Audit Committee. Our policies and procedures include protocols for assessing potential material impact from cybersecurity threats and incidents, escalating to executive leadership and the Board of Directors, engaging external stakeholders, and reporting incidents based on applicable legal requirements. Our incident response plan provides guidance in the event of a cybersecurity incident, including processes with assigned roles and responsibilities to triage, contain, assess severity, escalate, investigate, and remediate incidents, as well as to comply with potentially applicable legal obligations and mitigate reputational damage.</w:t>
      </w:r>
    </w:p>
    <w:p>
      <w:pPr>
        <w:spacing w:after="0" w:line="19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We use cybersecurity technologies, products, specialized IT tools, and services including cyber threat intelligence and external cyber technology experts to understand, manage, mitigate, and continually remediate identified risks. A cybersecurity incident may be detected in a number of ways, including through the following avenues: Security Operations Center (SOC) events, employee reports such as helpdesk incidents, and cybersecurity tool and service stacks (e.g., vulnerability detection, threat intelligence, anti-virus, and malware detection tools). All cybersecurity risks are logged into the Company’s cybersecurity risk register where they are tracked for remediation. These cybersecurity risks are discussed with management for resolution planning and escalation. We leverage recognized cybersecurity frameworks to drive strategic direction and maturity improvement and engage third party security experts for risk assessments, risk mitigation actions, vulnerability identification, and program enhancements.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test our security controls through internal and external penetration testing that covers both corporate and plant IT networks by external specialized vendors, as well as in connection with auditing of our financial systems. We also conduct regular cybersecurity tabletop exercises to test established policies and procedures for responding to cybersecurity threats and incidents. In addition, we conduct an annual independent review of our cybersecurity posture.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Throughout the year, we conduct cybersecurity training and awareness for our employees to help identify, avoid, and mitigate cybersecurity threats utilizing various delivery methods such as phishing campaigns, training sessions, and informational bulletins.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risk assessments of third-party suppliers and service providers including due diligence assessments of third-party suppliers and service providers that have access to the Company’s networks, confidential information, and information systems. We provide all third-party vendors, consultants, and partners with detailed security requirements for securing their connections into our IT networks. Third-party service providers are also typically contractually responsible for identifying and remediating security issues within their technology and service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has not identified risks from cybersecurity threats, including as a result of any previous cybersecurity incidents, that have materially affected or are reasonably likely to materially affect the Company, including its business strategy, results of operations, or financial condition. For more information, see “Item 1A. Risk Factors, </w:t>
      </w:r>
      <w:r>
        <w:rPr>
          <w:rFonts w:ascii="Times New Roman" w:cs="Times New Roman" w:eastAsia="Times New Roman" w:hAnsi="Times New Roman"/>
          <w:sz w:val="18"/>
          <w:szCs w:val="18"/>
          <w:i w:val="1"/>
          <w:iCs w:val="1"/>
          <w:color w:val="auto"/>
        </w:rPr>
        <w:t>Our operations have been and will continue to be subject to cyberattacks and other disruptions to our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that could have a material adverse impact on our business, consolidated results of operations, and consolidated financial condition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responsible for overseeing the assessment and management of enterprise-level risks that may impact the Company. The Audit Committee has primary responsibility for overseeing risk management, including oversight of risks from cybersecurity threats. Management reports on cybersecurity matters, including material risks and threats, to the Audit Committee at regularly scheduled Audit Committee meetings, which are then discussed with the Board of Directors. The reports discuss specific risks and mitigation efforts, including critical and high cyber risks from the risk register, the results of our annual independent review of the Company’s cybersecurity posture, and other third-party assessments and benchmarking information.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 w:name="page20"/>
    <w:bookmarkEnd w:id="19"/>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It is management’s responsibility to manage cybersecurity risks, as described above, and bring to the Board’s attention material risks. Under the oversight of the Audit Committee, and as directed by the Company’s Chief Executive Officer, the Company’s Chief Information Officer (CIO) is primarily responsible for the assessment and management of cybersecurity risks. The CIO, who reports to the Chief Financial Officer, is aided by a third-party Chief Information Security Officer with over 40 years of experience, in addition to other external professionals. Management’s risk oversight is also accomplished through the Company’s Strategic Risk Management Committee and Operating Risk Management Committee, which provide cross-functional support for cybersecurity risk management, as well as the Company’s Chief Compliance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821"/>
        <w:spacing w:after="0" w:line="282" w:lineRule="auto"/>
        <w:rPr>
          <w:sz w:val="20"/>
          <w:szCs w:val="20"/>
          <w:color w:val="auto"/>
        </w:rPr>
      </w:pPr>
      <w:r>
        <w:rPr>
          <w:rFonts w:ascii="Times New Roman" w:cs="Times New Roman" w:eastAsia="Times New Roman" w:hAnsi="Times New Roman"/>
          <w:sz w:val="18"/>
          <w:szCs w:val="18"/>
          <w:color w:val="auto"/>
        </w:rPr>
        <w:t>The Company's global headquarters is located in New York City, New York. The leadership team for the Company is primarily located in our New York City and Bethlehem, Pennsylvania offices.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At December 31, 2025, MTI had 113 manufacturing facilities, 12 research facilities, and 15 mining locations, which are generally owned by the Company. In addition to its global headquarters, the Company leases or owns a number of sales and administrative offices globally. Among our two segments, there are 75 manufacturing facilities in our Consumer &amp; Specialties segment and 25 manufacturing facilities in our Engineered Solutions segment with the remaining 13 manufacturing facilities being shared between the two segments. We believe that all of our significant facilities and equipment are in good condition, well-maintained and adequate for our present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manufacturing sites by operating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 Site by Segment Location</w:t>
            </w:r>
          </w:p>
        </w:tc>
        <w:tc>
          <w:tcPr>
            <w:tcW w:w="2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Consumer &amp; Specialties</w:t>
            </w:r>
          </w:p>
        </w:tc>
        <w:tc>
          <w:tcPr>
            <w:tcW w:w="2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24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Shared</w:t>
            </w:r>
          </w:p>
        </w:tc>
      </w:tr>
      <w:tr>
        <w:trPr>
          <w:trHeight w:val="243"/>
        </w:trPr>
        <w:tc>
          <w:tcPr>
            <w:tcW w:w="3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Borders>
              <w:top w:val="single" w:sz="8" w:color="auto"/>
            </w:tcBorders>
          </w:tcPr>
          <w:p>
            <w:pPr>
              <w:spacing w:after="0"/>
              <w:rPr>
                <w:sz w:val="21"/>
                <w:szCs w:val="21"/>
                <w:color w:val="auto"/>
              </w:rPr>
            </w:pPr>
          </w:p>
        </w:tc>
      </w:tr>
      <w:tr>
        <w:trPr>
          <w:trHeight w:val="24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Slovakia</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86"/>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jc w:val="right"/>
              <w:ind w:right="291"/>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61"/>
        </w:trPr>
        <w:tc>
          <w:tcPr>
            <w:tcW w:w="3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Mining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Information concerning our mining properties in this Annual Report on Form 10-K is disclosed in accordance with the requirements of subpart 1300 of Regulation S-K.</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relies on access to bentonite reserves to support our businesses. The Company has reserves of sodium and calcium bentonite at various locations in the U.S., including Wyoming, Montana, South Dakota, Nevada, and Alabama, as well as in Australia, China, Slovakia, and Turkey. Through the Company’s affiliations and joint ventures, the Company also has access to bentonite deposits in Mexico. The Company owns or controls the properties on which the bentonite reserves are located through long-term leases, royalty agreements (including easement and right of way agreements), and patented and unpatented mining claims. No single or group of mining claims or leases is significant or material to the financial condition or operations of our Company or our segments. The majority of our current bentonite mining in the U.S. occurs on reserves where our rights to such reserves accrue to us through over 80 mining leases and royalty agreements and 2,000 mining claims. A majority of these are with private parties and located in South Dakota, Montana, and Wyoming. The bentonite deposits underlying these claims and leases generally lie in parcels of land varying between 20 and 40 acres.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our bentonite reserves are immediately adjacent to, or within sixty miles of, one of the related processing plants. All of the properties on which our reserves are located are either physically accessible for the purposes of mining and hauling or the cost of obtaining physical access would not be material. Access to processing facilities from the mining areas is generally by private road, public highway, or railroad. For most of our leased properties and mining claims, there are multiple means of access.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Bentonite is surface mined, generally with large earthmoving bulldozers and scrapers, and then loaded into trucks and off-highway-haul wagons for movement to processing plants. The mining and hauling of our bentonite is done by us and by independent contractors. At the processing plants, bentonite is dried, crushed, and sent through grinding mills, where it is sized to customer requirements, then chemically modified, where needed, and transferred to silos for automatic bagging or bulk shipment. Most of the production is shipped as processed rather than stored for inventory.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mine leonardite, a form of oxidized lignite, in North Dakota, and transport it to nearby processing facilities.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Consumer &amp; Specialties segment is supported by the Company’s limestone reserves located in the western and eastern parts of the United States. The Company generally owns and surface mines these reserves and processes its products at nearby processing plants.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owns mineral deposits that it is not currently mining, including deposits of bentonite in Nevada, and leases its limestone mine in Pima, Arizona to a third party.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Below is a map of our significant mines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154305</wp:posOffset>
            </wp:positionV>
            <wp:extent cx="4020185" cy="2914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018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quantitative and qualitative factors applicable, we do not consider any of our mines to be individually material to the Company’s business or financial condition. The following provides an overview of the Company’s most significant mining properties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Colony, Wyoming Mines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Colony, WY mining operations are located in the northern Black Hills in the tri-state area of South Dakota, Wyoming, and Montana, with processing facilities located in Colony, WY and Belle Fourche, SD.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local processing facilities are supported by bentonite clay supplied from 52 million tons of proven and probable reserves, comprised of leases (72%), unpatented claims (22%), and owned properties (6%). The area operates under 12 mining permits covering approximately 100,000 acres, with active mining and future mineral reserves located within 35 miles of the Colony processing facilities.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Black Hills are a northward-trending anticlinal uplift approximately 200 miles long and flank the Powder River Basin to the west and southwest and the Williston Basin to the northeast. The bentonite clay in the Black Hills area is predominantly of the sodium type and was formed by the in-situ alteration of rhyolite volcanic 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Bentonite mining consists of shallow surface mining for bentonite beds located in the Mitten Black Shale, Gammon Ferruginous, Belle Fourche Shale, Green Horn Formations, Mowry, and Newcastle shales and sandstones. A back-cast method of mining is used whereby small pits are progressively opened and then quickly backfilled in succession as mining progresses along outcrops. The majority of pits are reclaimed in the same year that they were first disturbed.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Annual exploration and permitting activities target the replacement of the number of tons mined to support the long-term sustainability of local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Colony area mines are supported by 2 main processing plants located in Colony, WY. These plants produce both powder and granular products. A wet-processing facility is located near Belle Fourche, SD. All three facilities have direct access to rail.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Lovell, Wyoming Mines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Lovell, WY mining operations are located in the Bighorn Basin near Lovell, WY with processing facilities located 3 miles east of the town of Lovell. One facility produces powder and granular bentonite products; the other facility produces geosynthetic clay liners and other environmental products. Both facilities have direct access to rail.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Lovell processing facility is supported by bentonite clay supplied from 34 million tons of proven and probable reserves, comprised of leases (12%), unpatented claims (44%), and owned properties (44%). The area operates under 2 mining permits covering ~30,000 acres, with active mining and future mineral reserves located within 30 miles of the Lovell processing facilities.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Bighorn Basin is a large sedimentary basin in northwestern Wyoming. It is Laramide in age and trends northwest-southeast. The bentonite clay in the Bighorn Basin is predominantly of the sodium type. Mining occurs from 19 different bentonite beds occurring in 3 geologic formations – the Thermopolis shale, the Mowry shale, and the Frontier shale – which were deposited during the Upper Cretaceous Period between 70 to 100 million years ago. A back-cast method of mining is used whereby small pits are progressively opened and then quickly backfilled in succession as mining progresses along outcrops. Most pits are reclaimed in the same year that they were first disturbed.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Annual exploration and permitting activities target the replacement of the number of tons mined to support the long-term sustainability of local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Enez, Turkey Mines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Enez-area bentonite mines are located near the town of Enez, Edirne Province, in the Thrace region of northwestern Turkey. These mines are operated through contract mining and hauling, using conventional open-pit truck-and-shovel methods. The properties consist of both government-issued mining claims and privately-owned lands.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bentonite deposits belong to the Upper Miocene Ergene Formation and were formed by the diagenetic alteration of volcanic ash and tuff in a lacustrine environment. The ore is primarily calcium bentonite (Ca-smectite), with associated minerals quartz, feldspar, and calcite. The ore is suitable for applications in metalcasting, drilling fluids, animal feeds, and bleaching. Ore from the mines is transported by truck to a nearby processing facility, where it is stockpiled, dried, and milled into granular or powdered products for shipment to end-use markets.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Ünye, Turkey Mines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Ünye-area mines, Nadirli and Konan, are located southwest of the town of Ünye, Turkey on the southern coast of the Black Sea. These mines are operated by the Company via contract mining and hauling. Both mines use conventional open-pit truck-and-shovel mining methods. The properties are comprised of both government-issued mining claims and privately-owned lands. The orebodies were produced by hydrothermal alteration and generally occur as massive deposits greater than 10 meters in thickness. The bentonite ore is notable for its high brightness.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Ore from the mines is transported by truck to a processing facility in the town of Ünye, where it is stockpiled, dried, and converted to granular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Uşak, Turkey Mines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Uşak-area mines are located southwest of the town of Uşak, Turkey, in the eastern Aegean region. These mines are operated by the Company through contract mining and hauling, using conventional open-pit truck-and-shovel methods. The properties consist of both government-issued mining claims and privately owned lands. The ore bodies were formed by diagenetic alteration of rhyolitic tuff and include silica and calcite as associated minerals.</w:t>
      </w:r>
    </w:p>
    <w:p>
      <w:pPr>
        <w:spacing w:after="0" w:line="110" w:lineRule="exact"/>
        <w:rPr>
          <w:sz w:val="20"/>
          <w:szCs w:val="20"/>
          <w:color w:val="auto"/>
        </w:rPr>
      </w:pPr>
    </w:p>
    <w:p>
      <w:pPr>
        <w:jc w:val="both"/>
        <w:ind w:firstLine="653"/>
        <w:spacing w:after="0" w:line="258" w:lineRule="auto"/>
        <w:rPr>
          <w:sz w:val="20"/>
          <w:szCs w:val="20"/>
          <w:color w:val="auto"/>
        </w:rPr>
      </w:pPr>
      <w:r>
        <w:rPr>
          <w:rFonts w:ascii="Times New Roman" w:cs="Times New Roman" w:eastAsia="Times New Roman" w:hAnsi="Times New Roman"/>
          <w:sz w:val="18"/>
          <w:szCs w:val="18"/>
          <w:color w:val="auto"/>
        </w:rPr>
        <w:t>The ore is notable for its high natural porosity, characteristics that enhance its suitability for purifying edible oils using environmentally friendly manufacturing processes. Ore from the mines is transported by truck to a processing facility in the town of Banaz/Uşak, where it is stockpiled, processed, and milled.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Dongming, China Mines</w:t>
      </w:r>
    </w:p>
    <w:p>
      <w:pPr>
        <w:spacing w:after="0" w:line="229"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The Company’s Dongming mines and processing facilities are located in Jianping County, Liaoning Province, China. The regional bentonite occurs within the Jurassic Jingangshan and Tuhulu formations, which were deposited during the Upper Jurassic Period between 135 to 144 million years ago. The thickness of the bentonite layers varies from 0.5 to 40m. The bentonite clay in the region is predominantly of the calcium type and is converted to sodium bentonite to produce the majority of products.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The Dongming mines consist of 16 small mining areas under 4 mining permits covering approximately 1,200 acres controlled by the Company. Rights to the bentonite are leased from the Chinese government and separate agreements are made with landowners for surface access and mining. Much of the bentonite supplied to the Dongming processing facility is from third-party mines, with Company-controlled mines used to supplement supply and as strategic backup reserves. In most cases, supply from third-party mines is directly supervised by local Company staff, which assists with grading and quality control.</w:t>
      </w:r>
    </w:p>
    <w:p>
      <w:pPr>
        <w:spacing w:after="0" w:line="18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All mines are operated by contractors with conventional open-pit truck-and-shovel mining methods. Clay from the mines is hauled by trucks to the Company’s processing facility. The primary processing facility is located approximately 50 miles west of Chaoyang, Liaoning Province near the Dongming mines.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Adams, Massachusetts Mine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Adams mine and the associated processing facility is located in the town of Adams, in the Northwest corner of Massachusetts. The property consists of approximately 800 total acres, including the land on which the production facilities sit. Production of lime began on the site in the 1850s and continues today with GCC, lime, and PCC. The open pit mine consists mainly of a mineral deposit of limestone. The deposit is part of the Shelburne geological formation, which runs up and down the eastern coast of the United States.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mined material is finely pulverized at the processing facility using a variety of crushing and milling equipment. It is sold as ground products, calcined into lime, or synthesized into precipitated crystals or PCC. The resulting calcium and calcium carbonate products are primarily used as food and pharmaceutical ingredients, sealant additives, high-end construction ingredients, and asphalt roofing shingles.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 is wholly owned by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over 150 years of mining on site by the Company and its predecessors, the resources are well understood. A mine plan has been developed based on the prior mining activities and a core drilling program was completed in 2019. The reserves and resources are the product of this recent life-of-mine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Canaan, Connecticut Mine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Canaan mine and the associated processing facility are located in the town of North Canaan, Connecticut and consists of approximately 208 total acres. The mine is situated between Canaan Mountain to the south and Lower Road to the north.  The mine is located approximately 1.0 miles south of the main processing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open pit mine consists mainly of dolomitic limestone. The mined dolomite is finely pulverized at the processing facility using a variety of crushing and milling equipment. The resulting Ground Calcium Carbonate (GCC) is primarily used by high-end, high-volume construction markets in joint compounds, floor coverings, asphalt roofing shingles, and glass.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Lucerne Valley, California Mines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Lucerne Valley operation consists of three high-purity, calcium carbonate surface mining leases, a processing and packaging facility, and supporting infrastructure within 7,347 acres in the town of Lucerne Valley in San Bernardino County, California.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Calcium carbonate mining onsite stretches back to the early 1950s. The Marble Canyon and Arctic Canyon Leases are both still active, with Marble Canyon at a minimal rate of production. Furnace Canyon is in an advanced stage of reclamation. All mineral rights are owned by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8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sets forth the tons usage for the fiscal years 2025, 2024, and 2023 by major mineral category.</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6"/>
        </w:trPr>
        <w:tc>
          <w:tcPr>
            <w:tcW w:w="738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Limestone</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Tons (000s)</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Tons (000s)</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Tons (000s)</w:t>
            </w:r>
          </w:p>
        </w:tc>
      </w:tr>
      <w:tr>
        <w:trPr>
          <w:trHeight w:val="209"/>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Adams, MA</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Canaan, CT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Lucerne Valley, CA</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Pima County, AZ</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Limestone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7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Sodium Bentonite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Belle/Colony, WY/SD</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Lovell, WY</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Sodium Bentonite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w:t>
            </w:r>
          </w:p>
        </w:tc>
      </w:tr>
      <w:tr>
        <w:trPr>
          <w:trHeight w:val="216"/>
        </w:trPr>
        <w:tc>
          <w:tcPr>
            <w:tcW w:w="7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Calcium Bentonite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Chao Yang, Liaoning, China</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Sandy Ridge, AL</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Slovakia, Lutila</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 Enez</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Turkey, Uşak</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Turkey, Ünye</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Calcium Bentonite</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7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Leonardite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Gascoyne, ND</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7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GRAND TOTALS (1)</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5,494</w:t>
            </w:r>
          </w:p>
        </w:tc>
      </w:tr>
      <w:tr>
        <w:trPr>
          <w:trHeight w:val="20"/>
        </w:trPr>
        <w:tc>
          <w:tcPr>
            <w:tcW w:w="7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81"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also has mined, beneficiated, and processed talc through its BMI Oldco Inc. (f/k/a Barretts Minerals Inc.) (“Oldco”) subsidiary in prior years. In the fourth quarter of 2023, Oldco filed a voluntary petition for relief under Chapter 11 of the U.S. Bankruptcy Code, and Oldco was deconsolidated from our consolidated financial statements. See Note 17 to the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Proven and Probable Reserves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proven and probable reserves, as well as the conversion factor for the conversion of in-situ materials to saleable products by major minerals category at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Proven and Probable Reserves (1)(2)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Proven</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Probable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Reserves (1)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Reserves (1)</w:t>
            </w:r>
          </w:p>
        </w:tc>
        <w:tc>
          <w:tcPr>
            <w:tcW w:w="10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70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00" w:type="dxa"/>
            <w:vAlign w:val="bottom"/>
          </w:tcPr>
          <w:p>
            <w:pPr>
              <w:spacing w:after="0"/>
              <w:rPr>
                <w:sz w:val="19"/>
                <w:szCs w:val="19"/>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Factor (%)</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Unpatented</w:t>
            </w: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0" w:type="dxa"/>
            <w:vAlign w:val="bottom"/>
          </w:tcPr>
          <w:p>
            <w:pPr>
              <w:spacing w:after="0"/>
              <w:rPr>
                <w:sz w:val="1"/>
                <w:szCs w:val="1"/>
                <w:color w:val="auto"/>
              </w:rPr>
            </w:pPr>
          </w:p>
        </w:tc>
      </w:tr>
      <w:tr>
        <w:trPr>
          <w:trHeight w:val="130"/>
        </w:trPr>
        <w:tc>
          <w:tcPr>
            <w:tcW w:w="47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Limestone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Adams, MA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Canaan, CT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Lucerne Valley, CA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Pima County, AZ</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Limestone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Sodium Bentonite</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Belle/Colony, WY/SD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Lovell, WY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SD, WY, MT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43,117</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54,815</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Sodium Bentonite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Calcium Bentonite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Chao Yang, Liaoning, China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Sandy Ridge, 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Slovakia, Lutila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Turkey, Enez</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 Uşak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Turkey, Ünye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Calcium Bentonite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Leonardite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Gascoyne, ND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47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GRAND TOTALS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159,688</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86,885</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134,245</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47,921</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64,407</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definitions:</w:t>
      </w:r>
    </w:p>
    <w:p>
      <w:pPr>
        <w:spacing w:after="0" w:line="26" w:lineRule="exact"/>
        <w:rPr>
          <w:rFonts w:ascii="Times New Roman" w:cs="Times New Roman" w:eastAsia="Times New Roman" w:hAnsi="Times New Roman"/>
          <w:sz w:val="16"/>
          <w:szCs w:val="16"/>
          <w:color w:val="auto"/>
        </w:rPr>
      </w:pPr>
    </w:p>
    <w:p>
      <w:pPr>
        <w:ind w:left="34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“mineral reserve” represents an estimate of tonnage and grade or quality of indicated and measured mineral resources that can be the basis of an economically viable project.</w:t>
      </w:r>
    </w:p>
    <w:p>
      <w:pPr>
        <w:ind w:left="34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“proven mineral reserve” represents the economically mineable part of a measured mineral resource and can only result from conversion of a measured mineral resource.</w:t>
      </w: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“probable mineral reserve” represents the economically mineable part of an indicated and, in some cases, a measured mineral resource.</w:t>
      </w:r>
    </w:p>
    <w:p>
      <w:pPr>
        <w:spacing w:after="0" w:line="1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Mineral reserves estimates were calculated and prepared by the Company’s in-house technical staff.</w:t>
      </w:r>
    </w:p>
    <w:p>
      <w:pPr>
        <w:spacing w:after="0" w:line="1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Quantity of reserves that would be owned if patent was granted.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Measured, Indicated and Inferred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measured, indicated, and inferred resources by major minerals category at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Resources (1)(2)</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Measured</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Indicated</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Indicated (1)</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Inferred (1)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Resources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Resources</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Resources</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Resources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Tons (000s)</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Tons (000s)</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Unpatented</w:t>
            </w: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Limestone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Adams, MA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Canaan, CT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Lucerne Valley, CA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Pima County, AZ</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Limestone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Sodium Bentonite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Belle/Colony, WY/SD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Lovell, WY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SD, WY, MT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Sodium Bentonite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Calcium Bentonite</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Chao Yang, Liaoning,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Sandy Ridge, 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Slovakia, Lutila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 Enez</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Turkey, Uşak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Turkey, Ünye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Calcium Bentonite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41,552</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Leonardite</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Gascoyne, 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GRAND TOTALS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88,970</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65,944</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154,914</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75,188</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138,023</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39,065</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53,014</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78"/>
        </w:trPr>
        <w:tc>
          <w:tcPr>
            <w:tcW w:w="3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5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27" w:name="page28"/>
    <w:bookmarkEnd w:id="27"/>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Certain definitions:</w:t>
      </w:r>
    </w:p>
    <w:p>
      <w:pPr>
        <w:spacing w:after="0" w:line="26" w:lineRule="exact"/>
        <w:rPr>
          <w:sz w:val="20"/>
          <w:szCs w:val="20"/>
          <w:color w:val="auto"/>
        </w:rPr>
      </w:pPr>
    </w:p>
    <w:p>
      <w:pPr>
        <w:ind w:left="340" w:right="20"/>
        <w:spacing w:after="0" w:line="264" w:lineRule="auto"/>
        <w:rPr>
          <w:sz w:val="20"/>
          <w:szCs w:val="20"/>
          <w:color w:val="auto"/>
        </w:rPr>
      </w:pPr>
      <w:r>
        <w:rPr>
          <w:rFonts w:ascii="Times New Roman" w:cs="Times New Roman" w:eastAsia="Times New Roman" w:hAnsi="Times New Roman"/>
          <w:sz w:val="16"/>
          <w:szCs w:val="16"/>
          <w:color w:val="auto"/>
        </w:rPr>
        <w:t>The term “mineral resource” indicates a concentration or occurrence of material of economic interest in or on the Earth’s crust in such form, grade or quality, and quantity that there are reasonable prospects for economic extraction.</w:t>
      </w:r>
    </w:p>
    <w:p>
      <w:pPr>
        <w:ind w:left="340"/>
        <w:spacing w:after="0" w:line="264" w:lineRule="auto"/>
        <w:rPr>
          <w:sz w:val="20"/>
          <w:szCs w:val="20"/>
          <w:color w:val="auto"/>
        </w:rPr>
      </w:pPr>
      <w:r>
        <w:rPr>
          <w:rFonts w:ascii="Times New Roman" w:cs="Times New Roman" w:eastAsia="Times New Roman" w:hAnsi="Times New Roman"/>
          <w:sz w:val="16"/>
          <w:szCs w:val="16"/>
          <w:color w:val="auto"/>
        </w:rPr>
        <w:t>The term “measured resource” indicates a mineral resource for which quantity and grade or quality are estimated based on conclusive geological evidence and sampling.</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term “indicated resource” indicates a mineral resource for which quantity and grade or quality are estimated based on adequate geological evidence and sampling.</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term “inferred resource” indicates a mineral resource for which quantity and grade or quality are estimated based on limited geological evidence and sampling.</w:t>
      </w:r>
    </w:p>
    <w:p>
      <w:pPr>
        <w:spacing w:after="0" w:line="1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Mineral resource estimates were calculated and prepared by the Company’s in-house technical staff.</w:t>
      </w:r>
    </w:p>
    <w:p>
      <w:pPr>
        <w:spacing w:after="0" w:line="1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Quantity of resources that would be owned if patent was granted.</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estimates of total reserves and resources noted in the tables above require the Company to make certain key assumptions. These assumptions relate to consistency of deposits in relation to drilling samples obtained with respect to both quantity and quality of reserves contained therein; the ratio of overburden to mineral deposits; any environmental or social impact of mining the minerals; and profitability of extracting those minerals, including haul distance to processing plants, applicability of minerals to various end markets and selling prices within those markets, and our past experiences in the deposits, several of which we have been operating in for many decades.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Mining Lead Team that develops standards and systems to ensure Company-wide use of best practices for mining and exploration. The Mining Lead Team ensures that the Company maintains robust controls over its exploration and resource and reserve estimation efforts. In particular, because the Company has a long history of operations at its mining operations, the Company is able to continuously validate its resource and reserve estimates by reference to actual production from each mine. During the process from exploration to final production, ore is tested a minimum of 3 times beginning with exploration drilling, again after overburden removal and finally on finished products after plant processing. In some cases when blending ore grades, an additional step of testing occurs on stockpiles after hauling from the mine but before plant processing. The quantities, qualities, and costs of grades obtained from mining and processing are reconciled to quantities, qualities, and costs from reserve estimates and mine models. To enable additional verification of reserves if needed, all exploration samples are retained until areas are mined out and reclaimed.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its facilities, which are of varying ages and different construction types, have been satisfactorily maintained, are in good condition, are suitable for the Company’s operations, and generally provide sufficient capacity to meet the Company’s production requirements. Based on past loss experience, the Company believes it is adequately insured with respect to these assets and for liabilities likely to arise from its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holds numerous environmental and mineral extraction permits, water rights and other permits, licenses, and approvals from governmental authorities authorizing operations at each of our mines. Permits, licenses, and approvals are obtained as needed in the normal course of business based on our mine plans and applicable regulatory provisions regarding mine permitting and licensing. Based on our historical permitting experience, we expect to be able to continue to obtain necessary mining permits and approvals to support historical rates of production.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the continuation of 2025 annualized usage rates, the Company has reserves of commercially usable sodium bentonite in excess of 50 years, commercially usable calcium bentonite for the next 18 years, and commercially usable leonardite for more than 50 years. At current usage levels, the Company has reserves in excess of 28 years at its limestone production facilities.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ongoing exploration and development activities for all of its mineral interests with the intent to increase its proven and probable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and its subsidiaries are the subject of various legal actions and claims arising in the ordinary course of their businesses. The most significant litigation facing the Company is the asbestos-related Chapter 11 cases of BMI Oldco Inc. (f/k/a Barretts Minerals Inc.) and Barretts Ventures Texas LLC. Additional information regarding legal proceedings is disclosed in Note 17 to the Consolidated Financial Statements included elsewhere in this report, which disclosure is incorporated herein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are the names and ages of all Executive Officers of the Registrant indicating all positions and offices with the Registrant held by each such person, and each such person’s principal occupations or employment during the past five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T. Dietrich</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Borders>
              <w:top w:val="single" w:sz="8" w:color="CCEEFF"/>
            </w:tcBorders>
            <w:shd w:val="clear" w:color="auto" w:fill="CCEEFF"/>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 C. Aldag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Finance and Treasury, and Chief Financial Officer</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Argirakis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Group President, Engineered Solutions</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Cipolla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Erin N. Cutler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Vice President, Human Resources</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J. Hastings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Strategy and M&amp;A</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J. Jordan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Vice President, General Counsel, Secretary and Chief Compliance Officer</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 Monagle, III</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Group President, Consumer &amp; Specialties</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Douglas T. Dietrich was elected Chairman of the Board in March 2021. He has served as the Chief Executive Officer since December 2016. He joined the Company in August 2007 as Vice President, Corporate Development and Treasury, and was appointed Senior Vice President, Finance and Treasury, Chief Financial Officer effective January 2011. Prior to joining the Company, Mr. Dietrich was Vice President, Alcoa Wheel Products since 2006 and President, Alcoa Latin America Extrusions and Global Rod and Bar Products since 2002.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Erik C. Aldag was named Senior Vice President, Finance and Treasury, and Chief Financial Officer effective November 2022. Mr. Aldag joined the Company in 2017 as Director of Financial Analysis and Planning and assumed the role of Investor Relations in 2020. Mr. Aldag has led finance teams in the U.S. and internationally in companies serving both consumer and industrial markets as Finance Director of The Chia Co. and in various positions at Alcoa Inc.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Brett Argirakis was named Group President, Engineered Solutions in January 2023. Prior to that he was Senior Vice President and Managing Director, Minteq International Inc. and MTI Global Supply Chain effective December 2020, and Vice President and Managing Director, Minteq International effective in 2016 with additional responsibility for MTI Global Supply Chain given in October 2019. Mr. Argirakis joined the Company in 1987 and has held positions of increasing responsibility. Prior to his current position, he was Global Vice President &amp; General Manager, Refractories effective August 2009. Prior to that, he served as Director, Marketing, Minteq Europe and as Director of Sales and Field Operations for Minteq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Michael A. Cipolla was named Vice President, Corporate Controller and Chief Accounting Officer in July 2003. Prior to that, he served as Corporate Controller and Chief Accounting Officer of the Company since 1998. From 1992 to 1998 he served as Assistant Corporate Controller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Erin N. Cutler was named Vice President, Human Resources effective August 2020. Prior to that, she was Director, Talent Management, where she led major human resources initiatives including enhancing talent management and succession practices, strengthening talent acquisition efforts, and building talent development programs through the creation and deployment of internship and mentorship programs. Prior to joining the Company in July 2015, she was employed by Pratt Industries where she held multiple human resource positions of increasing responsibility.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Jonathan J. Hastings was named Senior Vice President, Strategy and M&amp;A in January 2023. Prior to that, he was Group President, Performance Materials effective June 2018. He joined the Company in September 2011 as Vice President, Corporate Development, and was appointed Senior Vice President, Corporate Development effective April 2013. Prior to joining the Company, he was Senior Director of Strategy and New Business Development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Coatings, Global at The Dow Chemical Company. Prior to that he held positions of increasing responsibility at Rohm and Haas, including Vice President &amp; General Manager – Packaging and Building Materials – Europe.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Timothy J. Jordan was named Vice President, General Counsel, Secretary, and Chief Compliance Officer effective January 2023. He joined the Company in 2008 managing all legal aspects of the organization and providing legal support to all corporate functions, as well as, commercial, environmental/regulatory and supply chain activities. Mr. Jordan possesses global expertise in designing, negotiating, and implementing complex packages inclusive of joint venture, long-term manufacturing/supply, sourcing, construction, real estate, and technology licensing agreements. Prior to his tenure at the Company, Mr. Jordan specialized in cross-border transactions as an antitrust/M&amp;A specialist for law firms in the EMEA region.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D.J. Monagle III was named Group President, Consumer &amp; Specialties in January 2023. Prior to that he was Group President, Specialty Minerals and Refractories effective March 2017 and Senior Vice President, Chief Operating Officer – Specialty Minerals Inc. and Minteq Group, effective February 2014. He joined the Company in January of 2003 and held positions of increasing responsibility including Senior Vice President and Managing Director, Paper PCC; Vice President and Managing Director - Performance Minerals; Vice President, Americas, Paper PCC; and Global Marketing Director, Paper PCC. Before joining the Company, Mr. Monagle worked for the Paper Technology Group at Hercules between 1990 and 2003, where he held sales and marketing positions of increasing responsibility. Between 1985 and 1990, he served as an aviation officer in the U.S. Army’s 11th Armored Cavalry Regiment, leaving the service as a troop commander with a rank of Captain.</w:t>
      </w:r>
    </w:p>
    <w:p>
      <w:pPr>
        <w:sectPr>
          <w:pgSz w:w="11900" w:h="16838" w:orient="portrait"/>
          <w:cols w:equalWidth="0" w:num="1">
            <w:col w:w="11240"/>
          </w:cols>
          <w:pgMar w:left="320" w:top="270" w:right="339" w:bottom="1440" w:gutter="0" w:footer="0" w:header="0"/>
        </w:sectPr>
      </w:pPr>
    </w:p>
    <w:p>
      <w:pPr>
        <w:spacing w:after="0" w:line="1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“MTX.”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6, 2026 there were approximately 184 holders of record of the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060" w:type="dxa"/>
            <w:vAlign w:val="bottom"/>
          </w:tcPr>
          <w:p>
            <w:pPr>
              <w:spacing w:after="0"/>
              <w:rPr>
                <w:sz w:val="24"/>
                <w:szCs w:val="24"/>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86"/>
        </w:trPr>
        <w:tc>
          <w:tcPr>
            <w:tcW w:w="6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0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the</w:t>
            </w: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0" w:type="dxa"/>
            <w:vAlign w:val="bottom"/>
          </w:tcPr>
          <w:p>
            <w:pPr>
              <w:spacing w:after="0"/>
              <w:rPr>
                <w:sz w:val="1"/>
                <w:szCs w:val="1"/>
                <w:color w:val="auto"/>
              </w:rPr>
            </w:pPr>
          </w:p>
        </w:tc>
      </w:tr>
      <w:tr>
        <w:trPr>
          <w:trHeight w:val="86"/>
        </w:trPr>
        <w:tc>
          <w:tcPr>
            <w:tcW w:w="6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18"/>
                <w:szCs w:val="18"/>
                <w:color w:val="auto"/>
              </w:rPr>
            </w:pPr>
          </w:p>
        </w:tc>
        <w:tc>
          <w:tcPr>
            <w:tcW w:w="10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0" w:type="dxa"/>
            <w:vAlign w:val="bottom"/>
          </w:tcPr>
          <w:p>
            <w:pPr>
              <w:spacing w:after="0"/>
              <w:rPr>
                <w:sz w:val="1"/>
                <w:szCs w:val="1"/>
                <w:color w:val="auto"/>
              </w:rPr>
            </w:pPr>
          </w:p>
        </w:tc>
      </w:tr>
      <w:tr>
        <w:trPr>
          <w:trHeight w:val="130"/>
        </w:trPr>
        <w:tc>
          <w:tcPr>
            <w:tcW w:w="60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0" w:type="dxa"/>
            <w:vAlign w:val="bottom"/>
          </w:tcPr>
          <w:p>
            <w:pPr>
              <w:spacing w:after="0"/>
              <w:rPr>
                <w:sz w:val="1"/>
                <w:szCs w:val="1"/>
                <w:color w:val="auto"/>
              </w:rPr>
            </w:pPr>
          </w:p>
        </w:tc>
      </w:tr>
      <w:tr>
        <w:trPr>
          <w:trHeight w:val="108"/>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29 - October 26</w:t>
            </w: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60" w:type="dxa"/>
            <w:vAlign w:val="bottom"/>
            <w:vMerge w:val="continue"/>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87,200</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904,190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October 27 - November 23</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941,318</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November 24 - December 31</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58,804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1,000,122</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183,132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Dollar Value</w:t>
      </w:r>
    </w:p>
    <w:p>
      <w:pPr>
        <w:spacing w:after="0" w:line="3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Shares that</w:t>
      </w:r>
    </w:p>
    <w:p>
      <w:pPr>
        <w:spacing w:after="0" w:line="3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May</w:t>
      </w:r>
    </w:p>
    <w:p>
      <w:pPr>
        <w:spacing w:after="0" w:line="95" w:lineRule="exact"/>
        <w:rPr>
          <w:sz w:val="20"/>
          <w:szCs w:val="20"/>
          <w:color w:val="auto"/>
        </w:rPr>
      </w:pPr>
    </w:p>
    <w:p>
      <w:pPr>
        <w:jc w:val="center"/>
        <w:ind w:left="-94" w:right="100"/>
        <w:spacing w:after="0" w:line="256" w:lineRule="auto"/>
        <w:rPr>
          <w:sz w:val="20"/>
          <w:szCs w:val="20"/>
          <w:color w:val="auto"/>
        </w:rPr>
      </w:pPr>
      <w:r>
        <w:rPr>
          <w:rFonts w:ascii="Times New Roman" w:cs="Times New Roman" w:eastAsia="Times New Roman" w:hAnsi="Times New Roman"/>
          <w:sz w:val="18"/>
          <w:szCs w:val="18"/>
          <w:b w:val="1"/>
          <w:bCs w:val="1"/>
          <w:color w:val="auto"/>
        </w:rPr>
        <w:t>Yet be Purchased Under the Program</w:t>
      </w:r>
    </w:p>
    <w:p>
      <w:pPr>
        <w:spacing w:after="0" w:line="3" w:lineRule="exact"/>
        <w:rPr>
          <w:sz w:val="20"/>
          <w:szCs w:val="20"/>
          <w:color w:val="auto"/>
        </w:rPr>
      </w:pPr>
    </w:p>
    <w:p>
      <w:pPr>
        <w:ind w:left="215" w:hanging="215"/>
        <w:spacing w:after="0"/>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144,416,451</w:t>
      </w:r>
    </w:p>
    <w:p>
      <w:pPr>
        <w:spacing w:after="0" w:line="22"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142,295,825</w:t>
      </w:r>
    </w:p>
    <w:p>
      <w:pPr>
        <w:spacing w:after="0" w:line="9"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138,753,299</w:t>
      </w:r>
    </w:p>
    <w:p>
      <w:pPr>
        <w:spacing w:after="0" w:line="479" w:lineRule="exact"/>
        <w:rPr>
          <w:sz w:val="20"/>
          <w:szCs w:val="20"/>
          <w:color w:val="auto"/>
        </w:rPr>
      </w:pPr>
    </w:p>
    <w:p>
      <w:pPr>
        <w:sectPr>
          <w:pgSz w:w="11900" w:h="16838" w:orient="portrait"/>
          <w:cols w:equalWidth="0" w:num="2">
            <w:col w:w="9920" w:space="105"/>
            <w:col w:w="1215"/>
          </w:cols>
          <w:pgMar w:left="320" w:top="270" w:right="339" w:bottom="1440" w:gutter="0" w:footer="0" w:header="0"/>
          <w:type w:val="continuous"/>
        </w:sect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2024, the Company's Board of Directors authorized the Company's management to repurchase, at its discretion, up to $200 million of the Company's shares. As of December 31, 2025, 1,000,122 shares have been repurchased under this program for $61.3 million, or an average price of approximately $61.24 per share. This authorization has no expiration date.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graph below compares the Company's cumulative 5-year total shareholder return on common stock with the cumulative total returns of the S&amp;P SmallCap 600 index, the Russell 2000 index, and the Dow Jones US Basic Materials index. The graph tracks the performance of a $100 investment in our common stock and in each index (with the reinvestment of all dividends) from December 31, 2020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123190</wp:posOffset>
            </wp:positionV>
            <wp:extent cx="4560570" cy="3789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6057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Minerals Technologies Inc.</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S&amp;P SmallCap 600</w:t>
            </w: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134.40</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Dow Jones US Basic Materials</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for “Safe Harbor” Purposes under the Private Securities Litigation Reform Act of 1995</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the Company. This report contains statements that the Company believes may be “forward-looking statements” within the meaning of Section 21E of the Securities Exchange Act of 1934, particularly statements relating to the Company’s objectives, plans or goals, future actions, future performance or results of current and anticipated products, sales efforts, expenditures, and financial results. From time to time, the Company also provides forward-looking statements in other publicly released materials, both written and oral.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statements can be guaranteed. Actual future results may vary materially. Significant factors affecting the expectations and forecasts are set forth under “Item 1A — Risk Factors” in this Annual Report on Form 10-K.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undertakes no obligation to update any forward-looking statements to reflect events or circumstances that arise after the date hereof.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should refer to the Company’s subsequent filings under the Securities Exchange Act of 1934 for further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Worldwide net sales were $2.1 billion in 2025, a 2% decrease from 2024. Consolidated income from operations was $47.4 million in 2025, as compared with $286.5 million in 2024. Included in income from operations for 2025 was a $215 million provision to establish an accrual for estimated costs to fund a trust to resolve all current and future talc-related claims for alleged exposure to asbestos-contaminated talc products sold by the Company’s subsidiary BMI Oldco Inc. (f/k/a Barretts Minerals Inc.) (“Oldco”) as well as fund the bankruptcy of the Company’s subsidiaries, Oldco and Barretts Ventures Texas LLC (“BVT” and together with Oldco, the “Chapter 11 Debtors”), and related litigation costs. Included in this provision was an additional financing of $30 million relating to the Debtor-in-Possession Credit Agreement with Oldco (the “DIP Credit Agreement”). The Company also recorded litigation expenses of $19.6 million in connection with Oldco's bankruptcy filing and lawsuits related to talc products sold by Oldco. In addition, the Company recorded a $15.0 million charge for restructuring and other items relating to a cost savings program and write-down of assets, which was offset by a net gain of $9.9 million on the final installment for the sale of refractories manufacturing assets in China and the sale of our chromite mine in South Africa.</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Included in income from operations for 2024 was a $30.0 million provision for credit loss charge relating to the initial funding of the DIP Credit Agreement with Oldco, which was offset by a net gain of $12.3 million for the installment sale of refractories manufacturing assets in China. In addition, the Company recorded $11.3 million of litigation expenses incurred in connection with the bankruptcy of Oldco.</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was $18.4 million in 2025, as compared to income of $167.1 million in the prior year. The Company reported a loss of $0.59 per share in 2025 as compared with diluted earnings of $5.17 per share in the prior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2025, the Company continued to deliver on its strategic growth initiatives driven by multi-year advancements in new product development, positioning in growth markets and geographies, geographic penetration, and growth from acquisitions.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balance sheet continues to be strong. Cash, cash equivalents, and short-term investments were $332.6 million as of December 31, 2025. Cash flow from operations for 2025 was $193.7 million. The Company repurchased $58.5 million in shares in 2025 under our $200 million buyback program. The Company currently has more than $700 million of available liquidity, including cash on hand, as well as availability under its revolving credit facility. We believe these factors will allow us to meet our anticipated funding requirements. Our intention is to maintain a balanced approach to capital deployment by using cash flow for investments in growth, returns to shareholders, and continued debt reduction.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global trade environment is dynamic. Beginning in the first quarter of 2025, the United States government has imposed tariffs on goods imported into the U.S. from numerous countries and multiple nations have responded with reciprocal tariffs and other actions. The scope and duration of such tariffs has continued to change and remains uncertain. While the Company generally manufactures products in the markets where they are sold, our businesses and suppliers import certain goods subject to U.S. imposed tariffs, in particular in our High-Temperature Technologies product line, as well as goods subject to reciprocal tariffs and other measures imposed by other countries. We continue to pursue available options to mitigate the impact of these tariffs and other measures. We have made operational and supply chain changes, utilized available exemptions or exclusions, and, where feasible, increased the prices of our goods and services. To date, as a result of our mitigation efforts, tariffs have not had a significant effect on our financial results. However, the imposition of tariffs as well as uncertainty about their scope and duration could negatively affect demand, result in increases in some input costs and/or inflation that we are unable to mitigate, or otherwise adversely affect economic conditions. The United States Supreme Court on February 20, 2026 issued a ruling striking down certain tariffs imposed by the United States, including those affecting certain goods that the Company imports. We are currently evaluating the impact of such decision. The Company continues to monitor the economic effects of the trade environment, but the effects associated with the tariffs remain uncertain.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continue to focus on innovation and new product development and other opportunities for sales growth in 2026 from its existing businesses,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Consumer &amp; Specialties Segment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Increase our presence and market share in global cat litter products, including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-63500</wp:posOffset>
            </wp:positionV>
            <wp:extent cx="5143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Deploy new products in pet care such as lightweight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Increase our sales of calcium carbonate products by further penetration into filling and coating applications in the paper and packaging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Promote the Company’s expertise in crystal engineering by developing crystal morphologies that help our customers achieve functional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Deploy new calcium carbonate products in paint, coating, and packaging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 w:lineRule="exact"/>
        <w:rPr>
          <w:sz w:val="20"/>
          <w:szCs w:val="20"/>
          <w:color w:val="auto"/>
        </w:rPr>
      </w:pPr>
    </w:p>
    <w:p>
      <w:pPr>
        <w:ind w:left="720"/>
        <w:spacing w:after="0" w:line="266" w:lineRule="auto"/>
        <w:rPr>
          <w:sz w:val="20"/>
          <w:szCs w:val="20"/>
          <w:color w:val="auto"/>
        </w:rPr>
      </w:pPr>
      <w:r>
        <w:rPr>
          <w:rFonts w:ascii="Times New Roman" w:cs="Times New Roman" w:eastAsia="Times New Roman" w:hAnsi="Times New Roman"/>
          <w:sz w:val="18"/>
          <w:szCs w:val="18"/>
          <w:color w:val="auto"/>
        </w:rPr>
        <w:t>Continue developing products and processes for waste management and recycling opportunities to reduce the environmental impact of our customers by reducing energy consumption and improving the sustainability of their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-226060</wp:posOffset>
            </wp:positionV>
            <wp:extent cx="5143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8"/>
          <w:szCs w:val="18"/>
          <w:color w:val="auto"/>
        </w:rPr>
        <w:t>Continue to develop innovative applications for our bleaching earth products for edible oil and renewable fuel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Develop natural and mineral-based solutions for personal care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Increase our presence and market share globally for retinol delivery technology for personal care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Expand our bentonite product solutions for animal health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Increase our presence and market share in fabric care, including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Engineered Solutions Segment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Increase our presence and gain penetration of our bentonite-based foundry solutions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-63500</wp:posOffset>
            </wp:positionV>
            <wp:extent cx="5143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Deploy value-added formulations of refractory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Deploy our laser measurement technologies into new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Expand our refractory maintenance model to other steel makers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 w:lineRule="exact"/>
        <w:rPr>
          <w:sz w:val="20"/>
          <w:szCs w:val="20"/>
          <w:color w:val="auto"/>
        </w:rPr>
      </w:pPr>
    </w:p>
    <w:p>
      <w:pPr>
        <w:ind w:left="720"/>
        <w:spacing w:after="0" w:line="214" w:lineRule="auto"/>
        <w:rPr>
          <w:sz w:val="20"/>
          <w:szCs w:val="20"/>
          <w:color w:val="auto"/>
        </w:rPr>
      </w:pPr>
      <w:r>
        <w:rPr>
          <w:rFonts w:ascii="Times New Roman" w:cs="Times New Roman" w:eastAsia="Times New Roman" w:hAnsi="Times New Roman"/>
          <w:sz w:val="18"/>
          <w:szCs w:val="18"/>
          <w:color w:val="auto"/>
        </w:rPr>
        <w:t>Continue the development and market penetration of our FLUORO-SORB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adsorbent products which address PFAS contamination in soil, groundwater, drinking water sources, landfill leachate, and wastewater treatment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-226060</wp:posOffset>
            </wp:positionV>
            <wp:extent cx="5143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ind w:left="720"/>
        <w:spacing w:after="0" w:line="266" w:lineRule="auto"/>
        <w:rPr>
          <w:sz w:val="20"/>
          <w:szCs w:val="20"/>
          <w:color w:val="auto"/>
        </w:rPr>
      </w:pPr>
      <w:r>
        <w:rPr>
          <w:rFonts w:ascii="Times New Roman" w:cs="Times New Roman" w:eastAsia="Times New Roman" w:hAnsi="Times New Roman"/>
          <w:sz w:val="18"/>
          <w:szCs w:val="18"/>
          <w:color w:val="auto"/>
        </w:rPr>
        <w:t>Pursue opportunities for the expanded use of our products in environmental, building and construction, infrastructure, and oil and gas drilling, and water treatment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-226060</wp:posOffset>
            </wp:positionV>
            <wp:extent cx="5143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8"/>
          <w:szCs w:val="18"/>
          <w:color w:val="auto"/>
        </w:rPr>
        <w:t>Increase our presence and market share for geosynthetic clay liners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All Segments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Further Operational Excellence principles into all aspects of the organization, including system infrastructure and lean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-63500</wp:posOffset>
            </wp:positionV>
            <wp:extent cx="5143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Continue to explore selective acquisitions to fit our competencies in minerals and our core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-66040</wp:posOffset>
            </wp:positionV>
            <wp:extent cx="5143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there can be no assurance that we will achieve success in implementing any one or more of these opportunities.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Statement Review</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2025 vs.</w:t>
            </w:r>
          </w:p>
        </w:tc>
        <w:tc>
          <w:tcPr>
            <w:tcW w:w="13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2024 vs.</w:t>
            </w:r>
          </w:p>
        </w:tc>
        <w:tc>
          <w:tcPr>
            <w:tcW w:w="0" w:type="dxa"/>
            <w:vAlign w:val="bottom"/>
          </w:tcPr>
          <w:p>
            <w:pPr>
              <w:spacing w:after="0"/>
              <w:rPr>
                <w:sz w:val="1"/>
                <w:szCs w:val="1"/>
                <w:color w:val="auto"/>
              </w:rPr>
            </w:pPr>
          </w:p>
        </w:tc>
      </w:tr>
      <w:tr>
        <w:trPr>
          <w:trHeight w:val="130"/>
        </w:trPr>
        <w:tc>
          <w:tcPr>
            <w:tcW w:w="4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08"/>
        </w:trPr>
        <w:tc>
          <w:tcPr>
            <w:tcW w:w="358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1,554.6</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margin</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Production margin %</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expenses</w:t>
            </w:r>
          </w:p>
        </w:tc>
        <w:tc>
          <w:tcPr>
            <w:tcW w:w="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extinguishment expenses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deductions, net</w:t>
            </w:r>
          </w:p>
        </w:tc>
        <w:tc>
          <w:tcPr>
            <w:tcW w:w="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non-operating deductions, net</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before tax and equity in earnings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Equity in earnings of affiliates, net of tax</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Net income (loss) attributable to Minerals Technologies Inc.</w:t>
            </w:r>
          </w:p>
        </w:tc>
        <w:tc>
          <w:tcPr>
            <w:tcW w:w="26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Percentage not meaningful</w:t>
            </w: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2025 vs.</w:t>
            </w:r>
          </w:p>
        </w:tc>
        <w:tc>
          <w:tcPr>
            <w:tcW w:w="13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2024 vs.</w:t>
            </w:r>
          </w:p>
        </w:tc>
        <w:tc>
          <w:tcPr>
            <w:tcW w:w="0" w:type="dxa"/>
            <w:vAlign w:val="bottom"/>
          </w:tcPr>
          <w:p>
            <w:pPr>
              <w:spacing w:after="0"/>
              <w:rPr>
                <w:sz w:val="1"/>
                <w:szCs w:val="1"/>
                <w:color w:val="auto"/>
              </w:rPr>
            </w:pPr>
          </w:p>
        </w:tc>
      </w:tr>
      <w:tr>
        <w:trPr>
          <w:trHeight w:val="130"/>
        </w:trPr>
        <w:tc>
          <w:tcPr>
            <w:tcW w:w="4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08"/>
        </w:trPr>
        <w:tc>
          <w:tcPr>
            <w:tcW w:w="358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4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997.6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 Segment</w:t>
            </w:r>
          </w:p>
        </w:tc>
        <w:tc>
          <w:tcPr>
            <w:tcW w:w="6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1,140.2</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Environmental Solutions Segment</w:t>
            </w: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974.9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Worldwide net sales in 2025 decreased 2% from the previous year to $2.1 billion. Net sales in the United States decreased 1% to $1.1 billion in 2025 and represented 52% of consolidated net sales. International net sales decreased 3% to $1.0 billion in 2025 and represented 48% of consolidated net sales.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Worldwide net sales in 2024 decreased 2% from the previous year to $2.1 billion. Included in sales from the prior year were $40.6 million of sales related to Oldco, which was deconsolidated in the fourth quarter of 2023 and primarily impacted sales in the United States. Net sales in the United States decreased 5% to $1.1 billion in 2024 and represented 51% of consolidated net sales. International net sales increased slightly to $1.0 billion in 2024 and represented 49% of consolidated net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cost of sales was $1.6 billion, $1.6 billion, and $1.7 billion in 2025, 2024, and 2023, respectively. Production margin as a percentage of net sales was 25.0% in 2025, 25.9% in 2024, and 23.4% in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Marketing and administrative costs were $208.0 million, $209.2 million, and $206.0 million in 2025, 2024, and 2023, respectively. Marketing and administrative costs as a percentage of net sales were 10.0% in 2025, 9.9% in 2024, and 9.5% in 2023.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$22.9 million, $23.0 million, and $21.2 million in 2025, 2024, and 2023, respectively. Research and development expenses as a percentage of net sales were 1.1% in 2025, 1.1% in 2024, and 1.0% in 2023.</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the Company recorded a provision for litigation accrual and credit losses of $215.0 million to establish an accrual for estimated costs to fund a trust to resolve all current and future talc-related claims, as well as fund the bankruptcy of Oldco and BVT, and related litigation costs. Included in this provision is $30.0 million of additional debtor-in-possession financing to the debtors. The Company also recorded litigation expenses of $19.6 million in connection with Oldco’s bankruptcy filing and lawsuits related to talc products sold by Oldco. In addition, the Company recorded a $15.0 million restructuring and other items charge for the write-down of assets and severance and other costs, offset by a $9.9 million net gain on the final installment for the sale of refractories manufacturing assets in China and the sale of our chromite mine in South Africa.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2024, the Company recorded a $30.0 million provision for credit losses in connection with the DIP Credit Agreement. In addition, the Company recorded litigation expenses of $11.3 million in connection with Oldco's bankruptcy filing. The Company also recorded a $12.3 million net gain on the installment sale of refractories manufacturing assets in China.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the Company recorded a $71.7 million non-cash impairment charge relating to Oldco's fixed assets within the Consumer &amp; Specialties segment, $6.9 million in restructuring costs to further streamline our cost structure as a result of organization efficiencies gained through our resegmentation, and $0.3 million of acquisition-related expenses. In addition, the Company recorded $29.2 million of net litigation expenses in connection with Oldco’s bankruptcy and by Oldco to defend against and restore its accrual for claims associated with certain talc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2025, the Company recorded income from operations of $47.4 million, as compared with $286.5 million in the prior year. Income from operations represented 2.3% of sales compared with 13.5% of sales in the prior year. Income from operations in 2025 includes a provision for litigation accrual and credit losses of $215.0 million and a $15.0 million restructuring and other items charge for the write-down of assets and severance and other costs, offset by a $9.9 million net gain on the final installment for the sale of refractories manufacturing assets in China and the sale of our chromite mine in South Africa.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and 2024, the Company recorded litigation expenses of $19.6 million and $11.3 million, respectively, in connection with Oldco's bankruptcy filing and lawsuits related to talc products sold by Oldco.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the Company recorded income from operations of $286.5 million, as compared with $171.8 million in the prior year. Income from operations represented 13.5% of sales compared with 7.9% of sales in the prior year. Income from operations in 2024 reflected a $30.0 million charge for a provision of credit losses in connection with the DIP Credit Agreement, offset by a $12.3 million net gain on sale of refractories manufacturing assets in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Deductions,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non-operating deductions, net of $61.4 million in 2025 as compared with $62.9 million in the previous year.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Included in non-operating deductions was net interest expense of $54.5 million in 2025 as compared to $56.4 million in the prior year.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non-operating deductions was net interest expense of $56.4 million in 2024 as compared to $59.2 million in the prior year. In addition, the Company recorded debt extinguishment expenses of $1.8 million related to the refinancing of its credit facilities in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Taxes on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 for taxes was $4.9 million, $59.4 million, and $23.7 million in 2025, 2024, and 2023, respectively. The effective tax rates were (35.0)%, 26.6%, and 22.0% during 2025, 2024, and 2023,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lower effective tax rate in 2025 as compared to 2024 was primarily due to the net loss recorded in 2025.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higher effective tax rate in 2024 as compared to 2023 was primarily due to the expected credit loss in connection with the DIP Credit Agreement that the Company entered into with its subsidiary, Oldco. Such credit loss is not currently deductible as the loans under such agreement are treated as an equity contribution for tax purposes. The current expected credit loss may become fully deductible in a future period. The timing of such deductibility is dependent on developments in the bankruptcy proceedings.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other factors having the most significant impact on our effective tax rates in recent periods are percentage depletion, the Global Intangible Low-Tax Income provision ("GILTI"), Foreign-Derived Intangible Income (“FDII”), 162(m) disallowance, and the non-deductible DIP Credit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Percentage depletion allowances (tax deductions for depletion that may exceed our tax basis in our mineral reserves) are available to us under the income tax laws of the United States for operations conducted in the United States. The tax benefits from percentage depletion were $8.9 million in 2025, $10.0 million in 2024, and $11.1 million in 2023.</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as its accounting policy, to treat the taxes due from GILTI as a current period expense when incurred. The net charge to the Company for GILTI was $1.8 million, $1.5 million, and $1.1 million for 2025, 2024, and 2023, respectively.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various countries around the world that have tax laws, tax incentives, and tax rates that are significantly different than those of the United States. These differences combine to move our overall effective tax rate higher or lower than the United States statutory rate depending on the mix of income relative to income earned in the United States. The effects of foreign earnings and the related foreign rate differentials resulted in increases of $7.1 million, $10.5 million, and $8.2 million in 2025, 2024, and 2023,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implementation of the Pillar Two Model Rules in the first quarter of 2024. The Company continues to assess the effect of the Pillar Two Model Rules in all jurisdictions and does not expect that Pillar Two will have a material impact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Income (Loss) Attributable to MTI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net loss was $14.0 million in 2025 and included a $191.8 million charge, net of tax. This charge consisted of a provision for litigation accrual and credit losses, litigation expenses, and restructuring and other items, offset by a net gain on sale of assets.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Consolidated net income was $170.9 million in 2024 and included a $31.7 million charge, net of tax. This charge consisted of a provision for credit loss and litigation expenses, offset by a net gain on sale of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net income was $88.3 million in 2023 and included a $85.8 million charge, net of tax. This charge consisted of impairment of assets, litigation expenses, restructuring, and acquisition-related expenses.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Review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discussions highlight the operating results for each of our two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&amp; Specialties Segment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2025 vs.</w:t>
            </w:r>
          </w:p>
        </w:tc>
        <w:tc>
          <w:tcPr>
            <w:tcW w:w="120" w:type="dxa"/>
            <w:vAlign w:val="bottom"/>
          </w:tcPr>
          <w:p>
            <w:pPr>
              <w:spacing w:after="0"/>
              <w:rPr>
                <w:sz w:val="24"/>
                <w:szCs w:val="24"/>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 vs.</w:t>
            </w:r>
          </w:p>
        </w:tc>
        <w:tc>
          <w:tcPr>
            <w:tcW w:w="0" w:type="dxa"/>
            <w:vAlign w:val="bottom"/>
          </w:tcPr>
          <w:p>
            <w:pPr>
              <w:spacing w:after="0"/>
              <w:rPr>
                <w:sz w:val="1"/>
                <w:szCs w:val="1"/>
                <w:color w:val="auto"/>
              </w:rPr>
            </w:pPr>
          </w:p>
        </w:tc>
      </w:tr>
      <w:tr>
        <w:trPr>
          <w:trHeight w:val="174"/>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Pr>
          <w:p>
            <w:pPr>
              <w:spacing w:after="0"/>
              <w:rPr>
                <w:sz w:val="15"/>
                <w:szCs w:val="15"/>
                <w:color w:val="auto"/>
              </w:rPr>
            </w:pP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1,160.2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4"/>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of net sales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v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in the Consumer &amp; Specialties segment decreased 4% to $1,097.7 million, as compared with $1,140.2 million in the prior year. Household &amp; Personal Care sales decreased 3% to $512.8 million from $530.0 million the prior year. This decrease was primarily driven by a challenging competitive environment in the cat litter products market. Specialty Additives sales decreased 4% to $584.9 million from $610.2 million primarily as a result of declining residential construction demand, as well as a slowdown in the North American and European paper markets.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from operations was $124.2 million in 2025, as compared to $165.5 million in 2024. Included in income from operations for 2025 was $9.5 million of restructuring and other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v 2023</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in the Consumer &amp; Specialties segment decreased 2% to $1,140.2 million, as compared with $1,160.2 million in the prior year. Household &amp; Personal Care sales increased 2% to $530.0 million from $517.6 million the prior year. This increase was primarily driven by strong demand for our cat litter products in all regions and growth in other high-margin consumer-oriented products. Specialty Additives sales decreased 5% to $610.2 million from $642.6 million primarily as a result of the deconsolidation of Oldco in the fourth quarter of 2023. Included in Specialty Additives' sales from the prior year were $40.6 million of sales related to Oldco.</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from operations was $165.5 million in 2024, as compared to $41.6 million in 2023. In 2023, the Company recorded a $71.7 million non-cash impairment of Oldco's fixed assets and litigation expenses of $29.2 million in connection with Oldco's bankruptcy filing and by Oldco to defend against and restore its accrual for claims associated with certain talc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Solutions Segment</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ectPr>
          <w:pgSz w:w="11900" w:h="16838" w:orient="portrait"/>
          <w:cols w:equalWidth="0" w:num="1">
            <w:col w:w="11240"/>
          </w:cols>
          <w:pgMar w:left="320" w:top="266"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High-Temperature Technologies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&amp; Infrastructure</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2025 vs.</w:t>
            </w:r>
          </w:p>
        </w:tc>
        <w:tc>
          <w:tcPr>
            <w:tcW w:w="200" w:type="dxa"/>
            <w:vAlign w:val="bottom"/>
          </w:tcPr>
          <w:p>
            <w:pPr>
              <w:spacing w:after="0"/>
              <w:rPr>
                <w:sz w:val="15"/>
                <w:szCs w:val="15"/>
                <w:color w:val="auto"/>
              </w:rPr>
            </w:pPr>
          </w:p>
        </w:tc>
        <w:tc>
          <w:tcPr>
            <w:tcW w:w="102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b w:val="1"/>
                <w:bCs w:val="1"/>
                <w:color w:val="auto"/>
              </w:rPr>
              <w:t>2024 vs.</w:t>
            </w:r>
          </w:p>
        </w:tc>
        <w:tc>
          <w:tcPr>
            <w:tcW w:w="0" w:type="dxa"/>
            <w:vAlign w:val="bottom"/>
          </w:tcPr>
          <w:p>
            <w:pPr>
              <w:spacing w:after="0"/>
              <w:rPr>
                <w:sz w:val="1"/>
                <w:szCs w:val="1"/>
                <w:color w:val="auto"/>
              </w:rPr>
            </w:pPr>
          </w:p>
        </w:tc>
      </w:tr>
      <w:tr>
        <w:trPr>
          <w:trHeight w:val="130"/>
        </w:trPr>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-445135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-170815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660"/>
          </w:cols>
          <w:pgMar w:left="320" w:top="26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169.7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174.0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147.8</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3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of net sales</w:t>
            </w:r>
          </w:p>
        </w:tc>
        <w:tc>
          <w:tcPr>
            <w:tcW w:w="1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75"/>
        </w:trPr>
        <w:tc>
          <w:tcPr>
            <w:tcW w:w="3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37</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1"/>
        </w:trPr>
        <w:tc>
          <w:tcPr>
            <w:tcW w:w="32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v 2024</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in the Engineered Solutions segment decreased slightly to $974.9 million, as compared with $978.3 million in the prior year. High-Temperature Technologies sales decreased 1% to $704.7 million, as compared with $713.2 million in the prior year. This decrease was driven by softer demand in certain industrial end markets, offset by strong growth in the Asia foundry business. Environmental &amp; Infrastructure sales increased 2% to $270.2 million, as compared with $265.1 million in the prior year, primarily driven by higher demand for environmental lining systems, infrastructure drilling products, and offshore water treatment.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was $169.7 million and 17.4% of sales, as compared with $174.0 million and 17.8% of sales in the prior year. Included in income from operations for 2025 was $3.3 million of restructuring and other items, offset by a $9.9 million net gain on the final installment for the sale of refractories manufacturing assets in China and the sale of our chromite mine in South Africa. Included in income from operations for 2024 was a $12.3 million net gain on sale of refractories manufacturing assets in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v 2023</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in the Engineered Solutions segment decreased 3% to $978.3 million, as compared with $1,009.7 million in the prior year. High-Temperature Technologies sales decreased 1% to $713.2 million, as compared with $720.9 million in the prior year. This decrease was driven by softer demand in some industrial end markets. Environmental &amp; Infrastructure sales decreased 8% to $265.1 million, as compared with $288.8 million in the prior year as a result of low levels of project activity.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from operations was $174.0 million and 17.8% of sales, as compared with $147.8 million and 14.6% of sales in the prior year. Included in income from operations for 2024 was a $12.3 million net gain on sale of assets. Included in income from operations for 2023 was $3.2 million of restructuring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inflation historically has not had a material impact on the Company, our financial performance could be adversely affected by increases in energy and commodity prices. Our production processes consume a significant amount of energy, primarily electricity, diesel fuel, natural gas, and coal. We use diesel fuel to operate our mining and processing equipment, and our freight costs are heavily dependent upon fuel prices and surcharges. Energy costs also affect the cost of raw materials. On a combined basis, these factors represent a large exposure to petrochemical and energy products which may be subject to significant price fluctuations. The contracts pursuant to which we construct and operate our satellite PCC plants generally adjust pricing to reflect the pass-through of increases in costs resulting from inflation, including lime and energy prices. However, there is a time lag before such price adjustments can be implemented. The Company and its customers will typically negotiate reasonable price adjustments in order to recover a portion of these escalating costs, but there can be no assurance that we will be able to recover increasing costs through such negotiations.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 Nature of Customers’ Businesses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Portions of our sales to customers in the paper manufacturing, metalcasting, steel manufacturing, oil and gas, and construction industries have historically been cyclical. The pricing structure of some of our long-term PCC contracts makes our PCC business less sensitive to declines in the quantity of product purchased. Oil and natural gas prices decreased significantly between 2014 through 2017 and again in 2020, which has caused exploration companies to reduce their capital expenditures and production and exploration activities. This has had the effect of decreasing the demand and increasing competition for the services we provide. We cannot predict the economic outlook in the countries in which we do business, nor in the key industries we 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from continuing operations in 2025 was $193.7 million, compared with $236.4 million in prior year. Cash flows provided from operations in 2025 were principally used to fund capital expenditures, repay debt, repurchase shares, and pay the Company’s dividend to common shareholders. The Company’s intention is to use cash flow for investments in growth, returns to shareholders, and continued debt reduction.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 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p>
    <w:p>
      <w:pPr>
        <w:spacing w:after="0" w:line="1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recorded $1.8 million in non-cash debt extinguishment expenses related to the refinancing of our credit facilities, which represents the difference between the redemption payment and the carrying value of the debt at the refinancing date. All lenders under the previous facility were repaid in full.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were no loans and $9.2 million in letters of credit outstanding under the Revolving Facility.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applicable redemption prices listed in the Indenture, plus accrued and unpaid interest, if any, to, but excluding, the applicable redemption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Credit Agreement and the Indenture both contain certain customary affirmative and negative covenants that limit or restrict the ability of the Company and its restricted subsidiaries to enter into certain transactions or take certain actions, as well as customary events of default.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committed loan facility in Japan. As of December 31, 2025, there was an outstanding balance of $0.4 million on this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will be repaid in accordance with the payment schedule ending in 2026. The Company repaid $0.5 million on this loan in 2025.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acquisition of Concept Pet Heimtierprodukte GmbH, the Company assumed $1.9 million in long-term debt, recorded at fair value, consisting of two term loans, one that matured in 2025 and one that matures in 2027. Both loans have annual payments and carry a variable interest rate. The Company repaid $0.4 million on these loans during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$18.4 million in uncommitted short-term bank credit lines, $0.4 million of which were in use. The credit lines are primarily outside the U.S. and are generally one year in term at competitive market rates at large, well-established institutions. The Company typically uses its available credit lines to fund working capital requirements or local capital spending needs. We anticipate that capital expenditures for 2026 should be between $90 million and $100 million, principally related to opportunities to improve our operations and meet our strategic growth objectives. We expect to meet our other long-term financing requirements from internally generated funds and committed and uncommitted bank credit lines.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2023, the Company entered into a floating to fixed interest rate swap for a notional amount of $150 million. The fair value of this instrument as of December 31, 2025, is a liability of $0.2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long-term debt, the Company has committed cash outflow related to pension and postretirement benefit obligations, non-cancelable operating leases, primarily for office space and equipment, and other long-term contractual obligations. Other long-term liabilities include tax liabilities, including contingent obligations associated with gross unrecognized tax benefits for uncertain tax positions and a tax liability for the one-time transition tax on accumulated foreign subsidiary earnings, asset retirement obligations relating to the retirement of certain tangible long-lived assets and land restoration obligations at the Company’s PCC satellite facilities and mining operations. See Notes 2, 8, 15, 16 and 20 to the Consolidated Financial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2024, the Company's Board of Directors authorized the Company's management to repurchase, at its discretion, up to $200 million of the Company's shares. As of December 31, 2025, 1,000,122 shares have been repurchased under this program for $61.3 million, or an average price of approximately $61.24 per share. This authorization has no expiration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21, 2026, the Company’s Board of Directors declared a regular quarterly dividend on its common stock of $0.12 per share. No dividend will be payable unless declared by the Board and unless funds are legally available for payment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certain of the Company’s subsidiaries are among numerous defendants in over nine hundred cases seeking damages for alleged exposure to asbestos-contaminated talc products sold by the Company’s subsidiary Oldco. The Company’s position is that these cases are meritless and all talc products sold by Oldco are safe. On October 2, 2023 (the “Petition Date”), notwithstanding the Company’s confidence in the safety of Oldco’s talc products, Oldco and Barretts Ventures Texas LLC (“BVT” and together with Oldco,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U.S. Bankruptcy Code. In addition, in the second quarter of 2024, the Company entered into a Debtor-in-Possession Credit Agreement with Oldco (the “DIP Credit Agreement”) and recorded a provision for credit loss of $30 million for the maximum principal amount under such DIP Credit Agreement. In the second quarter of 2025, the Company amended the DIP Credit Agreement to increase the maximum principal amount available under the DIP Credit Agreement by $30 million. Proceeds of the sale of Oldco’s talc assets, as well as the funds drawn by Oldco under the DIP Credit Agreement, have been and will be used to fund the Chapter 11 Cases.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Oldco.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 The Chapter 11 Debtors have been deconsolidated from the Company’s financial statements since the Petition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Chapter 11 Cases are progressing, it is not possible to predict how the District Court will rule on the pending motions, whether an appellate court will affirm or reverse the Bankruptcy Court order denying the Committee’s motion to dismiss, the form of any ultimate resolution, or when an ultimate resolution might occur at this time. Accordingly, the Company is unable to estimate the possible loss or range of loss related to the amount that will be necessary to fully and finally resolve all of the Chapter 11 Debtors’ current and future talc-related claims in connection with a confirmed Chapter 11 plan of reorganization beyond the amount accrued. See Note 17 to the Consolidated Financial Statements included in this report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valuation of long-lived assets, goodwill and other intangible assets, income taxes, including valuation allowances, and pension plan assumptions. We base our estimates on historical experience and on other assumptions that we believe to be reasonable under the circumstances, the results of which form the basis for making judgments about the carrying values of assets and liabilities that cannot readily be determined from other sources. There can be no assurance that actual results will not differ from those estimates.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require us to make significant judgments and estimates in the preparation of our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at the point in time when the customer obtains control of the promised goods or services in an amount that reflects the consideration we expect to receive in exchange for those goods or services. The Company’s revenues are primarily derived from the sale of products. Our primary performance obligation is satisfied upon shipment or delivery to our customer based on written sales terms, which is also when control is transferred. Revenue, where our performance obligations are satisfied in phases, is recognized over time using certain input measures based on the measurement of the value transferred to the customer, including milestones achieved. Revenues from sales of equipment are recorded upon completion of installation and transfer of control to the customer. Revenues from services are recorded when the services are performed.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most of our PCC contracts, the price per ton is based upon the total number of tons sold to the customer during the year. Under those contracts, the price billed to the customer for shipments during the year is based on periodic estimates of the total annual volume that will be sold to the customer. Revenues are adjusted at the end of each year to reflect the actual volume sold. There were no significant revenue adjustments in the fourth quarter of 2025 and 2024, respectively. We have consignment arrangements with certain customers in our Engineered Solutions segment. Revenues for these transactions are recorded when the consigned products are consumed by the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(ACL) is management's estimate of the current expected credit losses at the balance sheet date. Our credit exposure includes an unfunded loan commitment. For this exposure, we recognized an ACL associated with the unfunded amount, which is reported as a liability in accrued expenses and other current liabilities on our consolidated balance sheet.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27" w:lineRule="exact"/>
        <w:rPr>
          <w:sz w:val="20"/>
          <w:szCs w:val="20"/>
          <w:color w:val="auto"/>
        </w:rPr>
      </w:pPr>
    </w:p>
    <w:p>
      <w:pPr>
        <w:jc w:val="both"/>
        <w:ind w:firstLine="1016"/>
        <w:spacing w:after="0" w:line="258" w:lineRule="auto"/>
        <w:rPr>
          <w:sz w:val="20"/>
          <w:szCs w:val="20"/>
          <w:color w:val="auto"/>
        </w:rPr>
      </w:pPr>
      <w:r>
        <w:rPr>
          <w:rFonts w:ascii="Times New Roman" w:cs="Times New Roman" w:eastAsia="Times New Roman" w:hAnsi="Times New Roman"/>
          <w:sz w:val="18"/>
          <w:szCs w:val="18"/>
          <w:color w:val="auto"/>
        </w:rPr>
        <w:t>The Company is party to a number of lawsuits arising in the normal course of our business. The Company and certain of the Company's subsidiaries are among numerous defendants in a number of cases seeking damages for alleged exposure to asbestos-contaminated talc products sold by the Company's subsidiary BMI Oldco Inc. The Company records accruals for loss contingencies associated with legal matters, including talc-related litigation and the Chapter 11 Cases, when it is probable that a liability will be incurred and the amount of the loss can be reasonably estimated. See Note 17 to the Consolidated Financial Statements included in this report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 Goodwill, and Other Intangible Assets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assess the possible impairment of long-lived assets and identifiable amortizable intangibles whenever events or changes in circumstances indicate that the carrying value may not be recoverable.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is evaluated for impairment at least annually. Factors we consider important that could trigger an impairment review include the following: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-63500</wp:posOffset>
            </wp:positionV>
            <wp:extent cx="5143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the manner of use of the acquired assets or the strategy for the overall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-63500</wp:posOffset>
            </wp:positionV>
            <wp:extent cx="5143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negative industry or economic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-63500</wp:posOffset>
            </wp:positionV>
            <wp:extent cx="5143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080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 capitalization below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-63500</wp:posOffset>
            </wp:positionV>
            <wp:extent cx="5143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Annually, the Company performs a qualitative assessment for each of its reporting units to determine if the two-step process for impairment testing is required. If the Company determines that it is more likely than not that the fair value of a reporting unit is less than its carrying amount, the Company then evaluates the recoverability of goodwill using a two-step impairment test approach at the reporting unit level. Step one involves a) developing the fair value of total invested capital of each reporting unit in which goodwill is assigned; and b) comparing the fair value of total invested capital for each reporting unit to its carrying amount, to determine if there is goodwill impairment. Should the carrying amount for a reporting unit exceed its fair value, then the step one test is failed, and the magnitude of any goodwill impairment is determined under step two. The amount of impairment loss is determined in step two by comparing the implied fair value of reporting unit goodwill with the carrying amount of goodwill.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reporting units: Consumer &amp; Specialties and Engineered Solutions. We identify our reporting units by assessing whether the components of our operating segments constitute businesses for which discrete financial information is available, and management regularly reviews the operating results of those components. In the fourth quarter of 2025, the Company performed a qualitative assessment of each of its reporting units and determined it was not more likely than not that the fair value of any of its reporting units was less than their carrying values.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depreciated over their useful lives. Useful lives are based on management’s estimates of the period that the assets can generate revenue, which does not necessarily coincide with the remaining term of a customer’s contractual obligation to purchase products made using those assets. Our sales of PCC are predominately pursuant to long-term evergreen contracts, initially ten to fifteen years in length, with paper mills at which we operate satellite PCC plants. The terms of many of these agreements have been extended, often in connection with an expansion of the satellite PCC plant. Failure of a PCC customer to renew an agreement or continue to purchase PCC from our facility could result in an impairment of assets or accelerated depreciation at such facility.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property, plant, and equipment whenever events or change in circumstances indicate that the carrying value of the assets may not be recoverable. For testing the recoverability, we primarily use discounted cash flow models or cost approach to estimate the fair value of these assets. Critical assumptions used in conducting these tests included expectations of our business performance and financial results, useful lives of assets, discount rates, and comparable market data.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we acquire a company, we determine fair value on the acquisition date of assets acquired and liabilities assumed. We use the income, market, or cost approach (or a combination thereof) for the valuation and use valuation inputs and analyses that are based on market participant assumptions. Changes in assumptions can have a significant impact on the fair value of tangible assets. Goodwill is calculated as the excess of the consideration transferred over the assets acquired and represents the estimated future economic benefits arising from other assets acquired that could not be individually identified and separately recognized.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involves estimating current tax expense together with assessing temporary differences resulting from differing treatments of items for tax and accounting purposes. These differences result in deferred tax assets and liabilities, which are included in the consolidated balance sheet. We must then assess the likelihood that our deferred tax assets will be recovered from future taxable income, and to the extent we believe that recovery is not likely, we must establish a valuation allowance. To the extent we establish a valuation allowance or change this allowance in a period, we must include an expense within the tax provision in the Consolidated Statements of Income (Loss).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tax liabilities represent the amount of income taxes payable in future periods. Such liabilities arise because of temporary differences between the financial reporting and tax bases of assets and liabilities. Deferred income tax assets represent amounts available to reduce income taxes payable on taxable income in future years. Such assets arise because of temporary differences between the financial reporting and tax bases of assets and liabilities, as well as from net operating losses. We evaluate the recoverability of these future tax deductions by assessing the adequacy of future expected taxable income from all sources, including reversal of taxable temporary differences and forecasted operating earnings. These sources of income inherently rely heavily on estimates. We use our historical experience and business forecasts to provide insight. The amount recorded for the net deferred tax liability was $75.5 million and $115.7 million at December 31, 2025 and 2024,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application of income tax law is inherently complex. Laws and regulations in this area are voluminous and are often ambiguous. As such, we are required to make many subjective assumptions and judgments regarding our income tax exposures. Interpretations of and guidance surrounding income tax laws and regulations change over time. As such, changes in our subjective assumptions and judgments can materially affect the amounts recognized in the consolidated balance sheets and statements of operations. See Note 8 to the Consolidated Financial Statements for additional details on our uncertain tax positions.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sponsor pension and other retirement plans in various forms, covering the majority of employees who meet eligibility requirements. Several statistical and actuarial models which attempt to estimate future events are used in calculating the expense and liability related to the plans. These models include assumptions about the discount rate, expected return on plan assets, and the rate of future compensation increases as determined by us, within certain guidelines. Our assumptions reflect our historical experience and management’s best judgment regarding future expectations. In addition, our actuarial consultants also use subjective factors such as withdrawal and mortality rates to estimate these assumptions. The actuarial assumptions used by us may differ materially from actual results due to changing market and economic conditions, higher or lower withdrawal rates, or longer or shorter life spans of participants, among other things.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investment strategy for pension plan assets is to maintain a broadly diversified portfolio designed to both preserve and grow plan assets to meet future plan obligations. The Company’s average rate of return on assets from inception through December 31, 2025, was approximately 9%. The Company’s assets are strategically allocated among equity, debt, and other investments to achieve a diversification level that dampens fluctuations in investment returns. The Company’s long-term investment strategy is an investment portfolio mix of approximately 55%-65% in equity securities, 30%-35% in fixed income securities, and 0%-15% in other securities. As of December 31, 2025, the Company had approximately 56% of its pension assets in equity securities, 32% in fixed income securities and 12% in other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recognized pension (benefit) expense of $(0.6) million in 2025 as compared to $1.9 million in 2024. Accounting guidance on retirement benefits requires companies to discount future benefit obligations back to today’s dollars using a discount rate that is based on high-quality fixed-income investments. A decrease in the discount rate increases the pension benefit obligation, while an increase in the discount rate decreases the pension benefit obligation. This increase or decrease in the pension benefit obligation is recognized in Accumulated other comprehensive income (loss) and subsequently amortized into earnings as an actuarial gain or loss. The guidance also requires companies to use an expected long-term rate of return on plan assets for computing current year pension expense. Differences between the actual and expected returns are also recognized in Accumulated other comprehensive income (loss) and subsequently amortized into earnings as actuarial gains and losses. At the end of 2025, total actuarial losses recognized in Accumulated other comprehensive (gain) loss for pension plans were $(7.3) million as compared to $1.3 million in 2024.</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net gain of $11.5 million ($8.4 million after-tax) primarily due to actuarial gains, driven by a change in discount rates is included in other comprehensive income in 2025. In 2024, a net gain of $40.6 million ($30.6 million after-tax) was recorded in other comprehensive income, primarily due to actuarial gains, driven by a change in discount rates. In 2023, a net gain of $7.6 million ($5.6 million after-tax) was recorded in other comprehensive income, primarily due to a change in discount rates.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Actuarial losses for pensions will be impacted in future periods by actual asset returns, discount rate changes, actual demographic experience, and other factors that impact these expenses. These losses, reported in Accumulated other comprehensive income (loss), will generally be amortized as a component of net periodic benefit cost on a straight-line basis over the average remaining service period of active employees expected to receive benefits under the benefit plans. At the end of 2025, the average remaining service period of active employees or life expectancy for fully eligible employees was 9 years.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detailed discussion on the application of these and other accounting policies, see “Summary of Significant Accounting Policies” in Note 1 to the Consolidated Financial Statements. This discussion and analysis should be read in conjunction with the consolidated financial statements and related notes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a minimal impact on our consolidated financial position and results of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Income Taxes (Topic 740): Improvements to Income Tax Disclosures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that requires entities to disclose additional information about federal, state, and foreign income taxes primarily related to the income tax rate reconciliation and income taxes paid. The new standard also eliminates certain existing disclosure requirements related to uncertain tax positions and unrecognized deferred tax liabilities. The new standard is effective for interim and annual periods beginning on or after December 15, 2024. The Company adopted this guidance on January 1, 2025, on a prospective basis and updated the disclosures contained in Note 8 to the Consolidated Financial Statements. This guidance did not impact the Company’s Consolidated Financial Statements but resulted in the disaggregation of the Company's tax footnote disclosures.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 of Income Statement Expenses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fluctuations in foreign currency exchange rates, interest rates, and credit risk. We use a variety of practices to manage these market risks, including derivative financial instruments when appropriate. Our treasury and risk management policies prohibit us from using derivative instruments for trading or speculative purposes. We also do not use leveraged derivative instruments or derivatives with complex features.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Sensitivity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operate in over 30 countries with many international subsidiaries, we are exposed to currency fluctuations related to manufacturing and selling our products and services. This foreign currency risk is diversified and involves assets, liabilities, and cash flows denominated in currencies other than the U.S. Dollar (USD).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manage our foreign currency exchange risk in part through operational means, including managing the same currency revenues versus same currency costs, as well as same currency assets versus same currency liabilities. We also have subsidiaries with the same currency exposures which may offset each other, providing a natural hedge against one another’s currency risk. When appropriate, we enter into derivative financial instruments, such as forward exchange contracts and cross-currency interest rate swaps, to mitigate the impact of foreign exchange rate movements on our operating results. The counterparties are major financial institutions. Such forward exchange contracts would not subject us to additional risk from the exchange rate because gains and losses on these contracts would offset losses and gains on the assets, liabilities, and transactions being hedged.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Assets and liabilities of our international subsidiaries are translated to their parent company’s reporting currency at current exchange rates during consolidation; gains and losses stemming from these translations are included as a component of Other Comprehensive Income and reported within Accumulated Comprehensive Income within our Consolidated Balance Sheets. Income and expenses of our international subsidiaries are translated at average exchange rates for the period and, when included within retained earnings in the balance sheet at current exchange rates, the differences to those average exchange rates are included within Other Comprehensive Income and reported within Accumulated Comprehensive Income. When our subsidiaries transact business in currencies other than their functional currency, those transactions are revalued in their functional currency and differences resulting from such revaluations are included within other non-operating income (deduction), net within our Consolidated Statement of Income.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anticipate that near-term changes in exchange rates will have a material impact on our future earnings or cash flows. However, there can be no assurance that a sudden and significant change in the value of foreign currencies would not have a material adverse effect on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portion of our long-term bank debt bears interest at variable rates (see Note 15 to the Consolidated Financial Statements) and our results of operations would be affected by interest rate changes to such bank debt outstanding. The Company utilizes interest rate swaps to limit exposure to market fluctuations on floating-rate debt. In the second quarter of 2023, the Company entered into a floating to fixed interest rate swap for a notional amount of $150 million. The fair value of this instrument as of December 31, 2025, is a liability of $0.2 million. An immediate 10% increase in the interest rates would not have a material effect on our results of operations over the next fiscal year. A one percentage point change in interest rates would cost $4.2 million in incremental interest charges on an annual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credit risk on certain assets, primarily accounts receivable. We provide credit to customers in the ordinary course of business and perform ongoing credit evaluations. Concentrations of credit risk with respect to trade receivables are limited due to the large number of customers comprising our customer base. We currently believe our allowance for doubtful accounts is sufficient to cover customer credit risks. Our accounts receivable financial instruments are carried at amounts that approximate fair value.</w:t>
      </w:r>
    </w:p>
    <w:p>
      <w:pPr>
        <w:spacing w:after="0" w:line="180" w:lineRule="exact"/>
        <w:rPr>
          <w:sz w:val="20"/>
          <w:szCs w:val="20"/>
          <w:color w:val="auto"/>
        </w:rPr>
      </w:pPr>
    </w:p>
    <w:p>
      <w:pPr>
        <w:jc w:val="both"/>
        <w:ind w:firstLine="733"/>
        <w:spacing w:after="0" w:line="261" w:lineRule="auto"/>
        <w:rPr>
          <w:sz w:val="20"/>
          <w:szCs w:val="20"/>
          <w:color w:val="auto"/>
        </w:rPr>
      </w:pPr>
      <w:r>
        <w:rPr>
          <w:rFonts w:ascii="Times New Roman" w:cs="Times New Roman" w:eastAsia="Times New Roman" w:hAnsi="Times New Roman"/>
          <w:sz w:val="18"/>
          <w:szCs w:val="18"/>
          <w:color w:val="auto"/>
        </w:rPr>
        <w:t>In 2025, the Company recorded a provision for litigation accrual and credit losses of $215.0 million to establish an accrual for estimated costs to fund a trust to resolve all current and future talc-related claims, as well as fund the bankruptcy of Oldco and Barretts Ventures Texas LLC ("BVT"), and related litigation costs. Included in this provision is $30 million of additional unfunded loan commitments in connection with the DIP Credit Agreement (see Note 17 to the Consolidated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2024, our credit exposure included an unfunded loan commitment in connection with the DIP Credit Agreement. As a result, the Company recorded a provision for credit loss of $30 million in the second quarter of 2024 (see Note 17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Sovereign Debt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material credit risk with sovereign governments as we do not sell our products to them. We do, however, sell to customers in these countries, but we believe our risk associated with these customers is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information required by Item 8 is contained in Item 15 of Part IV of this report.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and under the supervision and with participation of the Company’s management, including the Chief Executive Officer and the Chief Financial Officer, the Company carried out an evaluation of the effectiveness of the design and operation of the Company’s disclosure controls and procedures, pursuant to Exchange Act Rule 13a-15(b). Based upon that evaluation, the Chief Executive Officer and Chief Financial Officer concluded that the Company’s disclosure controls and procedures were effective as of December 31,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have included a report of management’s assessment of the design and operating effectiveness of our internal controls as part of this report. Management’s report is included in our Consolidated Financial Statements on page F-42 of this report under the caption entitled “Management’s Report on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fourth fiscal quarter of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executive officers adopted or terminated any Rule 10b5-1 trading arrangement or any non-Rule 10b5-1 trading arrangement (as such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concerning the Company’s Board of Directors required by this item is incorporated herein by reference to the Company’s Proxy Statement, under the captions “The Board of Directors,” “Proposal 1- Election of Directors,” “Corporate Governance,” and “Committees of the Board of Directors.”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Board has established a code of ethics for the Chief Executive Officer, the Chief Financial Officer, and the Chief Accounting Officer entitled “Code of Ethics for the Senior Financial Officers,” which is available on our website, www.mineralstech.com, by clicking the links entitled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and then </w:t>
      </w:r>
      <w:r>
        <w:rPr>
          <w:rFonts w:ascii="Times New Roman" w:cs="Times New Roman" w:eastAsia="Times New Roman" w:hAnsi="Times New Roman"/>
          <w:sz w:val="18"/>
          <w:szCs w:val="18"/>
          <w:i w:val="1"/>
          <w:iCs w:val="1"/>
          <w:color w:val="auto"/>
        </w:rPr>
        <w:t>Company Policies</w:t>
      </w:r>
      <w:r>
        <w:rPr>
          <w:rFonts w:ascii="Times New Roman" w:cs="Times New Roman" w:eastAsia="Times New Roman" w:hAnsi="Times New Roman"/>
          <w:sz w:val="18"/>
          <w:szCs w:val="18"/>
          <w:color w:val="auto"/>
        </w:rPr>
        <w:t>. The Company has adopted an insider trading policy governing the purchase, sale, and other dispositions of its securities by directors, officers, employees and certain other insiders, and the Company itself that is reasonably designed to promote compliance with insider trading laws, rules and regulations, and any applicable listing standards. Additional information regarding such policy is set forth in the Company’s Proxy Statement, under the caption “Compensation Discussion and Analysis—Other Policies and Practices—Trading Controls and Hedging Transaction,” and incorporated herein by reference.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“Information About Our Executive Officers” in Part I of this report for information regarding executive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Company’s Proxy Statement under the captions “Executive Compensation,” “Compensation Discussion and Analysis,” “Report of the Compensation Committee,” and “Compensation Tables and Narrative” is incorporated herein by reference.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Company’s Proxy Statement under the caption “Security Ownership of Certain Beneficial Owners and Management”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2025. All of our equity compensation plans have been approved by our stockholders. All outstanding awards relate to our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4"/>
        </w:trPr>
        <w:tc>
          <w:tcPr>
            <w:tcW w:w="7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7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Rights</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0"/>
              </w:rPr>
              <w:t>Rights</w:t>
            </w:r>
            <w:r>
              <w:rPr>
                <w:rFonts w:ascii="Times New Roman" w:cs="Times New Roman" w:eastAsia="Times New Roman" w:hAnsi="Times New Roman"/>
                <w:sz w:val="29"/>
                <w:szCs w:val="29"/>
                <w:b w:val="1"/>
                <w:bCs w:val="1"/>
                <w:color w:val="auto"/>
                <w:w w:val="90"/>
                <w:vertAlign w:val="superscript"/>
              </w:rPr>
              <w:t>(2)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column (a))</w:t>
            </w:r>
          </w:p>
        </w:tc>
        <w:tc>
          <w:tcPr>
            <w:tcW w:w="0" w:type="dxa"/>
            <w:vAlign w:val="bottom"/>
          </w:tcPr>
          <w:p>
            <w:pPr>
              <w:spacing w:after="0"/>
              <w:rPr>
                <w:sz w:val="1"/>
                <w:szCs w:val="1"/>
                <w:color w:val="auto"/>
              </w:rPr>
            </w:pPr>
          </w:p>
        </w:tc>
      </w:tr>
      <w:tr>
        <w:trPr>
          <w:trHeight w:val="209"/>
        </w:trPr>
        <w:tc>
          <w:tcPr>
            <w:tcW w:w="7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1,705,885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67.16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1,231,900</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1,705,885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1,231,900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exercise of outstanding stock options and shares issuable upon vesting of time-based deferred restricted stock units (DRSUs).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includes all outstanding stock options but does not include DRSUs which do not have an exercise price.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6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Company’s Proxy Statement under the caption “Certain Relationships and Related Transactions”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Board has established Corporate Governance principles which include guidelines for determining Director independence, which is available on our website, www.mineralstech.com, by clicking the links entitled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The information appearing in the Company’s Proxy Statement under the caption “Corporate Governance – Director Independence”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Company’s Proxy Statement under the caption “Principal Accountant Fees and Services” is incorporated herein by reference.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following Consolidated Financial Statements of Mineral Technologies Inc. and subsidiary companies and Reports of Independent Registered Public Accounting Firm are set forth on pages F-2 to F-44.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2025 and 2024</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9" w:lineRule="exact"/>
        <w:rPr>
          <w:rFonts w:ascii="Times New Roman" w:cs="Times New Roman" w:eastAsia="Times New Roman" w:hAnsi="Times New Roman"/>
          <w:sz w:val="18"/>
          <w:szCs w:val="18"/>
          <w:color w:val="auto"/>
        </w:rPr>
      </w:pPr>
    </w:p>
    <w:p>
      <w:pPr>
        <w:ind w:left="340" w:right="3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2025, 2024 and 2023 Consolidated Statements of Cash Flows for the years ended December 31, 2025, 2024 and 2023</w:t>
      </w:r>
    </w:p>
    <w:p>
      <w:pPr>
        <w:ind w:left="340" w:right="24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for the years ended December 31, 2025, 2024 and 2023 Notes to the Consolidated Financial Statements</w:t>
      </w:r>
    </w:p>
    <w:p>
      <w:pPr>
        <w:ind w:left="340" w:right="60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Reports of Independent Registered Public Accounting Firm Management’s Report on Internal Control Over Financial Reporting</w:t>
      </w:r>
    </w:p>
    <w:p>
      <w:pPr>
        <w:spacing w:after="0" w:line="157" w:lineRule="exact"/>
        <w:rPr>
          <w:rFonts w:ascii="Times New Roman" w:cs="Times New Roman" w:eastAsia="Times New Roman" w:hAnsi="Times New Roman"/>
          <w:sz w:val="18"/>
          <w:szCs w:val="18"/>
          <w:color w:val="auto"/>
        </w:rPr>
      </w:pPr>
    </w:p>
    <w:p>
      <w:pPr>
        <w:ind w:left="340" w:right="3480" w:hanging="332"/>
        <w:spacing w:after="0" w:line="50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The following financial statement schedule is filed as part of this report: Schedule II – Valuation and Qualifying Accounts</w:t>
      </w:r>
    </w:p>
    <w:p>
      <w:pPr>
        <w:spacing w:after="0" w:line="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for which provision is made in the applicable accounting regulations of the SEC are not required under the related instructions or are inapplicable and, therefore, have been omitted.</w:t>
      </w:r>
    </w:p>
    <w:p>
      <w:pPr>
        <w:spacing w:after="0" w:line="161" w:lineRule="exact"/>
        <w:rPr>
          <w:rFonts w:ascii="Times New Roman" w:cs="Times New Roman" w:eastAsia="Times New Roman" w:hAnsi="Times New Roman"/>
          <w:sz w:val="18"/>
          <w:szCs w:val="18"/>
          <w:color w:val="auto"/>
        </w:rPr>
      </w:pPr>
    </w:p>
    <w:p>
      <w:pPr>
        <w:ind w:left="340" w:hanging="330"/>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Title</w:t>
            </w:r>
          </w:p>
        </w:tc>
      </w:tr>
      <w:tr>
        <w:trPr>
          <w:trHeight w:val="169"/>
        </w:trPr>
        <w:tc>
          <w:tcPr>
            <w:tcW w:w="56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20" w:type="dxa"/>
            <w:vAlign w:val="bottom"/>
            <w:tcBorders>
              <w:top w:val="single" w:sz="8" w:color="CCEEFF"/>
            </w:tcBorders>
            <w:shd w:val="clear" w:color="auto" w:fill="CCEEFF"/>
          </w:tcPr>
          <w:p>
            <w:pPr>
              <w:spacing w:after="0"/>
              <w:rPr>
                <w:sz w:val="14"/>
                <w:szCs w:val="14"/>
                <w:color w:val="auto"/>
              </w:rPr>
            </w:pPr>
          </w:p>
        </w:tc>
        <w:tc>
          <w:tcPr>
            <w:tcW w:w="104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Restated Certificate of Incorporation of the Company (Incorporated by reference to exhibit 3.1 filed with the Company’s Annual Report on Form</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 (file no. 001-11430) for the year ended December 31, 2003)</w:t>
            </w:r>
          </w:p>
        </w:tc>
      </w:tr>
      <w:tr>
        <w:trPr>
          <w:trHeight w:val="175"/>
        </w:trPr>
        <w:tc>
          <w:tcPr>
            <w:tcW w:w="560" w:type="dxa"/>
            <w:vAlign w:val="bottom"/>
            <w:gridSpan w:val="2"/>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6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By-Laws of the Company as amended and restated effective March 13, 2018 (Incorporated by reference to exhibit 3.1 filed with the Company’s</w:t>
            </w:r>
          </w:p>
        </w:tc>
      </w:tr>
      <w:tr>
        <w:trPr>
          <w:trHeight w:val="237"/>
        </w:trPr>
        <w:tc>
          <w:tcPr>
            <w:tcW w:w="2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Report on Form 8-K (file no. 001-11430) filed on March 19, 2018)</w:t>
            </w:r>
          </w:p>
        </w:tc>
      </w:tr>
      <w:tr>
        <w:trPr>
          <w:trHeight w:val="175"/>
        </w:trPr>
        <w:tc>
          <w:tcPr>
            <w:tcW w:w="5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6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Specimen Certificate of Common Stock (Incorporated by reference to exhibit 4.1 filed with the Company’s Annual Report on Form 10-K (file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6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001-11430) for the year ended December 31, 2003)</w:t>
            </w:r>
          </w:p>
        </w:tc>
      </w:tr>
      <w:tr>
        <w:trPr>
          <w:trHeight w:val="176"/>
        </w:trPr>
        <w:tc>
          <w:tcPr>
            <w:tcW w:w="560" w:type="dxa"/>
            <w:vAlign w:val="bottom"/>
            <w:gridSpan w:val="2"/>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6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Description of the Registrant’s Securities Registered Pursuant to Section 12 of the Securities Exchange Act of 1934 (Incorporated by reference to</w:t>
            </w:r>
          </w:p>
        </w:tc>
      </w:tr>
      <w:tr>
        <w:trPr>
          <w:trHeight w:val="236"/>
        </w:trPr>
        <w:tc>
          <w:tcPr>
            <w:tcW w:w="2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4.2 filed with the Company’s Annual Report on Form 10-K (file no. 001-11430) for the year ended December 31, 2019)</w:t>
            </w:r>
          </w:p>
        </w:tc>
      </w:tr>
      <w:tr>
        <w:trPr>
          <w:trHeight w:val="175"/>
        </w:trPr>
        <w:tc>
          <w:tcPr>
            <w:tcW w:w="5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06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Indenture, dated as of June 30, 2020, by and among Minerals Technologies Inc., the subsidiary guarantors from time to time party thereto and</w:t>
            </w: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Bank of New York Mellon Trust Company, N.A., as a trustee (incorporated by reference to Exhibit 4.1 to the Company’s Current Report on</w:t>
            </w:r>
          </w:p>
        </w:tc>
      </w:tr>
      <w:tr>
        <w:trPr>
          <w:trHeight w:val="234"/>
        </w:trPr>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 8-K (file no. 001-11430) filed on June 30, 2020.)</w:t>
            </w:r>
          </w:p>
        </w:tc>
      </w:tr>
      <w:tr>
        <w:trPr>
          <w:trHeight w:val="198"/>
        </w:trPr>
        <w:tc>
          <w:tcPr>
            <w:tcW w:w="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6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Asset Purchase Agreement, dated as of September 28, 1992, by and between Specialty Refractories Inc. and Quigley Company Inc.</w:t>
            </w:r>
          </w:p>
        </w:tc>
      </w:tr>
      <w:tr>
        <w:trPr>
          <w:trHeight w:val="216"/>
        </w:trPr>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the exhibit so designated filed with the Company’s Registration Statement on Form S-1 (Registration No. 33-</w:t>
            </w: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51292), originally filed on August 25, 1992)</w:t>
            </w:r>
          </w:p>
        </w:tc>
      </w:tr>
      <w:tr>
        <w:trPr>
          <w:trHeight w:val="198"/>
        </w:trPr>
        <w:tc>
          <w:tcPr>
            <w:tcW w:w="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10.1(a)</w:t>
            </w:r>
          </w:p>
        </w:tc>
        <w:tc>
          <w:tcPr>
            <w:tcW w:w="106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Agreement dated October 22, 1992 between Specialty Refractories Inc. and Quigley Company Inc., amending Exhibit 10.1 (Incorporated by</w:t>
            </w:r>
          </w:p>
        </w:tc>
      </w:tr>
      <w:tr>
        <w:trPr>
          <w:trHeight w:val="216"/>
        </w:trPr>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reference to the exhibit so designated filed with the Company’s Registration Statement on Form S-1 (Registration No. 33-59510), originally filed</w:t>
            </w:r>
          </w:p>
        </w:tc>
      </w:tr>
      <w:tr>
        <w:trPr>
          <w:trHeight w:val="234"/>
        </w:trPr>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 March 15, 1993)</w:t>
            </w:r>
          </w:p>
        </w:tc>
      </w:tr>
      <w:tr>
        <w:trPr>
          <w:trHeight w:val="198"/>
        </w:trPr>
        <w:tc>
          <w:tcPr>
            <w:tcW w:w="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10.1(b)</w:t>
            </w:r>
          </w:p>
        </w:tc>
        <w:tc>
          <w:tcPr>
            <w:tcW w:w="106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Letter Agreement dated October 29, 1992 between Specialty Refractories Inc. and Quigley Company Inc., amending Exhibit 10.1 (Incorporated</w:t>
            </w:r>
          </w:p>
        </w:tc>
      </w:tr>
      <w:tr>
        <w:trPr>
          <w:trHeight w:val="216"/>
        </w:trPr>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reference to the exhibit so designated filed with the Company’s Registration Statement on Form S-1 (Registration No. 33-59510), originally</w:t>
            </w: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on March 15, 1993)</w:t>
            </w:r>
          </w:p>
        </w:tc>
      </w:tr>
      <w:tr>
        <w:trPr>
          <w:trHeight w:val="198"/>
        </w:trPr>
        <w:tc>
          <w:tcPr>
            <w:tcW w:w="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06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Reorganization Agreement, dated as of September 28, 1992, by and between the Company and Pfizer Inc. (Incorporated by reference to the</w:t>
            </w:r>
          </w:p>
        </w:tc>
      </w:tr>
      <w:tr>
        <w:trPr>
          <w:trHeight w:val="216"/>
        </w:trPr>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 so designated filed with the Company’s Registration Statement on Form S-1 (Registration No. 33-51292), originally filed on August 25,</w:t>
            </w:r>
          </w:p>
        </w:tc>
      </w:tr>
      <w:tr>
        <w:trPr>
          <w:trHeight w:val="234"/>
        </w:trPr>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1992)</w:t>
            </w:r>
          </w:p>
        </w:tc>
      </w:tr>
      <w:tr>
        <w:trPr>
          <w:trHeight w:val="198"/>
        </w:trPr>
        <w:tc>
          <w:tcPr>
            <w:tcW w:w="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106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Asset Contribution Agreement, dated as of September 28, 1992, by and between Pfizer Inc. and Specialty Minerals Inc. (Incorporated by</w:t>
            </w:r>
          </w:p>
        </w:tc>
      </w:tr>
      <w:tr>
        <w:trPr>
          <w:trHeight w:val="216"/>
        </w:trPr>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reference to the exhibit so designated filed with the Company’s Registration Statement on Form S-1 (Registration No. 33-51292), originally filed</w:t>
            </w: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 August 25, 1992)</w:t>
            </w:r>
          </w:p>
        </w:tc>
      </w:tr>
      <w:tr>
        <w:trPr>
          <w:trHeight w:val="742"/>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80" w:type="dxa"/>
            <w:vAlign w:val="bottom"/>
            <w:gridSpan w:val="2"/>
          </w:tcPr>
          <w:p>
            <w:pPr>
              <w:ind w:left="5000"/>
              <w:spacing w:after="0"/>
              <w:rPr>
                <w:sz w:val="20"/>
                <w:szCs w:val="20"/>
                <w:color w:val="auto"/>
              </w:rPr>
            </w:pPr>
            <w:r>
              <w:rPr>
                <w:rFonts w:ascii="Times New Roman" w:cs="Times New Roman" w:eastAsia="Times New Roman" w:hAnsi="Times New Roman"/>
                <w:sz w:val="13"/>
                <w:szCs w:val="13"/>
                <w:color w:val="auto"/>
              </w:rPr>
              <w:t>48</w:t>
            </w:r>
          </w:p>
        </w:tc>
      </w:tr>
      <w:tr>
        <w:trPr>
          <w:trHeight w:val="61"/>
        </w:trPr>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48" w:name="page49"/>
    <w:bookmarkEnd w:id="48"/>
    <w:p>
      <w:pPr>
        <w:jc w:val="both"/>
        <w:ind w:left="780" w:hanging="768"/>
        <w:spacing w:after="0" w:line="257" w:lineRule="auto"/>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Asset Contribution Agreement, dated as of September 28, 1992, by and between Pfizer Inc. and Barretts Minerals Inc. (Incorporated by reference to the exhibit so designated filed with the Company’s Registration Statement on Form S-1 (Registration No. 33-51292), originally filed on August 25,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780" w:hanging="768"/>
        <w:spacing w:after="0" w:line="253" w:lineRule="auto"/>
        <w:tabs>
          <w:tab w:leader="none" w:pos="760" w:val="left"/>
        </w:tabs>
        <w:rPr>
          <w:sz w:val="20"/>
          <w:szCs w:val="20"/>
          <w:color w:val="auto"/>
        </w:rPr>
      </w:pPr>
      <w:r>
        <w:rPr>
          <w:rFonts w:ascii="Times New Roman" w:cs="Times New Roman" w:eastAsia="Times New Roman" w:hAnsi="Times New Roman"/>
          <w:sz w:val="18"/>
          <w:szCs w:val="18"/>
          <w:color w:val="auto"/>
        </w:rPr>
        <w:t>10.4(a)</w:t>
        <w:tab/>
        <w:t>Agreement dated October 22, 1992 between Pfizer Inc, Barretts Minerals Inc. and Specialty Minerals Inc., amending Exhibits 10.3 and 10.4 (Incorporated by reference to the exhibit so designated filed with the Company’s Registration Statement on Form S-1 (Registration No. 33-59510), originally filed on March 15, 1993)</w:t>
      </w:r>
    </w:p>
    <w:p>
      <w:pPr>
        <w:spacing w:after="0" w:line="2" w:lineRule="exact"/>
        <w:rPr>
          <w:sz w:val="20"/>
          <w:szCs w:val="20"/>
          <w:color w:val="auto"/>
        </w:rPr>
      </w:pPr>
    </w:p>
    <w:p>
      <w:pPr>
        <w:jc w:val="both"/>
        <w:ind w:left="840" w:right="20" w:hanging="836"/>
        <w:spacing w:after="0" w:line="261" w:lineRule="auto"/>
        <w:tabs>
          <w:tab w:leader="none" w:pos="820" w:val="left"/>
        </w:tabs>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color w:val="0000EE"/>
        </w:rPr>
        <w:tab/>
        <w:t>Employment Agreement, dated December 13, 2016, between the Company and Douglas T. Dietrich (Incorporated by reference to exhibit 10.1 filed with the Company’s Current Report on Form 8-K (file no. 001-11430) filed on December 16,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u w:val="single" w:color="auto"/>
            <w:color w:val="0000EE"/>
          </w:rPr>
          <w:t>10.5(a)</w:t>
        </w:r>
      </w:hyperlink>
      <w:r>
        <w:rPr>
          <w:rFonts w:ascii="Times New Roman" w:cs="Times New Roman" w:eastAsia="Times New Roman" w:hAnsi="Times New Roman"/>
          <w:sz w:val="18"/>
          <w:szCs w:val="18"/>
          <w:color w:val="0000EE"/>
        </w:rPr>
        <w:tab/>
        <w:t>First Amendment to Employment Agreement, dated April 15, 2021, between the Company and Douglas T. Dietrich (Incorporated by reference to exhibit 10.1 filed with the Company’s Quarterly Report on Form 10-Q (file no. 001-11430) for the quarter ended April 4, 2021)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Form of Employment Agreement between the Company and each of Erik C. Aldag, Brett Argirakis, Michael A. Cipolla, Erin N. Cutler, Jonathan J. Hastings, Timothy J. Jordan, and D.J. Monagle, III (Incorporated by reference to exhibit 10.6 filed with the Company’s Annual Report on Form 10-K (file no. 001-11430) for the year ended December 31, 2016) (+)</w:t>
      </w:r>
    </w:p>
    <w:p>
      <w:pPr>
        <w:spacing w:after="0" w:line="1" w:lineRule="exact"/>
        <w:rPr>
          <w:sz w:val="20"/>
          <w:szCs w:val="20"/>
          <w:color w:val="auto"/>
        </w:rPr>
      </w:pP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Severance Agreement between the Company and Douglas T. Dietrich (Incorporated by reference to the exhibit 10.2 filed with the Company’s Current Report on form 8-K (file no. 001-11430) filed on December 16,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u w:val="single" w:color="auto"/>
            <w:color w:val="0000EE"/>
          </w:rPr>
          <w:t>10.7(a)</w:t>
        </w:r>
      </w:hyperlink>
      <w:r>
        <w:rPr>
          <w:rFonts w:ascii="Times New Roman" w:cs="Times New Roman" w:eastAsia="Times New Roman" w:hAnsi="Times New Roman"/>
          <w:sz w:val="18"/>
          <w:szCs w:val="18"/>
          <w:color w:val="0000EE"/>
        </w:rPr>
        <w:tab/>
        <w:t>First Amendment to Severance Agreement between the Company and Douglas T. Dietrich (Incorporated by reference to exhibit 10.2 filed with the Company’s Quarterly Report on Form 10-Q (file no. 001-11430) for the quarter ended April 4, 2021) (+)</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color w:val="0000EE"/>
        </w:rPr>
        <w:tab/>
        <w:t>Form of Severance Agreement between the Company and each of Erik C. Aldag, Brett Argirakis, Michael A. Cipolla, Erin N. Cutler, Jonathan J. Hastings, Timothy J. Jordan, and D.J. Monagle, III (Incorporated by reference to exhibit 10.8 filed with the Company’s Annual Report on Form 10-K (file no. 001-11430) for the year ended December 31,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color w:val="0000EE"/>
        </w:rPr>
        <w:tab/>
        <w:t>Form of Indemnification Agreement between the Company and each of Erik C. Aldag, Brett Argirakis, Michael A. Cipolla, Erin N. Cutler, Douglas T. Dietrich, Jonathan J. Hastings, Timothy J. Jordan, D.J. Monagle III and each of the Company’s non-employee directors (Incorporated by reference to exhibit 10.1 filed with the Company’s Current Report on Form 8-K (file no. 001-11430) filed on May 8, 2009) (+)</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color w:val="0000EE"/>
        </w:rPr>
        <w:tab/>
        <w:t>Company Nonfunded Deferred Compensation and Unit Award Plan for Non-Employee Directors, as amended and restated effective January 1, 2008 (Incorporated by reference to exhibit 10.8 filed with the Company’s Quarterly Report on Form 10-Q (file no. 001-11430) for the quarter ended March 30,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u w:val="single" w:color="auto"/>
            <w:color w:val="0000EE"/>
          </w:rPr>
          <w:t>10.10(a)</w:t>
        </w:r>
      </w:hyperlink>
      <w:r>
        <w:rPr>
          <w:rFonts w:ascii="Times New Roman" w:cs="Times New Roman" w:eastAsia="Times New Roman" w:hAnsi="Times New Roman"/>
          <w:sz w:val="18"/>
          <w:szCs w:val="18"/>
          <w:color w:val="0000EE"/>
        </w:rPr>
        <w:tab/>
        <w:t>First Amendment to the Company Nonfunded Deferred Compensation and Unit Award Plan for Non-Employee Directors, dated January 18, 2012 (Incorporated by reference to exhibit 10.11(a) filed with the Company’s Annual Report on Form 10-K (file no. 001-11430) for the year ended December 31, 2011) (+)</w:t>
      </w:r>
    </w:p>
    <w:p>
      <w:pPr>
        <w:spacing w:after="0" w:line="1" w:lineRule="exact"/>
        <w:rPr>
          <w:sz w:val="20"/>
          <w:szCs w:val="20"/>
          <w:color w:val="auto"/>
        </w:rPr>
      </w:pP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color w:val="0000EE"/>
        </w:rPr>
        <w:tab/>
        <w:t>2015 Stock Award and Incentive Plan of the Company, as amended and restated effective March 15, 2024 (Incorporated by reference to Appendix B to the Company’s 2024 Proxy Statement (file no. 001-11430) filed on April 4,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u w:val="single" w:color="auto"/>
            <w:color w:val="0000EE"/>
          </w:rPr>
          <w:t>10.11(a)</w:t>
        </w:r>
      </w:hyperlink>
      <w:r>
        <w:rPr>
          <w:rFonts w:ascii="Times New Roman" w:cs="Times New Roman" w:eastAsia="Times New Roman" w:hAnsi="Times New Roman"/>
          <w:sz w:val="18"/>
          <w:szCs w:val="18"/>
          <w:color w:val="0000EE"/>
        </w:rPr>
        <w:tab/>
        <w:t>Form of Stock Option Agreement (Incorporated by reference to exhibit 10.12(a) filed with the Company’s Annual Report on Form 10-K (file no. 001-11430) for the year ended December 31, 2019) (+)</w:t>
      </w:r>
    </w:p>
    <w:p>
      <w:pPr>
        <w:spacing w:after="0" w:line="1" w:lineRule="exact"/>
        <w:rPr>
          <w:sz w:val="20"/>
          <w:szCs w:val="20"/>
          <w:color w:val="auto"/>
        </w:rPr>
      </w:pP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u w:val="single" w:color="auto"/>
            <w:color w:val="0000EE"/>
          </w:rPr>
          <w:t>10.11(b)</w:t>
        </w:r>
      </w:hyperlink>
      <w:r>
        <w:rPr>
          <w:rFonts w:ascii="Times New Roman" w:cs="Times New Roman" w:eastAsia="Times New Roman" w:hAnsi="Times New Roman"/>
          <w:sz w:val="18"/>
          <w:szCs w:val="18"/>
          <w:color w:val="0000EE"/>
        </w:rPr>
        <w:tab/>
        <w:t>Form of Deferred Restricted Stock Unit Agreement (Incorporated by reference to exhibit 10.12(b) filed with the Company’s Annual Report on Form 10-K (file no. 001-11430) for the year ended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color w:val="0000EE"/>
        </w:rPr>
        <w:tab/>
        <w:t>Company Retirement Plan, as amended and restated, dated August 27, 2020 (Incorporated by reference to exhibit 10.13 filed with the Company’s Annual Report on Form 10-K (file no. 001-11430) for the year ended December 31, 2020) (+)</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color w:val="0000EE"/>
        </w:rPr>
        <w:tab/>
        <w:t>Company Supplemental Retirement Plan, amended and restated effective December 31, 2008 (Incorporated by reference to exhibit 10.13 filed with the Company’s Annual Report on Form 10-K (file no. 001-11430) for the year ended December 31, 2009)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u w:val="single" w:color="auto"/>
            <w:color w:val="0000EE"/>
          </w:rPr>
          <w:t>10.13(a)</w:t>
        </w:r>
      </w:hyperlink>
      <w:r>
        <w:rPr>
          <w:rFonts w:ascii="Times New Roman" w:cs="Times New Roman" w:eastAsia="Times New Roman" w:hAnsi="Times New Roman"/>
          <w:sz w:val="18"/>
          <w:szCs w:val="18"/>
          <w:color w:val="0000EE"/>
        </w:rPr>
        <w:tab/>
        <w:t>First Amendment to Company Supplemental Retirement Plan, as amended and restated, dated December 22, 2014 (Incorporated by reference to exhibit 10.14(a) filed with the Company’s Annual Report on Form 10-K (file no. 001-11430) for the year ended December 31, 2014)(+)</w:t>
      </w:r>
    </w:p>
    <w:p>
      <w:pPr>
        <w:spacing w:after="0" w:line="1" w:lineRule="exact"/>
        <w:rPr>
          <w:sz w:val="20"/>
          <w:szCs w:val="20"/>
          <w:color w:val="auto"/>
        </w:rPr>
      </w:pPr>
    </w:p>
    <w:p>
      <w:pPr>
        <w:jc w:val="both"/>
        <w:ind w:left="840" w:right="20" w:hanging="836"/>
        <w:spacing w:after="0" w:line="265" w:lineRule="auto"/>
        <w:tabs>
          <w:tab w:leader="none" w:pos="820" w:val="left"/>
        </w:tabs>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u w:val="single" w:color="auto"/>
            <w:color w:val="0000EE"/>
          </w:rPr>
          <w:t>10.13(b)</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Second Amendment to Company Supplemental Retirement Plan, as amended and restated, dated December 20, 2019 (Incorporated by reference to exhibit 10.14(b) filed with the Company’s Annual Report on Form 10-K (file no. 001-11430) for the year ended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color w:val="0000EE"/>
        </w:rPr>
        <w:tab/>
        <w:t>Company Savings and Investment Plan, as amended and restated, dated December 21, 2012 (Incorporated by reference to exhibit 10.14 filed with the Company’s Annual Report on Form 10-K (file no. 001-11430) for the year ended December 31, 2012) (+)</w:t>
      </w:r>
    </w:p>
    <w:p>
      <w:pPr>
        <w:spacing w:after="0" w:line="1" w:lineRule="exact"/>
        <w:rPr>
          <w:sz w:val="20"/>
          <w:szCs w:val="20"/>
          <w:color w:val="auto"/>
        </w:rPr>
      </w:pPr>
    </w:p>
    <w:p>
      <w:pPr>
        <w:jc w:val="both"/>
        <w:ind w:left="840" w:hanging="836"/>
        <w:spacing w:after="0" w:line="260" w:lineRule="auto"/>
        <w:tabs>
          <w:tab w:leader="none" w:pos="820" w:val="left"/>
        </w:tabs>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u w:val="single" w:color="auto"/>
            <w:color w:val="0000EE"/>
          </w:rPr>
          <w:t>10.14(a)</w:t>
        </w:r>
      </w:hyperlink>
      <w:r>
        <w:rPr>
          <w:rFonts w:ascii="Times New Roman" w:cs="Times New Roman" w:eastAsia="Times New Roman" w:hAnsi="Times New Roman"/>
          <w:sz w:val="18"/>
          <w:szCs w:val="18"/>
          <w:color w:val="0000EE"/>
        </w:rPr>
        <w:tab/>
        <w:t>Amendment to the Company Savings and Investment Plan, as amended and restated, dated December 5, 2013 (Incorporated by reference to exhibit 10.15(a) filed with the Company’s Annual Report on Form 10-K (file no. 001-11430) for the year ended December 31, 2013) (+)</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jc w:val="both"/>
        <w:ind w:left="840" w:hanging="836"/>
        <w:spacing w:after="0" w:line="261" w:lineRule="auto"/>
        <w:tabs>
          <w:tab w:leader="none" w:pos="820" w:val="left"/>
        </w:tabs>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u w:val="single" w:color="auto"/>
            <w:color w:val="0000EE"/>
          </w:rPr>
          <w:t>10.14(b)</w:t>
        </w:r>
      </w:hyperlink>
      <w:r>
        <w:rPr>
          <w:rFonts w:ascii="Times New Roman" w:cs="Times New Roman" w:eastAsia="Times New Roman" w:hAnsi="Times New Roman"/>
          <w:sz w:val="18"/>
          <w:szCs w:val="18"/>
          <w:color w:val="0000EE"/>
        </w:rPr>
        <w:tab/>
        <w:t>Amendment to the Company Savings and Investment Plan, as amended and restated, dated December 5, 2013 (Incorporated by reference to exhibit 10.15(b) filed with the Company’s Annual Report on Form 10-K (file no. 001-11430) for the year ended December 31,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u w:val="single" w:color="auto"/>
            <w:color w:val="0000EE"/>
          </w:rPr>
          <w:t>10.14(c)</w:t>
        </w:r>
      </w:hyperlink>
      <w:r>
        <w:rPr>
          <w:rFonts w:ascii="Times New Roman" w:cs="Times New Roman" w:eastAsia="Times New Roman" w:hAnsi="Times New Roman"/>
          <w:sz w:val="18"/>
          <w:szCs w:val="18"/>
          <w:color w:val="0000EE"/>
        </w:rPr>
        <w:tab/>
        <w:t>Third Amendment to the Company Savings and Investment Plan, as amended and restated, dated December 22, 2014 (Incorporated by reference to exhibit 10.15(c) filed with the Company’s Annual Report on Form 10-K (file no. 001-11430)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u w:val="single" w:color="auto"/>
            <w:color w:val="0000EE"/>
          </w:rPr>
          <w:t>10.14(d)</w:t>
        </w:r>
      </w:hyperlink>
      <w:r>
        <w:rPr>
          <w:rFonts w:ascii="Times New Roman" w:cs="Times New Roman" w:eastAsia="Times New Roman" w:hAnsi="Times New Roman"/>
          <w:sz w:val="18"/>
          <w:szCs w:val="18"/>
          <w:color w:val="0000EE"/>
        </w:rPr>
        <w:tab/>
        <w:t>Amendment to the Company Savings and Investment Plan, as amended and restated, dated December 31, 2015 (Incorporated by reference to exhibit 10.15(d) filed with the Company’s Annual Report on Form 10-K (file no. 001-11430) for the year ended December 31, 2015)(+)</w:t>
      </w:r>
    </w:p>
    <w:p>
      <w:pPr>
        <w:spacing w:after="0" w:line="1" w:lineRule="exact"/>
        <w:rPr>
          <w:sz w:val="20"/>
          <w:szCs w:val="20"/>
          <w:color w:val="auto"/>
        </w:rPr>
      </w:pPr>
    </w:p>
    <w:p>
      <w:pPr>
        <w:spacing w:after="0"/>
        <w:tabs>
          <w:tab w:leader="none" w:pos="820" w:val="left"/>
        </w:tabs>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u w:val="single" w:color="auto"/>
            <w:color w:val="0000EE"/>
          </w:rPr>
          <w:t>10.14(e</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t>Amendment to the Company Savings and Investment Plan, as amended and restated, dated July 16, 2020 (Incorporated by reference to exhibit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10.1 filed with the Company’s Quarterly Report on Form 10-Q (file no. 001-11430) for the quarter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u w:val="single" w:color="auto"/>
            <w:color w:val="0000EE"/>
          </w:rPr>
          <w:t>10.14(f)</w:t>
        </w:r>
      </w:hyperlink>
      <w:r>
        <w:rPr>
          <w:rFonts w:ascii="Times New Roman" w:cs="Times New Roman" w:eastAsia="Times New Roman" w:hAnsi="Times New Roman"/>
          <w:sz w:val="18"/>
          <w:szCs w:val="18"/>
          <w:color w:val="0000EE"/>
        </w:rPr>
        <w:tab/>
        <w:t>Amendment to the Company Savings and Investment Plan, as amended and restated, dated December 21, 2020 (Incorporated by reference to exhibit 10.15(f) filed with the Company’s Annual Report on Form 10-K (file no. 001-11430) for the year ended December 31, 2020) (+)</w:t>
      </w:r>
    </w:p>
    <w:p>
      <w:pPr>
        <w:spacing w:after="0" w:line="1" w:lineRule="exact"/>
        <w:rPr>
          <w:sz w:val="20"/>
          <w:szCs w:val="20"/>
          <w:color w:val="auto"/>
        </w:rPr>
      </w:pPr>
    </w:p>
    <w:p>
      <w:pPr>
        <w:spacing w:after="0"/>
        <w:tabs>
          <w:tab w:leader="none" w:pos="820" w:val="left"/>
        </w:tabs>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u w:val="single" w:color="auto"/>
            <w:color w:val="0000EE"/>
          </w:rPr>
          <w:t>10.14(g)</w:t>
        </w:r>
      </w:hyperlink>
      <w:r>
        <w:rPr>
          <w:rFonts w:ascii="Times New Roman" w:cs="Times New Roman" w:eastAsia="Times New Roman" w:hAnsi="Times New Roman"/>
          <w:sz w:val="18"/>
          <w:szCs w:val="18"/>
          <w:color w:val="0000EE"/>
        </w:rPr>
        <w:tab/>
        <w:t>Amendment to the Company Savings and Investment Plan, as amended and restated, dated May 25, 2022 (Incorporated by reference to exhibit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10.1 filed with the Company’s Quarterly Report on Form 10-Q (file no. 001-11430) for the quarter ended July 3, 2022)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u w:val="single" w:color="auto"/>
            <w:color w:val="0000EE"/>
          </w:rPr>
          <w:t>10.14(h)</w:t>
        </w:r>
      </w:hyperlink>
      <w:r>
        <w:rPr>
          <w:rFonts w:ascii="Times New Roman" w:cs="Times New Roman" w:eastAsia="Times New Roman" w:hAnsi="Times New Roman"/>
          <w:sz w:val="18"/>
          <w:szCs w:val="18"/>
          <w:color w:val="0000EE"/>
        </w:rPr>
        <w:tab/>
        <w:t>Amendment to the Company Savings and Investment Plan, as amended and restated, dated December 15, 2022 (Incorporated by reference to exhibit 10.14(h) filed with the Company’s Annual Report on Form 10-K (file no. 001-11430) for the year ended December 31, 2022) (+)</w:t>
      </w:r>
    </w:p>
    <w:p>
      <w:pPr>
        <w:spacing w:after="0" w:line="1"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10.14(i)</w:t>
      </w:r>
      <w:r>
        <w:rPr>
          <w:sz w:val="20"/>
          <w:szCs w:val="20"/>
          <w:color w:val="auto"/>
        </w:rPr>
        <w:tab/>
      </w:r>
      <w:r>
        <w:rPr>
          <w:rFonts w:ascii="Times New Roman" w:cs="Times New Roman" w:eastAsia="Times New Roman" w:hAnsi="Times New Roman"/>
          <w:sz w:val="17"/>
          <w:szCs w:val="17"/>
          <w:color w:val="auto"/>
        </w:rPr>
        <w:t>Amendment to the Company Savings and Investment Plan, as amended and restated, dated December 31, 2025(*) (+)</w:t>
      </w:r>
    </w:p>
    <w:p>
      <w:pPr>
        <w:spacing w:after="0" w:line="23" w:lineRule="exact"/>
        <w:rPr>
          <w:sz w:val="20"/>
          <w:szCs w:val="20"/>
          <w:color w:val="auto"/>
        </w:rPr>
      </w:pPr>
    </w:p>
    <w:p>
      <w:pPr>
        <w:jc w:val="both"/>
        <w:ind w:left="840" w:hanging="836"/>
        <w:spacing w:after="0" w:line="258" w:lineRule="auto"/>
        <w:tabs>
          <w:tab w:leader="none" w:pos="820" w:val="left"/>
        </w:tabs>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color w:val="0000EE"/>
        </w:rPr>
        <w:tab/>
        <w:t>Company Supplemental Savings Plan, amended and restated effective December 31, 2008 (Incorporated by reference to exhibit 10.15 filed with the Company’s Annual Report on Form 10-K (file no. 001-11430) for the year ended December 31, 2009)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u w:val="single" w:color="auto"/>
            <w:color w:val="0000EE"/>
          </w:rPr>
          <w:t>10.15(a)</w:t>
        </w:r>
      </w:hyperlink>
      <w:r>
        <w:rPr>
          <w:rFonts w:ascii="Times New Roman" w:cs="Times New Roman" w:eastAsia="Times New Roman" w:hAnsi="Times New Roman"/>
          <w:sz w:val="18"/>
          <w:szCs w:val="18"/>
          <w:color w:val="0000EE"/>
        </w:rPr>
        <w:tab/>
        <w:t>Amendment to the Company Supplemental Savings Plan, dated December 28, 2011 (Incorporated by reference to exhibit 10.16(a) filed with the Company’s Annual Report on Form 10-K (file no. 001-11430)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u w:val="single" w:color="auto"/>
            <w:color w:val="0000EE"/>
          </w:rPr>
          <w:t>10.15(b)</w:t>
        </w:r>
      </w:hyperlink>
      <w:r>
        <w:rPr>
          <w:rFonts w:ascii="Times New Roman" w:cs="Times New Roman" w:eastAsia="Times New Roman" w:hAnsi="Times New Roman"/>
          <w:sz w:val="18"/>
          <w:szCs w:val="18"/>
          <w:color w:val="0000EE"/>
        </w:rPr>
        <w:tab/>
        <w:t>First Amendment to the Company Supplemental Savings Plan, dated December 22, 2014 (Incorporated by reference to exhibit 10.16(b) filed with the Company’s Annual Report on Form 10-K (file no. 001-11430) for the year ended December 31, 2014)(+)</w:t>
      </w:r>
    </w:p>
    <w:p>
      <w:pPr>
        <w:spacing w:after="0" w:line="1" w:lineRule="exact"/>
        <w:rPr>
          <w:sz w:val="20"/>
          <w:szCs w:val="20"/>
          <w:color w:val="auto"/>
        </w:rPr>
      </w:pP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u w:val="single" w:color="auto"/>
            <w:color w:val="0000EE"/>
          </w:rPr>
          <w:t>10.15(c)</w:t>
        </w:r>
      </w:hyperlink>
      <w:r>
        <w:rPr>
          <w:rFonts w:ascii="Times New Roman" w:cs="Times New Roman" w:eastAsia="Times New Roman" w:hAnsi="Times New Roman"/>
          <w:sz w:val="18"/>
          <w:szCs w:val="18"/>
          <w:color w:val="0000EE"/>
        </w:rPr>
        <w:tab/>
        <w:t>Second Amendment to the Company Supplemental Savings Plan, dated December 22, 2014 (Incorporated by reference to exhibit 10.16(c) filed with the Company’s Annual Report on Form 10-K (file no. 001-11430)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u w:val="single" w:color="auto"/>
            <w:color w:val="0000EE"/>
          </w:rPr>
          <w:t>10.15(d)</w:t>
        </w:r>
      </w:hyperlink>
      <w:r>
        <w:rPr>
          <w:rFonts w:ascii="Times New Roman" w:cs="Times New Roman" w:eastAsia="Times New Roman" w:hAnsi="Times New Roman"/>
          <w:sz w:val="18"/>
          <w:szCs w:val="18"/>
          <w:color w:val="0000EE"/>
        </w:rPr>
        <w:tab/>
        <w:t>Third Amendment to the Company Supplemental Savings Plan, dated December 16, 2016 (Incorporated by reference to exhibit 10.16(d) filed with the Company’s Annual Report on Form 10-K (file no. 001-11430) for the year ended December 31, 2016)(+)</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u w:val="single" w:color="auto"/>
            <w:color w:val="0000EE"/>
          </w:rPr>
          <w:t>10.15(e)</w:t>
        </w:r>
      </w:hyperlink>
      <w:r>
        <w:rPr>
          <w:rFonts w:ascii="Times New Roman" w:cs="Times New Roman" w:eastAsia="Times New Roman" w:hAnsi="Times New Roman"/>
          <w:sz w:val="18"/>
          <w:szCs w:val="18"/>
          <w:color w:val="0000EE"/>
        </w:rPr>
        <w:tab/>
        <w:t>Fourth Amendment to the Company Supplemental Savings Plan, dated December 20, 2019 (Incorporated by reference to exhibit 10.16(e) filed with the Company’s Annual Report on Form 10-K (file no. 001-11430) for the year ended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820" w:val="left"/>
        </w:tabs>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color w:val="0000EE"/>
        </w:rPr>
        <w:tab/>
        <w:t>Company Health and Welfare Plan, effective as of April 1, 2003 and amended and restated as of January 1, 2006 (Incorporated by reference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10.14 filed with the Company’s Annual Report on Form 10-K (file no. 001-11430) for the year ended December 31, 2006)(+)</w:t>
      </w:r>
    </w:p>
    <w:p>
      <w:pPr>
        <w:spacing w:after="0" w:line="9" w:lineRule="exact"/>
        <w:rPr>
          <w:sz w:val="20"/>
          <w:szCs w:val="20"/>
          <w:color w:val="auto"/>
        </w:rPr>
      </w:pPr>
    </w:p>
    <w:p>
      <w:pPr>
        <w:jc w:val="both"/>
        <w:ind w:left="840" w:right="20" w:hanging="836"/>
        <w:spacing w:after="0" w:line="250" w:lineRule="auto"/>
        <w:tabs>
          <w:tab w:leader="none" w:pos="820" w:val="left"/>
        </w:tabs>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u w:val="single" w:color="auto"/>
            <w:color w:val="0000EE"/>
          </w:rPr>
          <w:t>10.16(a)</w:t>
        </w:r>
      </w:hyperlink>
      <w:r>
        <w:rPr>
          <w:rFonts w:ascii="Times New Roman" w:cs="Times New Roman" w:eastAsia="Times New Roman" w:hAnsi="Times New Roman"/>
          <w:sz w:val="18"/>
          <w:szCs w:val="18"/>
          <w:color w:val="0000EE"/>
        </w:rPr>
        <w:tab/>
        <w:t>Amendment to the Company Health and Welfare Plan, dated May 19, 2009 (Incorporated by reference to exhibit 10.16(a) filed with the Company’s Annual Report on Form 10-K (file no. 001-11430) for the year ended December 31, 2009)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u w:val="single" w:color="auto"/>
            <w:color w:val="0000EE"/>
          </w:rPr>
          <w:t>10.16(b)</w:t>
        </w:r>
      </w:hyperlink>
      <w:r>
        <w:rPr>
          <w:rFonts w:ascii="Times New Roman" w:cs="Times New Roman" w:eastAsia="Times New Roman" w:hAnsi="Times New Roman"/>
          <w:sz w:val="18"/>
          <w:szCs w:val="18"/>
          <w:color w:val="0000EE"/>
        </w:rPr>
        <w:tab/>
        <w:t>First Amendment to Company Health and Welfare Plan, dated December 22, 2014 (Incorporated by reference to exhibit 10.17(b) filed with the Company’s Annual Report on Form 10-K (file no. 001-11430) for the year ended December 31, 2014)(+)</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color w:val="0000EE"/>
        </w:rPr>
        <w:tab/>
        <w:t>Company Retiree Medical Plan, effective as of January 1, 2011 (Incorporated by reference to exhibit 10.17 filed with the Company’s Annual Report on Form 10-K (file no. 001-11430)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u w:val="single" w:color="auto"/>
            <w:color w:val="0000EE"/>
          </w:rPr>
          <w:t>10.17(a)</w:t>
        </w:r>
      </w:hyperlink>
      <w:r>
        <w:rPr>
          <w:rFonts w:ascii="Times New Roman" w:cs="Times New Roman" w:eastAsia="Times New Roman" w:hAnsi="Times New Roman"/>
          <w:sz w:val="18"/>
          <w:szCs w:val="18"/>
          <w:color w:val="0000EE"/>
        </w:rPr>
        <w:tab/>
        <w:t>First Amendment to Company Retiree Medical Plan, dated December 22, 2014 (Incorporated by reference to exhibit 10.18(a) filed with the Company’s Annual Report on Form 10-K (file no. 001-11430) for the year ended December 31, 2014)(+)</w:t>
      </w:r>
    </w:p>
    <w:p>
      <w:pPr>
        <w:spacing w:after="0" w:line="1" w:lineRule="exact"/>
        <w:rPr>
          <w:sz w:val="20"/>
          <w:szCs w:val="20"/>
          <w:color w:val="auto"/>
        </w:rPr>
      </w:pPr>
    </w:p>
    <w:p>
      <w:pPr>
        <w:jc w:val="both"/>
        <w:ind w:left="840" w:hanging="836"/>
        <w:spacing w:after="0" w:line="250" w:lineRule="auto"/>
        <w:tabs>
          <w:tab w:leader="none" w:pos="820" w:val="left"/>
        </w:tabs>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u w:val="single" w:color="auto"/>
            <w:color w:val="0000EE"/>
          </w:rPr>
          <w:t>10.17(b)</w:t>
        </w:r>
      </w:hyperlink>
      <w:r>
        <w:rPr>
          <w:rFonts w:ascii="Times New Roman" w:cs="Times New Roman" w:eastAsia="Times New Roman" w:hAnsi="Times New Roman"/>
          <w:sz w:val="18"/>
          <w:szCs w:val="18"/>
          <w:color w:val="0000EE"/>
        </w:rPr>
        <w:tab/>
        <w:t>Second Amendment to Company Retiree Medical Plan, dated November 10, 2021 (Incorporated by reference to exhibit 10.18(b) filed with the Company’s Annual Report on Form 10-K (file no. 001-11430) for the year ended December 31, 2021)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840" w:hanging="836"/>
        <w:spacing w:after="0" w:line="255" w:lineRule="auto"/>
        <w:tabs>
          <w:tab w:leader="none" w:pos="820" w:val="left"/>
        </w:tabs>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color w:val="0000EE"/>
        </w:rPr>
        <w:tab/>
        <w:t>Amended and Restated Grantor Trust Agreement, dated as of April 1, 2010, by and between the Company and the Wilmington Trust Company (Incorporated by reference to exhibit 10.1 filed with the Company’s Quarterly Report on Form 10-Q (file no. 001-11430) for the period ended April 4, 2010)(+)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jc w:val="both"/>
        <w:ind w:left="1000" w:right="20" w:hanging="944"/>
        <w:spacing w:after="0" w:line="266" w:lineRule="auto"/>
        <w:tabs>
          <w:tab w:leader="none" w:pos="980" w:val="left"/>
        </w:tabs>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u w:val="single" w:color="auto"/>
            <w:color w:val="0000EE"/>
          </w:rPr>
          <w:t>10.18(a)</w:t>
        </w:r>
      </w:hyperlink>
      <w:r>
        <w:rPr>
          <w:rFonts w:ascii="Times New Roman" w:cs="Times New Roman" w:eastAsia="Times New Roman" w:hAnsi="Times New Roman"/>
          <w:sz w:val="18"/>
          <w:szCs w:val="18"/>
          <w:color w:val="0000EE"/>
        </w:rPr>
        <w:tab/>
        <w:t>Agreement and Amendment No. 1, dated October 1, 2017, to the Amended and Restated Grantor Trust Agreement, dated as of April 1, 2010, by and between the Company and the Wilmington Trust Company (Incorporated by reference to exhibit 10.19(a) filed with the Company’s Annual Report on Form 10-K (file no. 001-11430)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-433070</wp:posOffset>
            </wp:positionV>
            <wp:extent cx="7098030" cy="428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098030" cy="428625"/>
                    </a:xfrm>
                    <a:prstGeom prst="rect">
                      <a:avLst/>
                    </a:prstGeom>
                    <a:noFill/>
                  </pic:spPr>
                </pic:pic>
              </a:graphicData>
            </a:graphic>
          </wp:anchor>
        </w:drawing>
      </w:r>
    </w:p>
    <w:p>
      <w:pPr>
        <w:jc w:val="both"/>
        <w:ind w:left="980" w:hanging="944"/>
        <w:spacing w:after="0" w:line="260" w:lineRule="auto"/>
        <w:tabs>
          <w:tab w:leader="none" w:pos="960" w:val="left"/>
        </w:tabs>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color w:val="0000EE"/>
        </w:rPr>
        <w:tab/>
        <w:t>Refinancing Facility Agreement and Incremental Facility Amendment dated as of November 26, 2024, among Minerals Technologies Inc., certain subsidiaries party thereto, the lenders party thereto, and JPMorgan Chase Bank, N.A., as Administrative Agent. (Incorporated by reference to the exhibit 10.1 filed with the Company’s Current Report on Form 8-K (file no. 001-11430) filed on November 26, 2024)</w:t>
      </w:r>
    </w:p>
    <w:p>
      <w:pPr>
        <w:spacing w:after="0" w:line="2" w:lineRule="exact"/>
        <w:rPr>
          <w:sz w:val="20"/>
          <w:szCs w:val="20"/>
          <w:color w:val="auto"/>
        </w:rPr>
      </w:pPr>
    </w:p>
    <w:p>
      <w:pPr>
        <w:ind w:left="980" w:right="20" w:hanging="945"/>
        <w:spacing w:after="0" w:line="266" w:lineRule="auto"/>
        <w:tabs>
          <w:tab w:leader="none" w:pos="980"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Minerals Technologies Inc. Securities Trading Policy (Incorporated by reference to exhibit 19 filed with the Company's Annual Report on Form 10-K (file no. 001-11430)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709803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098030" cy="27432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94"/>
        </w:trPr>
        <w:tc>
          <w:tcPr>
            <w:tcW w:w="66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0000EE"/>
                <w:w w:val="88"/>
              </w:rPr>
              <w:t>21.</w:t>
            </w:r>
            <w:r>
              <w:rPr>
                <w:rFonts w:ascii="Times New Roman" w:cs="Times New Roman" w:eastAsia="Times New Roman" w:hAnsi="Times New Roman"/>
                <w:sz w:val="18"/>
                <w:szCs w:val="18"/>
                <w:u w:val="single" w:color="auto"/>
                <w:color w:val="0000EE"/>
                <w:w w:val="88"/>
              </w:rPr>
              <w:t>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Subsidiaries of the Company (*)</w:t>
            </w:r>
          </w:p>
        </w:tc>
        <w:tc>
          <w:tcPr>
            <w:tcW w:w="0" w:type="dxa"/>
            <w:vAlign w:val="bottom"/>
          </w:tcPr>
          <w:p>
            <w:pPr>
              <w:spacing w:after="0"/>
              <w:rPr>
                <w:sz w:val="1"/>
                <w:szCs w:val="1"/>
                <w:color w:val="auto"/>
              </w:rPr>
            </w:pPr>
          </w:p>
        </w:tc>
      </w:tr>
      <w:tr>
        <w:trPr>
          <w:trHeight w:val="48"/>
        </w:trPr>
        <w:tc>
          <w:tcPr>
            <w:tcW w:w="3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gridSpan w:val="2"/>
            <w:shd w:val="clear" w:color="auto" w:fill="CCEEFF"/>
          </w:tcPr>
          <w:p>
            <w:pPr>
              <w:jc w:val="right"/>
              <w:ind w:right="360"/>
              <w:spacing w:after="0" w:line="176"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40" w:type="dxa"/>
            <w:vAlign w:val="bottom"/>
            <w:vMerge w:val="continue"/>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10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w:t>
            </w:r>
          </w:p>
        </w:tc>
        <w:tc>
          <w:tcPr>
            <w:tcW w:w="0" w:type="dxa"/>
            <w:vAlign w:val="bottom"/>
          </w:tcPr>
          <w:p>
            <w:pPr>
              <w:spacing w:after="0"/>
              <w:rPr>
                <w:sz w:val="1"/>
                <w:szCs w:val="1"/>
                <w:color w:val="auto"/>
              </w:rPr>
            </w:pPr>
          </w:p>
        </w:tc>
      </w:tr>
      <w:tr>
        <w:trPr>
          <w:trHeight w:val="21"/>
        </w:trPr>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80" w:hanging="945"/>
        <w:spacing w:after="0"/>
        <w:tabs>
          <w:tab w:leader="none" w:pos="980" w:val="left"/>
        </w:tabs>
        <w:numPr>
          <w:ilvl w:val="0"/>
          <w:numId w:val="1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Power of Attorney (*)</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3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1</w:t>
            </w:r>
          </w:p>
        </w:tc>
        <w:tc>
          <w:tcPr>
            <w:tcW w:w="36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Rule 13a-14(a)/15d-14(a)</w:t>
            </w:r>
          </w:p>
        </w:tc>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executed by the Company’s principal executive officer (*)</w:t>
            </w:r>
          </w:p>
        </w:tc>
      </w:tr>
      <w:tr>
        <w:trPr>
          <w:trHeight w:val="203"/>
        </w:trPr>
        <w:tc>
          <w:tcPr>
            <w:tcW w:w="300" w:type="dxa"/>
            <w:vAlign w:val="bottom"/>
            <w:tcBorders>
              <w:top w:val="single" w:sz="8" w:color="CCEEFF"/>
              <w:bottom w:val="single" w:sz="8" w:color="0000EE"/>
            </w:tcBorders>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2</w:t>
            </w:r>
          </w:p>
        </w:tc>
        <w:tc>
          <w:tcPr>
            <w:tcW w:w="36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w w:val="99"/>
              </w:rPr>
              <w:t>Rule 13a-14(a)/15d-14(a)</w:t>
            </w:r>
          </w:p>
        </w:tc>
        <w:tc>
          <w:tcPr>
            <w:tcW w:w="838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Certification executed by the Company’s principal financial officer (*)</w:t>
            </w:r>
          </w:p>
        </w:tc>
      </w:tr>
    </w:tbl>
    <w:p>
      <w:pPr>
        <w:spacing w:after="0" w:line="15" w:lineRule="exact"/>
        <w:rPr>
          <w:sz w:val="20"/>
          <w:szCs w:val="20"/>
          <w:color w:val="auto"/>
        </w:rPr>
      </w:pPr>
    </w:p>
    <w:p>
      <w:pPr>
        <w:ind w:left="740" w:hanging="705"/>
        <w:spacing w:after="0"/>
        <w:tabs>
          <w:tab w:leader="none" w:pos="740"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
          <w:szCs w:val="1"/>
          <w:u w:val="single" w:color="auto"/>
          <w:color w:val="0000EE"/>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Section 1350 Certification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709803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980" w:hanging="945"/>
        <w:spacing w:after="0"/>
        <w:tabs>
          <w:tab w:leader="none" w:pos="980"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Information Concerning Mine Safety Violations (*)</w:t>
      </w:r>
    </w:p>
    <w:p>
      <w:pPr>
        <w:spacing w:after="0" w:line="36" w:lineRule="exact"/>
        <w:rPr>
          <w:sz w:val="20"/>
          <w:szCs w:val="20"/>
          <w:color w:val="auto"/>
        </w:rPr>
      </w:pPr>
    </w:p>
    <w:p>
      <w:pPr>
        <w:ind w:left="980" w:right="20" w:hanging="945"/>
        <w:spacing w:after="0" w:line="266" w:lineRule="auto"/>
        <w:tabs>
          <w:tab w:leader="none" w:pos="980" w:val="left"/>
        </w:tabs>
        <w:numPr>
          <w:ilvl w:val="0"/>
          <w:numId w:val="1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Minerals Technologies Inc. Policy for Recoupment of Incentive Compensation (Incorporated by reference to exhibit 97 filed with the Company's Annual Report on Form 10-K (file no. 001-11430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709803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098030" cy="27432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shd w:val="clear" w:color="auto" w:fill="CCEEFF"/>
              </w:rPr>
              <w:t>101.SCH</w:t>
            </w:r>
          </w:p>
        </w:tc>
        <w:tc>
          <w:tcPr>
            <w:tcW w:w="40" w:type="dxa"/>
            <w:vAlign w:val="bottom"/>
            <w:vMerge w:val="continue"/>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101.CAL</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shd w:val="clear" w:color="auto" w:fill="CCEEFF"/>
              </w:rPr>
              <w:t>101.DEF</w:t>
            </w:r>
          </w:p>
        </w:tc>
        <w:tc>
          <w:tcPr>
            <w:tcW w:w="4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101.LAB</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 xml:space="preserve">101.PRE </w:t>
      </w:r>
      <w:r>
        <w:rPr>
          <w:sz w:val="1"/>
          <w:szCs w:val="1"/>
          <w:color w:val="auto"/>
        </w:rPr>
        <w:drawing>
          <wp:inline distT="0" distB="0" distL="0" distR="0">
            <wp:extent cx="137160" cy="1524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137160" cy="15240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-159385</wp:posOffset>
            </wp:positionV>
            <wp:extent cx="6497955"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6497955" cy="163195"/>
                    </a:xfrm>
                    <a:prstGeom prst="rect">
                      <a:avLst/>
                    </a:prstGeom>
                    <a:noFill/>
                  </pic:spPr>
                </pic:pic>
              </a:graphicData>
            </a:graphic>
          </wp:anchor>
        </w:drawing>
      </w:r>
    </w:p>
    <w:p>
      <w:pPr>
        <w:ind w:left="980" w:hanging="945"/>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 required to be filed pursuant to Item 601 of Regulation S-K.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871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94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26"/>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T. Dietrich</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Douglas T. Dietrich</w:t>
            </w:r>
          </w:p>
        </w:tc>
        <w:tc>
          <w:tcPr>
            <w:tcW w:w="1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Erik C. Aldag</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 Finance and Treasury,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Erik C. Aldag</w:t>
            </w:r>
          </w:p>
        </w:tc>
        <w:tc>
          <w:tcPr>
            <w:tcW w:w="1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Cipolla</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 Controller 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Michael A. Cipolla</w:t>
            </w:r>
          </w:p>
        </w:tc>
        <w:tc>
          <w:tcPr>
            <w:tcW w:w="1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680" w:type="dxa"/>
            <w:vAlign w:val="bottom"/>
          </w:tcPr>
          <w:p>
            <w:pPr>
              <w:spacing w:after="0"/>
              <w:rPr>
                <w:sz w:val="19"/>
                <w:szCs w:val="19"/>
                <w:color w:val="auto"/>
              </w:rPr>
            </w:pPr>
          </w:p>
        </w:tc>
      </w:tr>
      <w:tr>
        <w:trPr>
          <w:trHeight w:val="441"/>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Joseph C. Breunig</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John J. Carmola</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Robert L. Clark</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Alison A. Deans</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T. Dietrich</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Douglas T. Dietrich</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Franklin L. Feder</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1"/>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Kristina M. Johnson</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1"/>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Rocky Motwani</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1"/>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Carolyn K. Pittman</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 E. Robinson</w:t>
            </w:r>
          </w:p>
        </w:tc>
        <w:tc>
          <w:tcPr>
            <w:tcW w:w="1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Timothy</w:t>
      </w:r>
    </w:p>
    <w:p>
      <w:pPr>
        <w:spacing w:after="0" w:line="27" w:lineRule="exact"/>
        <w:rPr>
          <w:sz w:val="20"/>
          <w:szCs w:val="20"/>
          <w:color w:val="auto"/>
        </w:rPr>
      </w:pPr>
    </w:p>
    <w:p>
      <w:pPr>
        <w:ind w:left="2260" w:hanging="1080"/>
        <w:spacing w:after="0"/>
        <w:tabs>
          <w:tab w:leader="none" w:pos="2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Jordan</w:t>
      </w:r>
    </w:p>
    <w:p>
      <w:pPr>
        <w:spacing w:after="0" w:line="9" w:lineRule="exact"/>
        <w:rPr>
          <w:rFonts w:ascii="Times New Roman" w:cs="Times New Roman" w:eastAsia="Times New Roman" w:hAnsi="Times New Roman"/>
          <w:sz w:val="18"/>
          <w:szCs w:val="18"/>
          <w:color w:val="auto"/>
        </w:rPr>
      </w:pPr>
    </w:p>
    <w:p>
      <w:pPr>
        <w:ind w:left="2260" w:right="78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J. Jordan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-566420</wp:posOffset>
            </wp:positionV>
            <wp:extent cx="7200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20" w:type="dxa"/>
            <w:vAlign w:val="bottom"/>
            <w:gridSpan w:val="8"/>
          </w:tcPr>
          <w:p>
            <w:pPr>
              <w:jc w:val="center"/>
              <w:ind w:right="1813"/>
              <w:spacing w:after="0"/>
              <w:rPr>
                <w:sz w:val="20"/>
                <w:szCs w:val="20"/>
                <w:color w:val="auto"/>
              </w:rPr>
            </w:pPr>
            <w:r>
              <w:rPr>
                <w:rFonts w:ascii="Times New Roman" w:cs="Times New Roman" w:eastAsia="Times New Roman" w:hAnsi="Times New Roman"/>
                <w:sz w:val="18"/>
                <w:szCs w:val="18"/>
                <w:b w:val="1"/>
                <w:bCs w:val="1"/>
                <w:color w:val="auto"/>
                <w:w w:val="99"/>
              </w:rPr>
              <w:t>MINERALS TECHNOLOGIES INC. AND SUBSIDIARY COMPANIES</w:t>
            </w:r>
          </w:p>
        </w:tc>
        <w:tc>
          <w:tcPr>
            <w:tcW w:w="6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20" w:type="dxa"/>
            <w:vAlign w:val="bottom"/>
            <w:gridSpan w:val="8"/>
          </w:tcPr>
          <w:p>
            <w:pPr>
              <w:jc w:val="center"/>
              <w:ind w:right="1833"/>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60" w:type="dxa"/>
            <w:vAlign w:val="bottom"/>
          </w:tcPr>
          <w:p>
            <w:pPr>
              <w:spacing w:after="0"/>
              <w:rPr>
                <w:sz w:val="24"/>
                <w:szCs w:val="24"/>
                <w:color w:val="auto"/>
              </w:rPr>
            </w:pPr>
          </w:p>
        </w:tc>
      </w:tr>
      <w:tr>
        <w:trPr>
          <w:trHeight w:val="459"/>
        </w:trPr>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Balance Sheets </w:t>
            </w:r>
            <w:r>
              <w:rPr>
                <w:rFonts w:ascii="Times New Roman" w:cs="Times New Roman" w:eastAsia="Times New Roman" w:hAnsi="Times New Roman"/>
                <w:sz w:val="18"/>
                <w:szCs w:val="18"/>
                <w:color w:val="000000"/>
              </w:rPr>
              <w:t>as of December 31, 2025 and 2024</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Income (Loss) </w:t>
            </w:r>
            <w:r>
              <w:rPr>
                <w:rFonts w:ascii="Times New Roman" w:cs="Times New Roman" w:eastAsia="Times New Roman" w:hAnsi="Times New Roman"/>
                <w:sz w:val="18"/>
                <w:szCs w:val="18"/>
                <w:color w:val="000000"/>
              </w:rPr>
              <w:t>for the years ended December 31, 2025, 2024 and 2023</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Comprehensive Income </w:t>
            </w:r>
            <w:r>
              <w:rPr>
                <w:rFonts w:ascii="Times New Roman" w:cs="Times New Roman" w:eastAsia="Times New Roman" w:hAnsi="Times New Roman"/>
                <w:sz w:val="18"/>
                <w:szCs w:val="18"/>
                <w:color w:val="000000"/>
              </w:rPr>
              <w:t>for the years ended December 31, 2025, 2024 and 2023</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Cash Flows </w:t>
            </w:r>
            <w:r>
              <w:rPr>
                <w:rFonts w:ascii="Times New Roman" w:cs="Times New Roman" w:eastAsia="Times New Roman" w:hAnsi="Times New Roman"/>
                <w:sz w:val="18"/>
                <w:szCs w:val="18"/>
                <w:color w:val="000000"/>
              </w:rPr>
              <w:t>for the years ended December 31, 2025, 2024 and 2023</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Changes in Shareholders’ Equity </w:t>
            </w:r>
            <w:r>
              <w:rPr>
                <w:rFonts w:ascii="Times New Roman" w:cs="Times New Roman" w:eastAsia="Times New Roman" w:hAnsi="Times New Roman"/>
                <w:sz w:val="18"/>
                <w:szCs w:val="18"/>
                <w:color w:val="000000"/>
              </w:rPr>
              <w:t>for the years ended December 31, 2025, 2024 and 2023</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4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05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(KPMG LLP, New York, NY, Audit Firm ID 185)</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F-41</w:t>
            </w:r>
          </w:p>
        </w:tc>
      </w:tr>
      <w:tr>
        <w:trPr>
          <w:trHeight w:val="216"/>
        </w:trPr>
        <w:tc>
          <w:tcPr>
            <w:tcW w:w="4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05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Report on Internal Control Over Financial Reporting</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16"/>
        </w:trPr>
        <w:tc>
          <w:tcPr>
            <w:tcW w:w="4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05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Valuation and Qualifying Accounts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378"/>
        </w:trPr>
        <w:tc>
          <w:tcPr>
            <w:tcW w:w="4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80" w:type="dxa"/>
            <w:vAlign w:val="bottom"/>
            <w:tcBorders>
              <w:top w:val="single" w:sz="8" w:color="CCEEFF"/>
            </w:tcBorders>
          </w:tcPr>
          <w:p>
            <w:pPr>
              <w:jc w:val="center"/>
              <w:ind w:right="4153"/>
              <w:spacing w:after="0"/>
              <w:rPr>
                <w:sz w:val="20"/>
                <w:szCs w:val="20"/>
                <w:color w:val="auto"/>
              </w:rPr>
            </w:pPr>
            <w:r>
              <w:rPr>
                <w:rFonts w:ascii="Times New Roman" w:cs="Times New Roman" w:eastAsia="Times New Roman" w:hAnsi="Times New Roman"/>
                <w:sz w:val="13"/>
                <w:szCs w:val="13"/>
                <w:color w:val="auto"/>
                <w:w w:val="99"/>
              </w:rPr>
              <w:t>F-1</w:t>
            </w:r>
          </w:p>
        </w:tc>
        <w:tc>
          <w:tcPr>
            <w:tcW w:w="660" w:type="dxa"/>
            <w:vAlign w:val="bottom"/>
            <w:tcBorders>
              <w:top w:val="single" w:sz="8" w:color="CCEEFF"/>
            </w:tcBorders>
          </w:tcPr>
          <w:p>
            <w:pPr>
              <w:spacing w:after="0"/>
              <w:rPr>
                <w:sz w:val="24"/>
                <w:szCs w:val="24"/>
                <w:color w:val="auto"/>
              </w:rPr>
            </w:pPr>
          </w:p>
        </w:tc>
      </w:tr>
      <w:tr>
        <w:trPr>
          <w:trHeight w:val="62"/>
        </w:trPr>
        <w:tc>
          <w:tcPr>
            <w:tcW w:w="4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66" w:right="339" w:bottom="1440" w:gutter="0" w:footer="0" w:header="0"/>
        </w:sectPr>
      </w:pPr>
    </w:p>
    <w:bookmarkStart w:id="53" w:name="page54"/>
    <w:bookmarkEnd w:id="53"/>
    <w:p>
      <w:pPr>
        <w:jc w:val="center"/>
        <w:ind w:left="2820"/>
        <w:spacing w:after="0"/>
        <w:rPr>
          <w:sz w:val="20"/>
          <w:szCs w:val="20"/>
          <w:color w:val="auto"/>
        </w:rPr>
      </w:pPr>
      <w:r>
        <w:rPr>
          <w:rFonts w:ascii="Times New Roman" w:cs="Times New Roman" w:eastAsia="Times New Roman" w:hAnsi="Times New Roman"/>
          <w:sz w:val="17"/>
          <w:szCs w:val="17"/>
          <w:b w:val="1"/>
          <w:bCs w:val="1"/>
          <w:color w:val="auto"/>
        </w:rPr>
        <w:t>MINERALS TECHNOLOGIES INC. AND SUBSIDIARY COMPANIES</w:t>
      </w:r>
    </w:p>
    <w:p>
      <w:pPr>
        <w:spacing w:after="0" w:line="43"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and per share amounts)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19685</wp:posOffset>
            </wp:positionV>
            <wp:extent cx="16287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14605</wp:posOffset>
            </wp:positionV>
            <wp:extent cx="16287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8440" w:space="680"/>
            <w:col w:w="2120"/>
          </w:cols>
          <w:pgMar w:left="320" w:top="266" w:right="339" w:bottom="1440" w:gutter="0" w:footer="0" w:header="0"/>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at cost which approximates market</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1,131.0</w:t>
            </w:r>
          </w:p>
        </w:tc>
      </w:tr>
      <w:tr>
        <w:trPr>
          <w:trHeight w:val="216"/>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and depletion</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r>
      <w:tr>
        <w:trPr>
          <w:trHeight w:val="250"/>
        </w:trPr>
        <w:tc>
          <w:tcPr>
            <w:tcW w:w="8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3,469.0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3,393.9</w:t>
            </w:r>
          </w:p>
        </w:tc>
      </w:tr>
      <w:tr>
        <w:trPr>
          <w:trHeight w:val="196"/>
        </w:trPr>
        <w:tc>
          <w:tcPr>
            <w:tcW w:w="8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86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items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r>
      <w:tr>
        <w:trPr>
          <w:trHeight w:val="21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397.7</w:t>
            </w:r>
          </w:p>
        </w:tc>
      </w:tr>
      <w:tr>
        <w:trPr>
          <w:trHeight w:val="216"/>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discount and deferred financing costs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r>
      <w:tr>
        <w:trPr>
          <w:trHeight w:val="21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1,610.7</w:t>
            </w:r>
          </w:p>
        </w:tc>
      </w:tr>
      <w:tr>
        <w:trPr>
          <w:trHeight w:val="210"/>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without par value; 1,000,000 shares authorized; none issued</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par value at $0.10 per share; 100,000,000 shares authorized;</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50,099,919 shares in 2025 and 49,993,737 shares in 2024</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2,514.5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common stock held in treasury, at cost; 19,065,813 shares in 2025 and 18,098,082 shares in 2024</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w:t>
            </w:r>
          </w:p>
        </w:tc>
      </w:tr>
      <w:tr>
        <w:trPr>
          <w:trHeight w:val="210"/>
        </w:trPr>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Minerals Technologies Inc. shareholders' equity</w:t>
            </w: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8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1,783.2</w:t>
            </w:r>
          </w:p>
        </w:tc>
      </w:tr>
      <w:tr>
        <w:trPr>
          <w:trHeight w:val="210"/>
        </w:trPr>
        <w:tc>
          <w:tcPr>
            <w:tcW w:w="8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3,393.9</w:t>
            </w:r>
          </w:p>
        </w:tc>
      </w:tr>
      <w:tr>
        <w:trPr>
          <w:trHeight w:val="20"/>
        </w:trPr>
        <w:tc>
          <w:tcPr>
            <w:tcW w:w="8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which are an integral part of these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 except per share data)</w:t>
            </w: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1,662.8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Production margin</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9"/>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expenses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non-operating deductions,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non-operating deductions, net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tax and equity in earnings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affiliates,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Minerals Technologies Inc. (MTI)</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Minerals Technologies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Minerals Technologies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computation of earnings (loss) per share: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which are an integral part of these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plan adjustments</w:t>
            </w: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including non-controlling interests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Foreign currency translation adjustments attributable to non-controlling interests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Minerals Technologies Inc.</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7"/>
          </w:tcPr>
          <w:p>
            <w:pPr>
              <w:ind w:left="2200"/>
              <w:spacing w:after="0"/>
              <w:rPr>
                <w:sz w:val="20"/>
                <w:szCs w:val="20"/>
                <w:color w:val="auto"/>
              </w:rPr>
            </w:pPr>
            <w:r>
              <w:rPr>
                <w:rFonts w:ascii="Times New Roman" w:cs="Times New Roman" w:eastAsia="Times New Roman" w:hAnsi="Times New Roman"/>
                <w:sz w:val="18"/>
                <w:szCs w:val="18"/>
                <w:color w:val="auto"/>
              </w:rPr>
              <w:t>See Notes to Consolidated Financial Statements, which are an integral part of these statements.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20" w:type="dxa"/>
            <w:vAlign w:val="bottom"/>
          </w:tcPr>
          <w:p>
            <w:pPr>
              <w:ind w:left="5540"/>
              <w:spacing w:after="0"/>
              <w:rPr>
                <w:sz w:val="20"/>
                <w:szCs w:val="20"/>
                <w:color w:val="auto"/>
              </w:rPr>
            </w:pPr>
            <w:r>
              <w:rPr>
                <w:rFonts w:ascii="Times New Roman" w:cs="Times New Roman" w:eastAsia="Times New Roman" w:hAnsi="Times New Roman"/>
                <w:sz w:val="13"/>
                <w:szCs w:val="13"/>
                <w:color w:val="auto"/>
              </w:rPr>
              <w:t>F-4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amortization and settlement loss</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bad debts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of right of use asset</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debt extinguishment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items,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plan funding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acquisition of business, net of cash acquired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issuance</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 for treasury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stock under option plan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payments for 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additions related to asset retirement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Treasury stock purchases settled after period end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97"/>
        </w:trPr>
        <w:tc>
          <w:tcPr>
            <w:tcW w:w="7320" w:type="dxa"/>
            <w:vAlign w:val="bottom"/>
            <w:tcBorders>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Excise tax charged to equity not paid</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which are an integral part of these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837"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Equity Attributable to MTI</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6"/>
                <w:szCs w:val="16"/>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Balance as of December</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1,613.2</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i w:val="1"/>
                <w:iCs w:val="1"/>
                <w:color w:val="auto"/>
              </w:rPr>
              <w:t>31, 2022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6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to non-</w:t>
      </w:r>
    </w:p>
    <w:p>
      <w:pPr>
        <w:spacing w:after="0" w:line="9" w:lineRule="exact"/>
        <w:rPr>
          <w:sz w:val="20"/>
          <w:szCs w:val="20"/>
          <w:color w:val="auto"/>
        </w:rPr>
      </w:pPr>
    </w:p>
    <w:p>
      <w:pPr>
        <w:ind w:right="520" w:firstLine="135"/>
        <w:spacing w:after="0" w:line="250" w:lineRule="auto"/>
        <w:rPr>
          <w:sz w:val="20"/>
          <w:szCs w:val="20"/>
          <w:color w:val="auto"/>
        </w:rPr>
      </w:pPr>
      <w:r>
        <w:rPr>
          <w:rFonts w:ascii="Times New Roman" w:cs="Times New Roman" w:eastAsia="Times New Roman" w:hAnsi="Times New Roman"/>
          <w:sz w:val="18"/>
          <w:szCs w:val="18"/>
          <w:color w:val="auto"/>
        </w:rPr>
        <w:t>controlling interests Issuance of shares</w:t>
      </w:r>
    </w:p>
    <w:p>
      <w:pPr>
        <w:spacing w:after="0" w:line="1" w:lineRule="exact"/>
        <w:rPr>
          <w:sz w:val="20"/>
          <w:szCs w:val="20"/>
          <w:color w:val="auto"/>
        </w:rPr>
      </w:pPr>
    </w:p>
    <w:p>
      <w:pPr>
        <w:ind w:left="140" w:right="400"/>
        <w:spacing w:after="0" w:line="250" w:lineRule="auto"/>
        <w:rPr>
          <w:sz w:val="20"/>
          <w:szCs w:val="20"/>
          <w:color w:val="auto"/>
        </w:rPr>
      </w:pPr>
      <w:r>
        <w:rPr>
          <w:rFonts w:ascii="Times New Roman" w:cs="Times New Roman" w:eastAsia="Times New Roman" w:hAnsi="Times New Roman"/>
          <w:sz w:val="18"/>
          <w:szCs w:val="18"/>
          <w:color w:val="auto"/>
        </w:rPr>
        <w:t>pursuant to employee stock compensation plans</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Purchase of common stock for treasury Stock-based compensation Conversion of RSU's for</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withholding</w:t>
      </w:r>
    </w:p>
    <w:p>
      <w:pPr>
        <w:spacing w:after="0" w:line="197"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Balance as of December</w:t>
      </w:r>
      <w:r>
        <w:rPr>
          <w:sz w:val="20"/>
          <w:szCs w:val="20"/>
          <w:color w:val="auto"/>
        </w:rPr>
        <w:tab/>
      </w:r>
      <w:r>
        <w:rPr>
          <w:rFonts w:ascii="Times New Roman" w:cs="Times New Roman" w:eastAsia="Times New Roman" w:hAnsi="Times New Roman"/>
          <w:sz w:val="24"/>
          <w:szCs w:val="24"/>
          <w:color w:val="auto"/>
          <w:vertAlign w:val="subscript"/>
        </w:rPr>
        <w:t>$</w:t>
      </w:r>
    </w:p>
    <w:p>
      <w:pPr>
        <w:spacing w:after="0"/>
        <w:rPr>
          <w:sz w:val="20"/>
          <w:szCs w:val="20"/>
          <w:color w:val="auto"/>
        </w:rPr>
      </w:pPr>
      <w:r>
        <w:rPr>
          <w:rFonts w:ascii="Times New Roman" w:cs="Times New Roman" w:eastAsia="Times New Roman" w:hAnsi="Times New Roman"/>
          <w:sz w:val="18"/>
          <w:szCs w:val="18"/>
          <w:i w:val="1"/>
          <w:iCs w:val="1"/>
          <w:color w:val="auto"/>
        </w:rPr>
        <w:t>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30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4.9</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2,360.6</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60" w:type="dxa"/>
            <w:vAlign w:val="bottom"/>
          </w:tcPr>
          <w:p>
            <w:pPr>
              <w:spacing w:after="0"/>
              <w:rPr>
                <w:sz w:val="24"/>
                <w:szCs w:val="24"/>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1,686.7</w:t>
            </w:r>
          </w:p>
        </w:tc>
      </w:tr>
      <w:tr>
        <w:trPr>
          <w:trHeight w:val="94"/>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-2211070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-1936750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-1525270</wp:posOffset>
            </wp:positionV>
            <wp:extent cx="7132320" cy="548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-702310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-290830</wp:posOffset>
            </wp:positionV>
            <wp:extent cx="713232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00" w:space="720"/>
            <w:col w:w="842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to non-</w:t>
      </w:r>
    </w:p>
    <w:p>
      <w:pPr>
        <w:spacing w:after="0" w:line="9" w:lineRule="exact"/>
        <w:rPr>
          <w:sz w:val="20"/>
          <w:szCs w:val="20"/>
          <w:color w:val="auto"/>
        </w:rPr>
      </w:pPr>
    </w:p>
    <w:p>
      <w:pPr>
        <w:ind w:right="520" w:firstLine="135"/>
        <w:spacing w:after="0" w:line="250" w:lineRule="auto"/>
        <w:rPr>
          <w:sz w:val="20"/>
          <w:szCs w:val="20"/>
          <w:color w:val="auto"/>
        </w:rPr>
      </w:pPr>
      <w:r>
        <w:rPr>
          <w:rFonts w:ascii="Times New Roman" w:cs="Times New Roman" w:eastAsia="Times New Roman" w:hAnsi="Times New Roman"/>
          <w:sz w:val="18"/>
          <w:szCs w:val="18"/>
          <w:color w:val="auto"/>
        </w:rPr>
        <w:t>controlling interests Issuance of shares</w:t>
      </w:r>
    </w:p>
    <w:p>
      <w:pPr>
        <w:spacing w:after="0" w:line="1" w:lineRule="exact"/>
        <w:rPr>
          <w:sz w:val="20"/>
          <w:szCs w:val="20"/>
          <w:color w:val="auto"/>
        </w:rPr>
      </w:pPr>
    </w:p>
    <w:p>
      <w:pPr>
        <w:ind w:left="140" w:right="400"/>
        <w:spacing w:after="0" w:line="250" w:lineRule="auto"/>
        <w:rPr>
          <w:sz w:val="20"/>
          <w:szCs w:val="20"/>
          <w:color w:val="auto"/>
        </w:rPr>
      </w:pPr>
      <w:r>
        <w:rPr>
          <w:rFonts w:ascii="Times New Roman" w:cs="Times New Roman" w:eastAsia="Times New Roman" w:hAnsi="Times New Roman"/>
          <w:sz w:val="18"/>
          <w:szCs w:val="18"/>
          <w:color w:val="auto"/>
        </w:rPr>
        <w:t>pursuant to employee stock compensation plans</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Purchase of common stock for treasury Stock-based compensation Conversion of RSU's for</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withholding</w:t>
      </w:r>
    </w:p>
    <w:p>
      <w:pPr>
        <w:spacing w:after="0" w:line="197"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Balance as of December</w:t>
      </w:r>
      <w:r>
        <w:rPr>
          <w:sz w:val="20"/>
          <w:szCs w:val="20"/>
          <w:color w:val="auto"/>
        </w:rPr>
        <w:tab/>
      </w:r>
      <w:r>
        <w:rPr>
          <w:rFonts w:ascii="Times New Roman" w:cs="Times New Roman" w:eastAsia="Times New Roman" w:hAnsi="Times New Roman"/>
          <w:sz w:val="24"/>
          <w:szCs w:val="24"/>
          <w:color w:val="auto"/>
          <w:vertAlign w:val="subscript"/>
        </w:rPr>
        <w:t>$</w:t>
      </w:r>
    </w:p>
    <w:p>
      <w:pPr>
        <w:spacing w:after="0"/>
        <w:rPr>
          <w:sz w:val="20"/>
          <w:szCs w:val="20"/>
          <w:color w:val="auto"/>
        </w:rPr>
      </w:pPr>
      <w:r>
        <w:rPr>
          <w:rFonts w:ascii="Times New Roman" w:cs="Times New Roman" w:eastAsia="Times New Roman" w:hAnsi="Times New Roman"/>
          <w:sz w:val="18"/>
          <w:szCs w:val="18"/>
          <w:i w:val="1"/>
          <w:iCs w:val="1"/>
          <w:color w:val="auto"/>
        </w:rPr>
        <w:t>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w:t>
            </w: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0.1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30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5.0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2,514.5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60" w:type="dxa"/>
            <w:vAlign w:val="bottom"/>
          </w:tcPr>
          <w:p>
            <w:pPr>
              <w:spacing w:after="0"/>
              <w:rPr>
                <w:sz w:val="24"/>
                <w:szCs w:val="24"/>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1,783.2</w:t>
            </w:r>
          </w:p>
        </w:tc>
      </w:tr>
      <w:tr>
        <w:trPr>
          <w:trHeight w:val="94"/>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-2211070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-1936750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-1525270</wp:posOffset>
            </wp:positionV>
            <wp:extent cx="7132320" cy="548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-702310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-290830</wp:posOffset>
            </wp:positionV>
            <wp:extent cx="713232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00" w:space="720"/>
            <w:col w:w="8420"/>
          </w:cols>
          <w:pgMar w:left="320" w:top="266" w:right="339" w:bottom="1440" w:gutter="0" w:footer="0" w:header="0"/>
          <w:type w:val="continuous"/>
        </w:sect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Net income (loss) Other comprehensive income (loss) Dividends declared Dividends paid to non-</w:t>
      </w:r>
    </w:p>
    <w:p>
      <w:pPr>
        <w:spacing w:after="0" w:line="3" w:lineRule="exact"/>
        <w:rPr>
          <w:sz w:val="20"/>
          <w:szCs w:val="20"/>
          <w:color w:val="auto"/>
        </w:rPr>
      </w:pPr>
    </w:p>
    <w:p>
      <w:pPr>
        <w:ind w:right="520" w:firstLine="135"/>
        <w:spacing w:after="0" w:line="250" w:lineRule="auto"/>
        <w:rPr>
          <w:sz w:val="20"/>
          <w:szCs w:val="20"/>
          <w:color w:val="auto"/>
        </w:rPr>
      </w:pPr>
      <w:r>
        <w:rPr>
          <w:rFonts w:ascii="Times New Roman" w:cs="Times New Roman" w:eastAsia="Times New Roman" w:hAnsi="Times New Roman"/>
          <w:sz w:val="18"/>
          <w:szCs w:val="18"/>
          <w:color w:val="auto"/>
        </w:rPr>
        <w:t>controlling interests Issuance of shares</w:t>
      </w:r>
    </w:p>
    <w:p>
      <w:pPr>
        <w:spacing w:after="0" w:line="1" w:lineRule="exact"/>
        <w:rPr>
          <w:sz w:val="20"/>
          <w:szCs w:val="20"/>
          <w:color w:val="auto"/>
        </w:rPr>
      </w:pPr>
    </w:p>
    <w:p>
      <w:pPr>
        <w:ind w:left="140" w:right="400"/>
        <w:spacing w:after="0" w:line="250" w:lineRule="auto"/>
        <w:rPr>
          <w:sz w:val="20"/>
          <w:szCs w:val="20"/>
          <w:color w:val="auto"/>
        </w:rPr>
      </w:pPr>
      <w:r>
        <w:rPr>
          <w:rFonts w:ascii="Times New Roman" w:cs="Times New Roman" w:eastAsia="Times New Roman" w:hAnsi="Times New Roman"/>
          <w:sz w:val="18"/>
          <w:szCs w:val="18"/>
          <w:color w:val="auto"/>
        </w:rPr>
        <w:t>pursuant to employee stock compensation plans</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Purchase of common stock for treasury Stock-based compensation Conversion of RSU's for</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withholding</w:t>
      </w:r>
    </w:p>
    <w:p>
      <w:pPr>
        <w:spacing w:after="0" w:line="197"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Balance as of December</w:t>
      </w:r>
      <w:r>
        <w:rPr>
          <w:sz w:val="20"/>
          <w:szCs w:val="20"/>
          <w:color w:val="auto"/>
        </w:rPr>
        <w:tab/>
      </w:r>
      <w:r>
        <w:rPr>
          <w:rFonts w:ascii="Times New Roman" w:cs="Times New Roman" w:eastAsia="Times New Roman" w:hAnsi="Times New Roman"/>
          <w:sz w:val="24"/>
          <w:szCs w:val="24"/>
          <w:color w:val="auto"/>
          <w:vertAlign w:val="subscript"/>
        </w:rPr>
        <w:t>$</w:t>
      </w:r>
    </w:p>
    <w:p>
      <w:pPr>
        <w:spacing w:after="0"/>
        <w:rPr>
          <w:sz w:val="20"/>
          <w:szCs w:val="20"/>
          <w:color w:val="auto"/>
        </w:rPr>
      </w:pPr>
      <w:r>
        <w:rPr>
          <w:rFonts w:ascii="Times New Roman" w:cs="Times New Roman" w:eastAsia="Times New Roman" w:hAnsi="Times New Roman"/>
          <w:sz w:val="18"/>
          <w:szCs w:val="18"/>
          <w:i w:val="1"/>
          <w:iCs w:val="1"/>
          <w:color w:val="auto"/>
        </w:rPr>
        <w:t>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64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08"/>
        </w:trPr>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30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5.0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2,481.9</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60" w:type="dxa"/>
            <w:vAlign w:val="bottom"/>
          </w:tcPr>
          <w:p>
            <w:pPr>
              <w:spacing w:after="0"/>
              <w:rPr>
                <w:sz w:val="24"/>
                <w:szCs w:val="24"/>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1,749.7</w:t>
            </w:r>
          </w:p>
        </w:tc>
      </w:tr>
      <w:tr>
        <w:trPr>
          <w:trHeight w:val="95"/>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-2348230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-1936750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-1525270</wp:posOffset>
            </wp:positionV>
            <wp:extent cx="7132320" cy="548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-702310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-290830</wp:posOffset>
            </wp:positionV>
            <wp:extent cx="713232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00" w:space="720"/>
            <w:col w:w="8420"/>
          </w:cols>
          <w:pgMar w:left="320" w:top="26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 which are an integral part of these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Minerals Technologies Inc. (together with its subsidiaries, the “Company,” “MTI,” “we,” “us,” or “our”) is a global, technology-driven specialty minerals company that develops, produces, and markets a wide range of minerals and mineral-based products and services. We utilize global mineral reserves with our core technologies and applications to deliver innovative solutions for products that are part of everyday life. We serve customers in consumer and industrial markets worldwide.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its wholly and majority-owned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employs accounting policies that are in accordance with U.S. generally accepted accounting principles and require management to make estimates and assumptions relating to the reporting of assets and liabilities and the disclosure of contingent assets and liabilities at the date of the consolidated financial statements and the reported amounts of revenue and expenses during the reported period. Significant estimates include those related to valuation of long-lived assets, goodwill, and other intangible assets, certain pension plan assumptions, valuation of deferred income tax assets, and litigation and environmental liabilities.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Short-term Investments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Short-term investments consist of financial instruments, mainly bank deposits, with original maturities beyond three months, but less than twelve months. Short-term investments amounted to $3.6 million and $4.0 million at December 31, 2025 and 2024, respectively. There were no unrealized holding gains or losses on the short-term bank investments held at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Accounts Receivable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accounts receivables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and specific allowances for bankrupt customers. The Company also analyzes the collection history and financial condition of its other customers, considering current industry conditions and determines whether an allowance needs to be established. The Company reviews its allowance for doubtful accounts monthly. Past due balances over 90 days based on payment terms are reviewed individually for collectability. Allowance for doubtful accounts was $16.7 million and $17.1 million at December 31, 2025 and 2024, respectively. Account balances are charged off against the allowance after all means of collection have been exhausted and the potential for recovery is considered remote. The Company does not have any off-balance-sheet credit exposure related to its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(ACL) is management's estimate of the current expected credit losses at the balance sheet date. Our credit exposure includes an unfunded loan commitment. For this exposure, we recognized an ACL associated with the unfunded amount, which is reported as a liability in accrued expenses and other current liabilities on our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27" w:lineRule="exact"/>
        <w:rPr>
          <w:sz w:val="20"/>
          <w:szCs w:val="20"/>
          <w:color w:val="auto"/>
        </w:rPr>
      </w:pPr>
    </w:p>
    <w:p>
      <w:pPr>
        <w:jc w:val="both"/>
        <w:ind w:firstLine="1020"/>
        <w:spacing w:after="0" w:line="258" w:lineRule="auto"/>
        <w:rPr>
          <w:sz w:val="20"/>
          <w:szCs w:val="20"/>
          <w:color w:val="auto"/>
        </w:rPr>
      </w:pPr>
      <w:r>
        <w:rPr>
          <w:rFonts w:ascii="Times New Roman" w:cs="Times New Roman" w:eastAsia="Times New Roman" w:hAnsi="Times New Roman"/>
          <w:sz w:val="18"/>
          <w:szCs w:val="18"/>
          <w:color w:val="auto"/>
        </w:rPr>
        <w:t>The Company is party to a number of lawsuits arising in the normal course of our business. The Company and certain of the Company's subsidiaries are among numerous defendants in a number of cases seeking damages for alleged exposure to asbestos-contaminated talc products sold by the Company's subsidiary BMI Oldco Inc. The Company records accruals for loss contingencies associated with legal matters, including talc-related litigation and the Chapter 11 Cases, when it is probable that a liability will be incurred and the amount of the loss can be reasonably estimated. See Note 17 to the Consolidated Financial Statements included in this report for more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carry inventories consisting of finished goods, work-in-process, raw materials, and supplies.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are presented net of applicable reserves on our Consolidated Balance Sheets. Cost is determined by using the first-in, first-out (FIFO) method. We regularly review our inventories for impairment and reserves are established when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recorded at cost. Significant improvements are capitalized, while maintenance and repair expenditures are charged to operations as incurred. The Company capitalizes interest cost as a component of construction in progress. The straight-line method of depreciation is used for substantially all the assets for financial reporting purposes, except for mining related equipment - which uses the units-of-production method. The annual rates of depreciation are 3% - 6.67% for buildings, 6.67% - 12.5% for machinery and equipment, 8% - 12.5% for furniture and fixtures, and 12.5% - 25% for computer equipment and software-related assets. The estimated useful lives of our PCC production facilities and machinery and equipment pertaining to our natural stone mining and processing plants and our chemical plants are 15 years.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depreciated over their useful lives. Useful lives are based on management’s estimates of the period that the assets can generate revenue, which does not necessarily coincide with the remaining term of a customer’s contractual obligation to purchase products made using those assets. The Company’s sales of PCC are predominantly pursuant to long-term evergreen contracts, initially ten to fifteen years in length, with paper mills at which the Company operates satellite PCC plants. The terms of many of these agreements have been extended, often in connection with an expansion of the satellite PCC plant. Failure of a PCC customer to renew an agreement or continue to purchase PCC from a Company facility could result in an impairment of assets charge or accelerated depreciation at such facility.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Depletion of mineral reserves is determined on a unit-of-extraction basis for financial reporting purposes, based upon proven and probable reserves, and generally on a percentage depletion basis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Stripping Costs Incurred During Production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Stripping costs are those costs incurred for the removal of waste materials for the purpose of accessing ore body that will be produced commercially. Stripping costs incurred during the production phase of a mine are variable costs that are included in the costs of inventory produced during the period that the stripping costs are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Impairment of Long-Lived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If events or changes in circumstances indicate that the carrying amount of an asset may not be recoverable, the Company estimates the undiscounted future cash flows (excluding interest), resulting from the use of the asset and its ultimate disposition. If the sum of the undiscounted cash flows (excluding interest) is less than the carrying value, the Company recognizes an impairment loss, measured as the amount by which the carrying value exceeds the fair value of the asset, determined principally using discounted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and related costs over the value assigned to the net tangible and identifiable intangible assets of businesses acquired. Goodwill is not amortized but instead assessed for impairment. Intangible assets with estimable useful lives are amortized on a straight-line basis over their respective estimated lives to the estimated residual values and reviewed for impairment.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performs a qualitative assessment for each of its reporting units to determine if the two-step process for impairment testing is required. If the Company determines that it is more likely than not that the fair value of a reporting unit is less than its carrying amount, the Company would then evaluate the recoverability of goodwill using a two-step impairment test approach at the reporting unit level. In the first step, the fair value for the reporting unit is compared to its book value including goodwill. In the case that the fair value of the reporting unit is less than book value, a second step is performed which compares the fair value of the reporting unit’s goodwill to the book value of the goodwill. The fair value for the goodwill is determined based on the difference between the fair values of the reporting unit and the net fair values of the identifiable assets and liabilities of such reporting unit. If the fair value of the goodwill is less than the book value, the difference is recognized as impairment.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assessment of goodwill impairment, the Company also reviews its other identifiable intangibles for impairment. Each year, the Company reviews whether events or changes in circumstances could indicate that a long-lived asset’s carrying amount may not be recoverable. Should such events occur, the value of intangibles not recoverable would be recognized as impairment.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Joint Ventures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of accounting to record the results of its investments in companies in which it has significant influence but does not control, and cost method of accounting in companies in which it cannot exercise significant control. The Company records the equity in earnings of its investments in joint ventures on a one-month lag. At December 31, 2025 and 2024, the book value of the Company’s equity method investments was $24.7 million and $23.4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Asset Retirement Obligations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for obligations associated with the retirement of long-lived assets and the associated asset retirement costs. The fair value of a liability for an asset retirement obligation is recognized in the period in which it is incurred if a reasonable estimate of fair value can be made. The associated asset retirement costs are capitalized as part of the carrying amount of the long-lived asset. The Company also provides for legal obligations to perform asset retirement activities where timing or methods of settlement are conditional on future events.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records liabilities related to land reclamation as a part of the asset retirement obligations. The Company mines land for various minerals using a surface-mining process that requires the removal of overburden. In many instances, the Company is obligated to restore the land upon completion of the mining activity. As the overburden is removed, the Company recognizes this liability for land reclamation based on the estimated fair value of the obligation. The obligation is adjusted to reflect the passage of time and changes in estimated future cash outflows.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recorded amounts of cash and cash equivalents, receivables, short-term borrowings, accounts payable, accrued interest, and variable-rate long-term debt approximate fair value because of the short maturity of those instruments or the variable nature of underlying interest rates. Short-term investments are recorded at cost, which approximates fair market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derivative financial instruments which are used to hedge certain foreign exchange risk at fair value on the balance sheet. See Note 12 for a full description of the Company’s hedging activities and related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at the point in time when the customer obtains control of the promised goods or services in an amount that reflects the consideration we expect to receive in exchange for those goods or services. The Company’s revenues are primarily derived from the sale of products. Our primary performance obligation is satisfied upon shipment or delivery to our customer based on written sales terms, which is also when control is transferred. Revenues from sales of equipment are recorded upon completion of installation and transfer of control to the customer. Revenue where our performance obligations are satisfied in phases is recognized over time using certain input measures based on the measurement of the value transferred to the customer, including milestones achieved. Revenues from services are recorded when the services are performed.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most of our PCC contracts, the price per ton is based upon the total number of tons sold to the customer during the year. Under those contracts, the price billed to the customer for shipments during the year is based on periodic estimates of the total annual volume that will be sold to the customer. Revenues are adjusted at the end of each year to reflect the actual volume sold. There were no significant revenue adjustments in the fourth quarter of 2025 and 2024, respectively. We have consignment arrangements with certain customers in our Engineered Solutions segment. Revenues for these transactions are recorded when the consigned products are consumed by the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assets and liabilities of the Company’s international subsidiaries are translated into U.S. dollars using exchange rates at the respective balance sheet date. The resulting translation adjustments are recorded in accumulated other comprehensive income (loss) in shareholders’ equity. Income statement items are generally translated at monthly average exchange rates prevailing during the period. International subsidiaries operating in highly inflationary economies translate non-monetary assets at historical rates, while net monetary assets are translated at current rates, with the resulting translation adjustments included in net income. At December 31, 2025, the Company had no international subsidiaries operating in highly inflationary economies, with the exception of its subsidiaries in Turkey.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effect on deferred tax assets and liabilities of a change in tax rates is recognized in income in the period that includes the enactment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multiple taxing jurisdictions, both within the U.S. and outside the U.S. In certain situations, a taxing authority may challenge positions that the Company has adopted in its income tax filings. The Company regularly assesses its tax position for such transactions and includes reserves for those differences in position. The reserves are utilized or reversed once the statute of limitations has expired or the matter is otherwise resolved.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application of income tax law is inherently complex. Laws and regulations in this area are voluminous and are often ambiguous. As such, we are required to make many subjective assumptions and judgments regarding our income tax exposures. Interpretations of and guidance surrounding income tax laws and regulations change over time. As such, changes in our subjective assumptions and judgments can materially affect amounts recognized in the consolidated balance sheets and statements of operations. The Company’s accounting policy is to recognize interest and penalties as part of its provision for income taxes. See Note 8 for additional details on our uncertain tax positions.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 provision for foreign withholding taxes on international subsidiaries’ unremitted earnings, which are expected to be permanently reinvested overseas.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compensation expense for share-based awards based upon the grant date fair value over the vesting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defined benefit pension plans covering the majority of its eligible employees. The benefits are generally based on years of service and an employee’s modified career earnings.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postretirement healthcare benefits for the majority of its retirees and employees in the United States. The Company measures the costs of its obligation based on its best estimate. The net periodic costs are recognized as employees render the services necessary to earn the postretirement benefits.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that relate to current operations are expensed or capitalized as appropriate. Expenditures that relate to an existing condition caused by past operations and which do not contribute to current or future revenue generation are expensed. Liabilities are recorded when it is probable the Company will be obligated to pay amounts for environmental site evaluation, remediation, or related costs, and such amounts can be reasonably estimated.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earnings (loss) per share have been computed based upon the weighted average number of common shares outstanding during the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(loss) per share have been computed based upon the weighted average number of common shares outstanding during the period, assuming the issuance of common shares for all potentially dilutive common shares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ind w:right="20" w:firstLine="65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financial information to conform to the presentation used in the consolidated financial statements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evaluated for subsequent events through the date of issuance of its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minimal impact on our consolidated financial position and results of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Income Taxes (Topic 740): Improvements to Income Tax Disclosures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that requires entities to disclose additional information about federal, state, and foreign income taxes primarily related to the income tax rate reconciliation and income taxes paid. The new standard also eliminates certain existing disclosure requirements related to uncertain tax positions and unrecognized deferred tax liabilities. The new standard is effective for interim and annual periods beginning on or after December 15, 2024. The Company adopted this guidance on January 1, 2025, on a prospective basis and updated the disclosures contained in Note 8. This guidance did not impact the Company’s Consolidated Financial Statements but resulted in the disaggregation of the Company's tax footnote disclosures.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 of Income Statement Expenses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that requires entities to disclose additional information in the notes to the financial statements about prescribed categories underlying any relevant income statement expense caption. The new standard is effective for annual reporting periods beginning after December 15, 2026, and interim periods within annual reporting periods beginning after December 15, 2027. The adoption of this standard is not expected to have a material impact on the Company’s Consolidated Financial Statements but will result in disaggregation of the Company's income statement expenses.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leases for premises, equipment, railcars and automobiles. Our leases have remaining lease terms of 1 year to 45 years, some of which may include options to extend the leases further. The Company considers these options in determining the lease term used to establish the right-of-use assets and lease liabilities. As most of our leases do not provide an implicit rate, we use our incremental borrowing rate based upon the information available at commencement date, in determining the present value of lease payments.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We recognize lease expense for these leases on a straight-line basis over the lease term. Certain lease agreements contain both lease and non-lease components. We account for lease components together with non-lease components.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was $18.8 million, $17.3 million, and $16.8 million for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82" w:right="339" w:bottom="1440" w:gutter="0" w:footer="0" w:header="0"/>
        </w:sectPr>
      </w:pPr>
    </w:p>
    <w:p>
      <w:pPr>
        <w:ind w:left="660"/>
        <w:spacing w:after="0"/>
        <w:rPr>
          <w:sz w:val="20"/>
          <w:szCs w:val="20"/>
          <w:color w:val="auto"/>
        </w:rPr>
      </w:pPr>
      <w:r>
        <w:rPr>
          <w:rFonts w:ascii="Times New Roman" w:cs="Times New Roman" w:eastAsia="Times New Roman" w:hAnsi="Times New Roman"/>
          <w:sz w:val="17"/>
          <w:szCs w:val="17"/>
          <w:color w:val="auto"/>
        </w:rPr>
        <w:t>Supplemental cash flow information and non-cash activity related to our leases are as follows: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the exchange for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December</w:t>
      </w:r>
    </w:p>
    <w:p>
      <w:pPr>
        <w:spacing w:after="0" w:line="3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ind w:left="802" w:hanging="802"/>
        <w:spacing w:after="0"/>
        <w:tabs>
          <w:tab w:leader="none" w:pos="8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w:t>
      </w:r>
    </w:p>
    <w:p>
      <w:pPr>
        <w:spacing w:after="0" w:line="220" w:lineRule="exact"/>
        <w:rPr>
          <w:rFonts w:ascii="Times New Roman" w:cs="Times New Roman" w:eastAsia="Times New Roman" w:hAnsi="Times New Roman"/>
          <w:sz w:val="18"/>
          <w:szCs w:val="18"/>
          <w:color w:val="auto"/>
        </w:rPr>
      </w:pPr>
    </w:p>
    <w:p>
      <w:pPr>
        <w:ind w:left="802" w:hanging="802"/>
        <w:spacing w:after="0"/>
        <w:tabs>
          <w:tab w:leader="none" w:pos="8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w:t>
      </w:r>
    </w:p>
    <w:p>
      <w:pPr>
        <w:spacing w:after="0" w:line="218" w:lineRule="exact"/>
        <w:rPr>
          <w:sz w:val="20"/>
          <w:szCs w:val="20"/>
          <w:color w:val="auto"/>
        </w:rPr>
      </w:pPr>
    </w:p>
    <w:p>
      <w:pPr>
        <w:sectPr>
          <w:pgSz w:w="11900" w:h="16838" w:orient="portrait"/>
          <w:cols w:equalWidth="0" w:num="2">
            <w:col w:w="9278" w:space="720"/>
            <w:col w:w="1242"/>
          </w:cols>
          <w:pgMar w:left="320" w:top="482"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weighted average discount rates related to the Company’s leases were as follows:</w:t>
            </w:r>
          </w:p>
        </w:tc>
        <w:tc>
          <w:tcPr>
            <w:tcW w:w="1020" w:type="dxa"/>
            <w:vAlign w:val="bottom"/>
          </w:tcPr>
          <w:p>
            <w:pPr>
              <w:spacing w:after="0"/>
              <w:rPr>
                <w:sz w:val="20"/>
                <w:szCs w:val="20"/>
                <w:color w:val="auto"/>
              </w:rPr>
            </w:pPr>
          </w:p>
        </w:tc>
      </w:tr>
      <w:tr>
        <w:trPr>
          <w:trHeight w:val="216"/>
        </w:trPr>
        <w:tc>
          <w:tcPr>
            <w:tcW w:w="10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 (in years)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10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operating leases discount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the Company’s outstanding lease assets and liabilities and their classification on the 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86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4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47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486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F-12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84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type w:val="continuous"/>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00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Company’s leases as of December 31, 2025, were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revenues are primarily derived from the sale of products in product lines within our Consumer &amp; Specialties and Engineered Solutions businesses.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performance obligation (the sale of products) is satisfied upon shipment or delivery to our customers based on written sales terms, which is also when control is transferred. In most of our contracts in our Specialty Additives product line, which is in our Consumer &amp; Specialties segment, the price per ton is based upon the total number of tons sold to the customer during the year. Under these contracts, the price billed to the customer for shipments during the year is based on periodic estimates of the total annual volume that will be sold to such customer. Revenues are adjusted at the end of each year to reflect the actual volume sold.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sales of equipment, primarily in our High-Temperature Technologies product line within our Engineered Solutions segment, is recorded upon completion of installation and control is transferred to the customer. Revenue from services is recorded when the services have been performed. Included within our High-Temperature Technologies product line are certain consignment arrangements with certain customers in our Engineered Solutions segment. Revenues for these transactions are recorded when the consigned products are consumed by the customer and control is transferred.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where our performance obligations are satisfied in phases is recognized over time using certain input measures based on the measurement of the value transferred to the customer, including milestones achieved.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(product line) for the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3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3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3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Consumer &amp; Specialties Segment</w:t>
            </w:r>
          </w:p>
        </w:tc>
        <w:tc>
          <w:tcPr>
            <w:tcW w:w="3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High-Temperature Technologies</w:t>
            </w:r>
          </w:p>
        </w:tc>
        <w:tc>
          <w:tcPr>
            <w:tcW w:w="3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3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Engineered Solutions Segment</w:t>
            </w:r>
          </w:p>
        </w:tc>
        <w:tc>
          <w:tcPr>
            <w:tcW w:w="3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00" w:type="dxa"/>
            <w:vAlign w:val="bottom"/>
          </w:tcPr>
          <w:p>
            <w:pPr>
              <w:spacing w:after="0"/>
              <w:rPr>
                <w:sz w:val="24"/>
                <w:szCs w:val="24"/>
                <w:color w:val="auto"/>
              </w:rPr>
            </w:pPr>
          </w:p>
        </w:tc>
        <w:tc>
          <w:tcPr>
            <w:tcW w:w="3500" w:type="dxa"/>
            <w:vAlign w:val="bottom"/>
            <w:gridSpan w:val="2"/>
          </w:tcPr>
          <w:p>
            <w:pPr>
              <w:jc w:val="right"/>
              <w:ind w:right="1750"/>
              <w:spacing w:after="0"/>
              <w:rPr>
                <w:sz w:val="20"/>
                <w:szCs w:val="20"/>
                <w:color w:val="auto"/>
              </w:rPr>
            </w:pPr>
            <w:r>
              <w:rPr>
                <w:rFonts w:ascii="Times New Roman" w:cs="Times New Roman" w:eastAsia="Times New Roman" w:hAnsi="Times New Roman"/>
                <w:sz w:val="13"/>
                <w:szCs w:val="13"/>
                <w:color w:val="auto"/>
              </w:rPr>
              <w:t>F-13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10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Concept Pet Heimtierprodukte GmbH</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29, 2022, the Company completed the acquisition of Concept Pet Heimtierprodukte GmbH (“Concept Pet”), a European supplier of pet litter products. The purchase of Concept Pet supports the expansion of our European pet care business, as well as providing additional mineral reserves. The purchase price was $28.0 million and the acquisition was financed through cash on hand. The fair value of the total consideration transferred, net of cash acquired, was $22.4 million. In the second quarter of 2023, an additional $1.8 million of hold back consideration was paid. In the second quarter of 2024, an additional $4.0 million was paid representing the final holdback consideration. The results of Concept Pet are included within our Household &amp; Personal Care product line in our Consumer &amp; Specialties segment. The acquisition has been accounted for using the acquisition method of accounting, which requires, among other things, that we recognize the assets acquired and liabilities assumed at their respective fair values as of the acquisition date. The Company recorded goodwill of $9.3 million and intangible assets of $4.3 million relating to this acquisition.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no acquisition-related transaction and integration costs during 2025 and 2024 and recorded $0.3 million of acquisition-related costs during 2023, which are reflected within the acquisition-related expenses line of the Consolidated Statements of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 and Other Items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the Company initiated a cost savings program, primarily through workforce reductions and recorded a charge of $5.5 million for severance and other related costs associated with this program. Additionally, the Company recorded $9.5 million of restructuring and other items for the write-down of assets and other charges relating to the consolidation and shutdown of facilities.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2023, the Company recorded a $71.7 million non-cash impairment of long-lived assets charge related to its subsidiaries BMI Oldco Inc. (f/k/a Barretts Minerals Inc.) ("Oldco") and Barretts Ventures Texas LLC ("BVT") within the Consumer &amp; Specialties segment. This impairment was triggered by increased claims and continued increases in legal costs, which led to the voluntary filing for relief under Chapter 11 of the U.S. Bankruptcy Code to address and comprehensively resolve Oldco’s liabilities associated with the talc claims. See Note 17 for further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2023, the Company initiated a restructuring and cost savings program to further streamline our cost structure as a result of organizational efficiencies gained through our 2023 resegmentation. As a result, the Company recorded a charge of $6.6 million for restructuring and other charges related to severance and other costs. In the third quarter of 2023, an incremental charge of $0.3 million was recorded relating to this program.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of restructuring charges recorded within the Consolidated Statements of Income (Loss) and the segments they relate 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8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 Write-Downs</w:t>
            </w: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&amp; Specialties</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Engineered Solutions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 write-down charges</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Severance and other employee costs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&amp; Specialties</w:t>
            </w: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Engineered Solutions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severance and other employee costs</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restructuring and other items</w:t>
            </w: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$4.9 million and $2.4 million, respectively, included within other current liabilities within our Consolidated Balance Sheets for cash expenditures needed to satisfy remaining obligations under these reorganization initiatives. The Company expects to pay these remaining restructuring obligations within the next twelve months.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is a reconciliation of our restructuring liability balance as of December 31, 2025 and 2024:</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6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provisions</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and other</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liability,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2015 Stock Award and Incentive Plan provides for grants of incentive and non-qualified stock options, restricted stock, restricted stock units, stock appreciation rights, stock awards, and performance unit awards (the 2015 Stock Award and Incentive Plan, as amended, referred to herein as the “Plan” and together with its predecessor for awards granted prior to May 2015, the 2001 Stock Award and Incentive Plan, as amended and restated, the “Plans”). At the Company's 2024 Annual Meeting of Stockholders, the Company's stockholders ratified the adoption of an amendment and restatement of the Plan, which increased the number of shares available for issuance pursuant to the Plan by 889,000 shares and removed certain individual award limits in light of recent tax law changes. The Plans are administered by the Compensation Committee of the Board of Directors. Stock options granted under the Plans generally have a ten year term. The exercise price for stock options are at prices at or above the fair market value of the common stock on the date of the grant, and each award of stock options will vest ratably over a specified period, generally three years.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recognized in the consolidated financial statements for stock options based on the grant date fair value.</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income for the years ended 2025, 2024, and 2023 include $5.2 million, $5.4 million, and $5.2 million pre-tax compensation costs, respectively, related to stock option expense as a component of marketing and administrative expenses. All stock option expense is recognized in the Consolidated Statements of Income (Loss). The related tax benefit included in the Consolidated Statements of Income (Loss) on the non-qualified stock options was $1.4 million, for all periods ended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options granted is estimated on the date of grant using the Black-Scholes valuation model. Compensation expense is recognized only for those options expected to vest, with forfeitures estimated at the date of grant based on the Company’s historical experience and future expectations. The forfeiture rate assumption used for the periods ended December 31, 2025, 2024, and 2023 was 7.43%, 7.69%, and 7.91%,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for stock options granted during the years ended December 31, 2025, 2024, and 2023 was $29.74, $25.33, and $25.11, respectively. The weighted average grant date fair value for stock options vested during 2025, 2024, and 2023 was $24.90, $23.75, and $21.56, respectively. The total intrinsic value of stock options exercised during the years ended December 31, 2025, 2024, and 2023 was $1.1 million, $7.0 million, and $1.0 million,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for stock awards was estimated at the date of grant using the Black-Scholes option valuation model with the following weighted average assumptions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10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expected term of the options represents the estimated period of time until exercised and is based on historical experience of similar awards, based upon contractual terms, vesting schedules, and expectations of future employee behavior. The expected stock-price volatility is based upon the historical and implied volatility of the Company’s stock. The interest rate is based upon the implied yield on U.S. Treasury bills with an equivalent remaining term. Estimated dividend yield is based upon historical dividends paid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0"/>
        </w:trPr>
        <w:tc>
          <w:tcPr>
            <w:tcW w:w="4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r>
      <w:tr>
        <w:trPr>
          <w:trHeight w:val="238"/>
        </w:trPr>
        <w:tc>
          <w:tcPr>
            <w:tcW w:w="434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Contractual Life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(Millions)</w:t>
            </w: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December 31, 2024</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1,425,636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49"/>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Awards outstanding at December 31, 2025</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1,516,385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67.16</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197"/>
        </w:trPr>
        <w:tc>
          <w:tcPr>
            <w:tcW w:w="43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Awards exercisable at December 31, 2025</w:t>
            </w: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1,149,623</w:t>
            </w:r>
          </w:p>
        </w:tc>
        <w:tc>
          <w:tcPr>
            <w:tcW w:w="200" w:type="dxa"/>
            <w:vAlign w:val="bottom"/>
            <w:tcBorders>
              <w:bottom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65.88</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bottom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above is calculated before applicable income taxes, based on the Company’s closing stock price of $60.95 as of the last business day of the period ended December 31, 2025, had all options been exercised on that date. The weighted average intrinsic value of the options exercised during 2025, 2024, and 2023 was $19.74, $24.85, and $7.78 per share, respectively. As of December 31, 2025, total unrecognized stock-based compensation expense related to non-vested stock options was approximately $4.7 million, which is expected to be recognized over a weighted average period of approximately three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 issues new shares of common stock upon the exercise of stock options.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8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Non-vested stock option activity for the year ended December 31, 2025, is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0"/>
        </w:trPr>
        <w:tc>
          <w:tcPr>
            <w:tcW w:w="8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8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82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 Per Share</w:t>
            </w: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awards outstanding at December 31, 2024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67.46</w:t>
            </w: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70.06</w:t>
            </w:r>
          </w:p>
        </w:tc>
      </w:tr>
      <w:tr>
        <w:trPr>
          <w:trHeight w:val="210"/>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awards outstanding at December 31, 2025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366,762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71.16</w:t>
            </w:r>
          </w:p>
        </w:tc>
      </w:tr>
      <w:tr>
        <w:trPr>
          <w:trHeight w:val="20"/>
        </w:trPr>
        <w:tc>
          <w:tcPr>
            <w:tcW w:w="8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Restricted Stock Units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granted key employees units consisting of rights to receive shares of the Company’s common stock pursuant to the Plans. The rights will be deferred for a specified number of years of service, subject to restrictions on transfer and other conditions. Compensation expense for these shares is recognized over the vesting period. The Company granted units consisting of rights to receive 93,749 shares, 103,169 shares, and 102,843 shares during the periods ended December 31, 2025, 2024, and 2023, respectively. The fair value was determined based on the market value of unrestricted shares. As of December 31, 2025, there was unrecognized stock-based compensation related to deferred restricted stock units of $7.3 million, which will be recognized over approximately the next three years. The compensation expense amortized with respect to all units was approximately $6.6 million, $6.5 million, and $6.0 million for the periods ended December 31, 2025, 2024, and 2023, respectively. In addition, the Company recorded reversals of $3.1 million, $2.8 million, and $2.7 million for periods ended December 31, 2025, 2024, and 2023, respectively, related mostly to the conversion of units for tax withholding purposes. Such costs and reversals are included in marketing and administrative expenses.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deferred restricted stock unit activity for the Plan:</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w:t>
            </w:r>
          </w:p>
        </w:tc>
        <w:tc>
          <w:tcPr>
            <w:tcW w:w="2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189,500</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Earnings (Loss) Per Share (EPS)</w:t>
            </w: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 except per share data)</w:t>
            </w: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Minerals Technologies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167.1</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stock options and deferred restricted stock units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adjusted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attributable to MTI</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attributable to MTI</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 the options outstanding of 1,516,385, 1,425,636, and 1,514,462 for the years ended December 31, 2025, 2024, and 2023, respectively, options to purchase 1,188,948 shares, 194,412 shares, and 917,177 shares of common stock for the years ended December 31, 2025, 2024, and 2023, respectively, were not included in the computation of diluted earnings (loss) per share because they were anti-dilutive, as the exercise prices of the options were greater than the average market price of the common shares. Due to our net loss for the year ended December 31, 2025, all options to purchase shares were anti-dilutive and were excluded.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(loss) from operations before provision for taxes by domestic and foreign source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1"/>
        </w:trPr>
        <w:tc>
          <w:tcPr>
            <w:tcW w:w="7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from operations before income taxes and income from affiliates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and joint ventures: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00"/>
              <w:spacing w:after="0"/>
              <w:rPr>
                <w:sz w:val="20"/>
                <w:szCs w:val="20"/>
                <w:color w:val="auto"/>
              </w:rPr>
            </w:pPr>
            <w:r>
              <w:rPr>
                <w:rFonts w:ascii="Times New Roman" w:cs="Times New Roman" w:eastAsia="Times New Roman" w:hAnsi="Times New Roman"/>
                <w:sz w:val="13"/>
                <w:szCs w:val="13"/>
                <w:color w:val="auto"/>
              </w:rPr>
              <w:t>F-17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(see Note 1), the provision (benefit) for taxes on income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0"/>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Federal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State and local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9"/>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provision (benefit) for taxes on income prior to adoption of ASU 2023-09 consists of the following:</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Taxes currently payable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Domestic tax provision (benefit)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currently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0"/>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tax provision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 (benefit) for taxes on income shown in the previous table is classified based on the location of the taxing authority, regardless of the location in which the taxable income is generated.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ind w:right="180" w:firstLine="585"/>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(see Note 1), the reconciliation of taxes at the U.S. federal statutory tax rate to our provision for taxes for the year ended December 31, 2025,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3"/>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(in millions)</w:t>
            </w: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Effective Tax Rate %</w:t>
            </w: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tax and equity in earnings</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2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Brazil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Effects of rates different than statutory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7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Global Intangible Low-Tax Income (GILTI)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Derived Intangible Income (FDII)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2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Debtor-In-Possession Credit Agreement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7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Depletion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162(m)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Previously taxed income - Foreign exchange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Consolidated effective tax rate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majority of the state and local taxes are comprised of the following states: MN, CA, NY, SC, IL, IN, TN, and PA.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major elements contributing to the difference between the U.S. federal statutory tax rate and the consolidated effective tax rate for the years ended December 31, 2024 and 2023 in accordance with the guidance prior to adoption of ASU 2023-09 are as follows:</w:t>
      </w:r>
    </w:p>
    <w:p>
      <w:pPr>
        <w:spacing w:after="0" w:line="15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Difference between tax provided on foreign earnings and the U.S. statutory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GILTI</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FDII</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Bankruptcy Funding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uncertain tax positions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officer's non-deductible compensation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Withholding tax</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effective tax rate</w:t>
            </w:r>
          </w:p>
        </w:tc>
        <w:tc>
          <w:tcPr>
            <w:tcW w:w="7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26.6%</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8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58"/>
        </w:trPr>
        <w:tc>
          <w:tcPr>
            <w:tcW w:w="9160" w:type="dxa"/>
            <w:vAlign w:val="bottom"/>
            <w:gridSpan w:val="2"/>
          </w:tcPr>
          <w:p>
            <w:pPr>
              <w:ind w:left="5500"/>
              <w:spacing w:after="0"/>
              <w:rPr>
                <w:sz w:val="20"/>
                <w:szCs w:val="20"/>
                <w:color w:val="auto"/>
              </w:rPr>
            </w:pPr>
            <w:r>
              <w:rPr>
                <w:rFonts w:ascii="Times New Roman" w:cs="Times New Roman" w:eastAsia="Times New Roman" w:hAnsi="Times New Roman"/>
                <w:sz w:val="13"/>
                <w:szCs w:val="13"/>
                <w:color w:val="auto"/>
              </w:rPr>
              <w:t>F-19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8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48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attributable to:</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attributable to:</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principally due to differences in depreciation</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costs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Net deferred tax assets and net deferred tax liabilities are classified as follows: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long-term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liability, long-term</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 long-term</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$17.6 million of deferred tax assets arising from tax loss carry forwards which will be realized through future operations. Carry forwards of approximately $12.2 million expire over the next 20 years, and $5.4 million can be utilized over an indefinite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31, 2025, the Company had $1.8 million of total unrecognized tax benefits. Included in this amount were a total of $1.2 million of unrecognized income tax benefits that, if recognized, would affect the Company’s effective tax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unrecognized tax benefits: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positions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audit settlements and statute expirations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recognize interest and penalties accrued, relating to unrecognized income tax benefits as part of its provision for income taxes. The Company had a total accrued balance of $0.4 million for interest and penalties for the year ended December 31, 2025. The Company believes that its accrued liabilities are sufficient to cover its U.S. and foreign tax contingencies.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multiple taxing jurisdictions, both within and outside the U.S. In certain situations, a taxing authority may challenge positions that the Company has adopted in its income tax filings. The Company, with a few exceptions (none of which are material), is no longer subject to U.S. federal, state, local, and international income tax examinations by tax authorities for years prior to 2017.</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(see Note 1), cash paid for income taxes, net of refunds during the year ended December 31,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 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U.S. - State</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Turkey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09"/>
        </w:trPr>
        <w:tc>
          <w:tcPr>
            <w:tcW w:w="10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income taxes paid,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r>
      <w:tr>
        <w:trPr>
          <w:trHeight w:val="20"/>
        </w:trPr>
        <w:tc>
          <w:tcPr>
            <w:tcW w:w="10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approximately $516.3 million of foreign subsidiaries’ undistributed earnings as of December 31, 2025. We intend to continue to permanently reinvest these earnings overseas for the foreseeable future and while U.S. federal tax expense has been recognized as a result of recent U.S. tax code changes, no deferred tax liabilities with respect to foreign withholding taxes or state taxes have been recognized.</w:t>
      </w:r>
    </w:p>
    <w:p>
      <w:pPr>
        <w:spacing w:after="0" w:line="176" w:lineRule="exact"/>
        <w:rPr>
          <w:sz w:val="20"/>
          <w:szCs w:val="20"/>
          <w:color w:val="auto"/>
        </w:rPr>
      </w:pPr>
    </w:p>
    <w:p>
      <w:pPr>
        <w:jc w:val="both"/>
        <w:ind w:firstLine="905"/>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It contains a broad range of tax reform provisions affecting businesses. The Company evaluated the full effects of the legislation on our annual effective tax rate and cash tax position, and it did not have a material impact on its Consolidated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implementation of the Pillar Two Model Rules in the first quarter of 2024. The Company continues to assess the effect of the Pillar Two Model Rules in all jurisdictions and does not expect that Pillar Two will have a material impact on its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Inventories</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inventories by major category:</w:t>
            </w: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vMerge w:val="continue"/>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Packaging and supplies</w:t>
            </w:r>
          </w:p>
        </w:tc>
        <w:tc>
          <w:tcPr>
            <w:tcW w:w="3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3560" w:type="dxa"/>
            <w:vAlign w:val="bottom"/>
            <w:gridSpan w:val="2"/>
          </w:tcPr>
          <w:p>
            <w:pPr>
              <w:jc w:val="right"/>
              <w:ind w:right="3030"/>
              <w:spacing w:after="0"/>
              <w:rPr>
                <w:sz w:val="20"/>
                <w:szCs w:val="20"/>
                <w:color w:val="auto"/>
              </w:rPr>
            </w:pPr>
            <w:r>
              <w:rPr>
                <w:rFonts w:ascii="Times New Roman" w:cs="Times New Roman" w:eastAsia="Times New Roman" w:hAnsi="Times New Roman"/>
                <w:sz w:val="13"/>
                <w:szCs w:val="13"/>
                <w:color w:val="auto"/>
              </w:rPr>
              <w:t>F-21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3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categories of property, plant, and equipment and accumulated depreciation and depletion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rights and reserves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 and 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2,236.6</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depletion</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a net gain of $5.6 million and $12.3 million, respectively for the sale of refractories manufacturing assets in China. In addition, for the year ended December 31, 2025, the Company recorded a net gain of $4.3 million related to the sale of our chromite mine in South Africa.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$4.7 million charge in restructuring and other items for the write-down of assets relating to the consolidation and shutdown of facilities.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depletion expense for the years ended December 31, 2025, 2024, and 2023 was $75.2 million, $79.5 million, and $79.4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Goodwill and Other Intangible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and other intangible assets with indefinite lives are not amortized, but instead are assessed for impairment, at least annually. The carrying amount of goodwill was $915.9 million and $913.8 million as of December 31, 2025 and December 31, 2024, respectively. The net change in goodwill since December 31, 2025 was attributable to the effects of foreign exchange.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 of goodwill by reporting unit and the activity occurring in the past two fiscal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Consumer &amp;</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Engineered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3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Specialties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3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goodwill relating to:</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Changes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88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913.8</w:t>
            </w:r>
          </w:p>
        </w:tc>
      </w:tr>
      <w:tr>
        <w:trPr>
          <w:trHeight w:val="216"/>
        </w:trPr>
        <w:tc>
          <w:tcPr>
            <w:tcW w:w="3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goodwill relating to:</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Changes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8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915.9</w:t>
            </w:r>
          </w:p>
        </w:tc>
      </w:tr>
      <w:tr>
        <w:trPr>
          <w:trHeight w:val="20"/>
        </w:trPr>
        <w:tc>
          <w:tcPr>
            <w:tcW w:w="3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3580" w:type="dxa"/>
            <w:vAlign w:val="bottom"/>
            <w:gridSpan w:val="2"/>
          </w:tcPr>
          <w:p>
            <w:pPr>
              <w:jc w:val="right"/>
              <w:ind w:right="1610"/>
              <w:spacing w:after="0"/>
              <w:rPr>
                <w:sz w:val="20"/>
                <w:szCs w:val="20"/>
                <w:color w:val="auto"/>
              </w:rPr>
            </w:pPr>
            <w:r>
              <w:rPr>
                <w:rFonts w:ascii="Times New Roman" w:cs="Times New Roman" w:eastAsia="Times New Roman" w:hAnsi="Times New Roman"/>
                <w:sz w:val="13"/>
                <w:szCs w:val="13"/>
                <w:color w:val="auto"/>
              </w:rPr>
              <w:t>F-22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48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gridSpan w:val="11"/>
          </w:tcPr>
          <w:p>
            <w:pPr>
              <w:jc w:val="right"/>
              <w:ind w:right="710"/>
              <w:spacing w:after="0"/>
              <w:rPr>
                <w:sz w:val="20"/>
                <w:szCs w:val="20"/>
                <w:color w:val="auto"/>
              </w:rPr>
            </w:pPr>
            <w:r>
              <w:rPr>
                <w:rFonts w:ascii="Times New Roman" w:cs="Times New Roman" w:eastAsia="Times New Roman" w:hAnsi="Times New Roman"/>
                <w:sz w:val="18"/>
                <w:szCs w:val="18"/>
                <w:color w:val="auto"/>
              </w:rPr>
              <w:t>Acquired intangible assets subject to amortization as of December 31, 2025 and December 31, 2024 were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 average amortization period of the acquired intangible assets subject to amortization is approximately 29 years. Amortization expense was approximately $11.4 million, $12.1 million, and $12.7 million for the years ended December 31, 2025, 2024, and 2023, respectively and is recorded within the marketing and administrative expenses line within the Consolidated Statements of Income (Loss). The estimated amortization expense is as follows: 2026 - $11.5 million; 2027 - $11.5 million; 2028 - $11.5 million; 2029 - $11.5 million; 2030 - $11.5 million; and $151.2 million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Financial Instruments and Hedging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multinational corporation with operations throughout the world, the Company is exposed to certain market risks. The Company uses a variety of practices to manage these market risks, including, when considered appropriate, derivative financial instruments. The Company’s objective is to offset gains and losses resulting from interest rates and foreign currency exposures with gains and losses on the derivative contracts used to hedge them. The Company uses derivative financial instruments only for risk management and not for trading or speculative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using derivative financial instruments to hedge exposures to changes in interest rates and foreign currencies, the Company exposes itself to credit risk and market risk. Credit risk is the risk that the counterparty will fail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it does not face any credit risk. The Company minimizes the credit risk in derivative instruments by entering into transactions with major financial institutions.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risk is the adverse effect on the value of a financial instrument that results from a change in interest rates, currency exchange rates, or commodity prices. The market risk associated with interest rate and forward exchange contracts is managed by establishing and monitoring parameters that limit the types and degree of market risk that may be undertaken.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Company records the effective portion of the gain or loss in accumulated other comprehensive income (loss) as a separate component of shareholders’ equity. The Company subsequently reclassifies the effective portion of gain or loss into earnings in the period during which the hedged transaction is recognized in earnings.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swaps to limit exposure to market fluctuations on floating-rate debt. In the second quarter of 2023, the Company entered into a floating to fixed interest rate swap for a notional amount of $150 million. The fair value of this swap is a liability of $0.2 million at December 31, 2025, and is recorded in other current liabilities on the Consolidated Balance Sheets. This interest rate swap is designated as a cash flow hedge. As a result, the gains and losses associated with this interest rate swap are recorded in accumulated other comprehensive income (loss).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exposed to potential gains or losses from foreign currency fluctuations affecting net investments and earnings denominated in foreign currencies. The Company is particularly sensitive to currency exchange rate fluctuations for the following currencies: British pound sterling (GBP), Chinese renminbi (CNY), Euro, Malaysian ringgit (MYR), Polish zloty (PLN), South African Rand (ZAR), Thai baht (THB), and Turkish lira (TRY). When considered appropriate, the Company enters into foreign exchange derivative contracts to mitigate the risk of fluctuations on these exposures. The Company does not designate these contracts for hedge accounting treatment and the changes in fair value of these contracts are recorded in earnings. The Company recorded gains (losses) of $0.4 million, $(0.1) million, and $(0.1) million in other non-operating income (deductions), net within the Consolidated Statements of Income (Loss) for the years ended 2025, 2024, and 2023, respectively. There were no open contracts at December 31, 2025 and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an exchange price that would be received for an asset or paid to transfer a liability (exit price) in an orderly transaction between market participants at the measurement date. The Company utilizes market data or assumptions that market participants would use in pricing the asset or liability. The Company follows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about which little or no market data exists, therefore requiring an entity to develop its own assumptions.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measured at fair value are based on one or more of three valuation techniques. The three valuation techniques are as follows:</w:t>
      </w:r>
    </w:p>
    <w:p>
      <w:pPr>
        <w:spacing w:after="0" w:line="239" w:lineRule="exact"/>
        <w:rPr>
          <w:sz w:val="20"/>
          <w:szCs w:val="20"/>
          <w:color w:val="auto"/>
        </w:rPr>
      </w:pPr>
    </w:p>
    <w:p>
      <w:pPr>
        <w:ind w:left="980" w:right="20"/>
        <w:spacing w:after="0" w:line="289" w:lineRule="auto"/>
        <w:rPr>
          <w:sz w:val="20"/>
          <w:szCs w:val="20"/>
          <w:color w:val="auto"/>
        </w:rPr>
      </w:pPr>
      <w:r>
        <w:rPr>
          <w:rFonts w:ascii="Times New Roman" w:cs="Times New Roman" w:eastAsia="Times New Roman" w:hAnsi="Times New Roman"/>
          <w:sz w:val="18"/>
          <w:szCs w:val="18"/>
          <w:color w:val="auto"/>
        </w:rPr>
        <w:t>Market approach – prices and other relevant information generated by market transactions involving identical or comparable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-248285</wp:posOffset>
            </wp:positionV>
            <wp:extent cx="5080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50800" cy="5143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Cost approach – amount that would be required to replace the service capacity of an asset or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-63500</wp:posOffset>
            </wp:positionV>
            <wp:extent cx="5080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50800" cy="51435"/>
                    </a:xfrm>
                    <a:prstGeom prst="rect">
                      <a:avLst/>
                    </a:prstGeom>
                    <a:noFill/>
                  </pic:spPr>
                </pic:pic>
              </a:graphicData>
            </a:graphic>
          </wp:anchor>
        </w:drawing>
      </w:r>
    </w:p>
    <w:p>
      <w:pPr>
        <w:spacing w:after="0" w:line="16" w:lineRule="exact"/>
        <w:rPr>
          <w:sz w:val="20"/>
          <w:szCs w:val="20"/>
          <w:color w:val="auto"/>
        </w:rPr>
      </w:pPr>
    </w:p>
    <w:p>
      <w:pPr>
        <w:ind w:left="980"/>
        <w:spacing w:after="0" w:line="313" w:lineRule="auto"/>
        <w:rPr>
          <w:sz w:val="20"/>
          <w:szCs w:val="20"/>
          <w:color w:val="auto"/>
        </w:rPr>
      </w:pPr>
      <w:r>
        <w:rPr>
          <w:rFonts w:ascii="Times New Roman" w:cs="Times New Roman" w:eastAsia="Times New Roman" w:hAnsi="Times New Roman"/>
          <w:sz w:val="18"/>
          <w:szCs w:val="18"/>
          <w:color w:val="auto"/>
        </w:rPr>
        <w:t>Income approach – techniques to convert future amounts to a single present amount based on market expectations, including present value techniques, option-pricing, and other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-274955</wp:posOffset>
            </wp:positionV>
            <wp:extent cx="5080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applies the income approach for foreign exchange derivatives for recurring fair value measurements and attempts to utilize valuation techniques that maximize the use of observable inputs and minimize the use of unobservable inputs.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accounted for at fair value on a recurring basis at the end of each of the past two years.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Asset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pension plan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2140" w:type="dxa"/>
            <w:vAlign w:val="bottom"/>
            <w:gridSpan w:val="3"/>
          </w:tcPr>
          <w:p>
            <w:pPr>
              <w:jc w:val="right"/>
              <w:ind w:right="290"/>
              <w:spacing w:after="0"/>
              <w:rPr>
                <w:sz w:val="20"/>
                <w:szCs w:val="20"/>
                <w:color w:val="auto"/>
              </w:rPr>
            </w:pPr>
            <w:r>
              <w:rPr>
                <w:rFonts w:ascii="Times New Roman" w:cs="Times New Roman" w:eastAsia="Times New Roman" w:hAnsi="Times New Roman"/>
                <w:sz w:val="13"/>
                <w:szCs w:val="13"/>
                <w:color w:val="auto"/>
              </w:rPr>
              <w:t>F-24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Asset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5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5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30"/>
        </w:trPr>
        <w:tc>
          <w:tcPr>
            <w:tcW w:w="5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pension plan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foreign exchange contracts is determined based on inputs that are readily available in public markets or can be derived from information available in publicly quoted markets and are categorized as Level 2. Deferred compensation and supplementary pension plan assets related to the Company’s 2014 acquisition of AMCOL International Corporation are valued using quoted prices for similar assets in active markets.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financial assets or liabilities measured at fair value on a recurring basis categorized as Level 3, except for pension assets discussed in Note 16, and there were no transfers in or out of Level 3 during the year ended December 31, 2025 and 2024. There were also no changes to the Company’s valuation techniques used to measure asset and liability fair values on a recurring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Financial Instruments and Concentrations of Credit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 short-term investments, accounts receivable and payable</w:t>
      </w:r>
      <w:r>
        <w:rPr>
          <w:rFonts w:ascii="Times New Roman" w:cs="Times New Roman" w:eastAsia="Times New Roman" w:hAnsi="Times New Roman"/>
          <w:sz w:val="18"/>
          <w:szCs w:val="18"/>
          <w:color w:val="auto"/>
        </w:rPr>
        <w:t>: The carrying amounts approximate fair value because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maturities of these instruments.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Short-term debt and other liabilities</w:t>
      </w:r>
      <w:r>
        <w:rPr>
          <w:rFonts w:ascii="Times New Roman" w:cs="Times New Roman" w:eastAsia="Times New Roman" w:hAnsi="Times New Roman"/>
          <w:sz w:val="18"/>
          <w:szCs w:val="18"/>
          <w:color w:val="auto"/>
        </w:rPr>
        <w:t>: The carrying amounts of short-term debt and other liabilities approximate fair value because of the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these instruments.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fair value of the long-term debt of the Company is estimated based on the quoted market prices for that debt or similar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approximates the carrying amount.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Forward exchange contracts</w:t>
      </w:r>
      <w:r>
        <w:rPr>
          <w:rFonts w:ascii="Times New Roman" w:cs="Times New Roman" w:eastAsia="Times New Roman" w:hAnsi="Times New Roman"/>
          <w:sz w:val="18"/>
          <w:szCs w:val="18"/>
          <w:color w:val="auto"/>
        </w:rPr>
        <w:t>: The fair value of forward exchange contracts (used for hedging purposes) is based on information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markets. If appropriate, the Company would enter into forward exchange contracts to mitigate the impact of foreign exchange rate movements on the Company’s operating results. It does not engage in speculation. Such foreign exchange contracts would offset losses and gains on the assets, liabilities, and transactions being hedged.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The Company provides credit to customers in the ordinary course of business. The Company’s customer base is diverse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located throughout the world. Credit risk results from the possibility that a loss may occur from the failure of another party to perform according to the terms of the contracts. The Company regularly monitors its credit risk exposures and takes steps to mitigate the likelihood of these exposures resulting in an actual loss. In the second quarter of 2024, the Company entered into a Debtor-in-Possession Credit Agreement with Oldco (the "DIP Credit Agreement") and recorded a provision for credit losses of $30.0 million for the maximum principal amount under such Credit Agreement. In the second quarter of 2025, the Company agreed to amend the DIP Credit Agreement to increase the maximum principal amount under such Credit agreement by $30.0 million. See Note 17 for further information. The Company’s extension of credit is based on an evaluation of the customer’s financial condition and collateral is generally not required.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bad debt expense for the years ended December 31, 2025, 2024, and 2023 was $4.1 million, $1.4 million, and $2.8 million,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Long-Term Debt and Commitments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long-term debt: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Agreement: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2031, net of unamortized discount and deferred financing costs of $6.5 million and $7.3 million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5.00% due 2028, net of unamortized deferred financing costs of $2.3 million and $3.2 million</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26, 2024, the Company, entered into a Refinancing Facility Agreement and Incremental Facility Amendment (the “Amendment”) to amend the Company's previous credit agreement (the "Previous Credit Agreement;" the previous credit agreement, as amended by the Amendment, being the "Amended Credit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Amendment provides for, among other things, a new senior secured revolving credit facility with aggregate commitments of $400 million (the “Revolving Facility”), a portion of which may be used for the issuance of letters of credit and swingline loans, and a new senior secured term loan facility with aggregate commitments of $575 million (the “Term Loan Facility” and, together with the Revolving Facility, the "Senior Secured Credit Facilities"). The Revolving Facility and the Term Loan Facility replace the facilities under the Previous Credit Agreement, which provided for, among other things, a $550 million senior secured term loan facility and a $300 million senior secured revolving credit facility. The maturity date for loans and commitments under the Revolving Facility is November 26, 2029, and the maturity date for loans under the Term Loan Facility is November 26, 2031; provided that the maturity dates of the Revolving Facility and the Term Loan Facility will be adjusted to the date that is 91 days prior to the stated maturity date of the Company’s 5.0% Senior Notes due 2028 (the “Notes”) unless, prior to the date that is 91 days prior to the stated maturity date of the Notes, all amounts in excess of $50 million of the Notes have been either (a) refinanced with indebtedness permitted under the Amended Credit Agreement maturing later than 90 days after the scheduled maturity date of the Revolving Facility or of the Term Loan Facility, as applicable, or (b) repaid, discharged or repaid (other than with the proceeds of any indebtedness maturing earlier than 91 days after the scheduled maturity date of the Revolving Facility or of the Term Loan Facility, as applicable). Loans under the Term Loan Facility amortize at a rate equal to 1.00% per annum, payable in equal quarterly installments, and were issued with original issue discount at 99.875% of par.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Loans under the Revolving Facility will bear interest at a rate equal to (a) for loans denominated in U.S. dollars, at the election of the Company, Term SOFR plus an applicable margin equal to 1.375% per annum or a base rate plus an applicable margin equal to 0.375% per annum, (b) for loans denominated in Euros, adjusted EURIBOR plus an applicable margin equal to 1.375% per annum and (c) for loans denominated in Pounds Sterling, SONIA plus an applicable margin equal to 1.375% per annum, subject in each case to (i) an increase of 37.5 basis points in the event that, and for so long as, the Net Leverage Ratio (as defined in the Amended Credit Agreement) is greater than or equal to 3.00 to 1.00 as of the last day of the preceding fiscal quarter, (ii) an increase of 12.5 basis points in the event that, and for so long as, the Net Leverage Ratio is less than 3.00 to 1.00 and greater than or equal to 2.00 to 1.00 as of the last day of the preceding fiscal quarter, and (iii) a decrease of 12.5 basis points in the event that, and for so long as, the Net Leverage Ratio is less than 1.00 to 1.00 as of the last day of the preceding fiscal quarter. Loans under the Term Loan Facility will bear interest at a rate equal to, at the election of the Company, Term SOFR plus an applicable margin equal to 2.00% per annum or a base rate plus an applicable margin equal to 1.00% per annum. The Company will pay certain fees under the Amended Credit Agreement, including (a) a commitment fee of 0.175% per annum on the undrawn portion of the Revolving Facility (subject to a step-ups to 0.300% and 0.250% and a step-down to 0.150% at the same levels described above), (b) a fronting fee of 0.125% per annum on the average daily undrawn amount of, plus unreimbursed amounts in respect of disbursements under, letters of credit issued under the Revolving Facility, and (c) customary annual administration fees. The obligations of the Company under the Senior Secured Credit Facilities are unconditionally guaranteed jointly and severally by, subject to certain exceptions, all material domestic subsidiaries of the Company (the “Guarantors”) and secured, subject to certain exceptions, by a security interest in substantially all of the tangible and intangible assets of the Company and the Guarantors.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recorded $1.8 million in non-cash debt extinguishment expenses related to the refinancing of our credit facilities, which represents the difference between the redemption payment and the carrying value of the debt at the refinancing date. All lenders under the previous facility were repaid in full.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were no loans and $9.2 million in letters of credit outstanding under the Revolving Facility.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30, 2020, the Company issued $400 million aggregate principal amount of “Notes.” The Notes were issued pursuant to an indenture, dated as of June 30, 2020, between the Company and The Bank of New York Mellon Trust Company, N.A., as trustee (the “Indenture”). The Notes bear an interest rate of 5.0% per annum payable semi-annually on January 1 and July 1 of each year, beginning on January 1, 2021. The Notes are unconditionally guaranteed on a senior unsecured basis by each of the Company’s existing and future wholly owned domestic restricted subsidiaries that is a borrower under or that guarantees the Company’s obligations under its Senior Secured Credit Facilities or that guarantees the Company’s or any of the Company’s wholly owned domestic subsidiaries’ long-term indebtedness in an aggregate amount in excess of $50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applicable redemption prices listed in the Indenture, plus accrued and unpaid interest, if any, to, but excluding, the applicable redemption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Credit Agreement and the Indenture both contain certain customary affirmative and negative covenants that limit or restrict the ability of the Company and its restricted subsidiaries to enter into certain transactions or take certain actions, as well as customary events of default. In addition, the Amended Credit Agreement contains a financial covenant that requires the Company to maintain a maximum Net Leverage Ratio of 4.00 to 1.00 for each four fiscal quarter period (subject to an increase to 5.00 to 1.00 for four quarters in connection with certain significant acquisitions). The Company is in compliance with all the covenants contained in the Amended Credit Agreement throughout the period covered by this report.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committed loan facility in Japan. As of December 31, 2025, there was an outstanding balance of $0.4 million on this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will be repaid in accordance with the payment schedule ending in 2026. The Company repaid $0.5 million on this loan in 2025.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Concept Pet acquisition, the Company assumed $1.9 million in long-term debt, recorded at fair value, consisting of two term loans, one that matured in 2025 and one that matures in 2027. Both loans have annual payments and carry a variable interest rate. The Company repaid $0.4 million on these loans during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had $18.4 million in uncommitted short-term bank credit lines, $0.4 million of which were in use.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$0.4 million and $5.1 million short-term borrowings as of December 31, 2025 and 2024, respectively. The weighted average interest rates on short-term borrowings outstanding were 6.6% and 6.9% for the years ended December 31, 2025 and 2024,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maturities of long-term debt are as follows: $6.4 million in 2026; $6.0 million in 2027; $405.8 million in 2028, $5.7 million in 2029; $5.7 million in 2030; and $540.6 million thereafter.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2024, and 2023, respectively, the Company incurred interest costs of $61.0 million, $63.2 million, and $64.1 million, including $1.1 million, $1.0 million, and $1.0 million, respectively, which were capitalized. Interest paid approximated the incurred interest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 and Other Postretirement Benefit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have pension plans covering the majority of eligible employees on a contributory or non-contributory basis. Benefits under defined benefit plans are generally based on years of service and an employee’s career earnings. Employees generally become fully vested after five years.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postretirement health care and life insurance benefits for the majority of its U.S. retired employees. Employees are generally eligible for benefits upon retirement and completion of a specified number of years of creditable service. The Company does not pre-fund these benefits and has the right to modify or terminate the plan in the future.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disclosures for the U.S. plans have been combined with those outside of the U.S. as the international plans do not have significantly different assumptions and together represent approximately 20% of our total benefit obligation.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pension obligation and funded status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Pr>
          <w:p>
            <w:pPr>
              <w:spacing w:after="0"/>
              <w:rPr>
                <w:sz w:val="20"/>
                <w:szCs w:val="20"/>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Pr>
          <w:p>
            <w:pPr>
              <w:spacing w:after="0"/>
              <w:rPr>
                <w:sz w:val="20"/>
                <w:szCs w:val="20"/>
                <w:color w:val="auto"/>
              </w:rPr>
            </w:pPr>
          </w:p>
        </w:tc>
        <w:tc>
          <w:tcPr>
            <w:tcW w:w="23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benefit obligations: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projected benefit obligation</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(gain)/loss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impact</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projected benefit obligation</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fair value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impact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fair value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domestic and foreign ending projected benefit obligation information at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9"/>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International Plans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projected benefit obligation</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68.9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432"/>
        </w:trPr>
        <w:tc>
          <w:tcPr>
            <w:tcW w:w="60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asset (liability) recognized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gridSpan w:val="2"/>
          </w:tcPr>
          <w:p>
            <w:pPr>
              <w:spacing w:after="0"/>
              <w:rPr>
                <w:sz w:val="18"/>
                <w:szCs w:val="18"/>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non-current pension assets are included in other assets and deferred charges and the current portion of pension liabilities is included in accrued compensation and related items on the Consolidated Balance Sheets.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net of related tax effects, consist of:</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Pr>
          <w:p>
            <w:pPr>
              <w:spacing w:after="0"/>
              <w:rPr>
                <w:sz w:val="24"/>
                <w:szCs w:val="24"/>
                <w:color w:val="auto"/>
              </w:rPr>
            </w:pPr>
          </w:p>
        </w:tc>
        <w:tc>
          <w:tcPr>
            <w:tcW w:w="23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Amount recognized end of year</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$334.7 million and $327.5 million at December 31, 2025 and 2024, respectively. The accumulated benefit obligations and projected benefit obligations are in excess of the plan assets for primarily all of the Company’s defined benefit plans.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Plan assets and benefit obligations recognized in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actuarial gain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recognized in other comprehensive income</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08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net periodic benefit costs are as follows:</w:t>
            </w: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gridSpan w:val="5"/>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Settlement/curtailment (gain) loss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Unrecognized prior service cost is amortized over the average remaining service period of each active employee.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funding policy for U.S. plans generally is to contribute annually into trust funds at a rate that provides for future plan benefits and maintains appropriate funded percentages. Annual contributions to the U.S. qualified plans are at least sufficient to satisfy regulatory funding standards and are not more than the maximum amount deductible for income tax purposes. The funding policies for the international plans conform to local governmental and tax requirements. The plans’ assets are invested primarily in stocks and bonds.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net periodic benefit cost in the accounting for the pension benefit plans and other benefit plans for the years ended December 31, 2025, 2024, and 2023 are as follows:</w:t>
      </w:r>
    </w:p>
    <w:p>
      <w:pPr>
        <w:spacing w:after="0" w:line="15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5.27%</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crediting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359"/>
        </w:trPr>
        <w:tc>
          <w:tcPr>
            <w:tcW w:w="8000" w:type="dxa"/>
            <w:vAlign w:val="bottom"/>
            <w:gridSpan w:val="2"/>
          </w:tcPr>
          <w:p>
            <w:pPr>
              <w:ind w:left="5500"/>
              <w:spacing w:after="0"/>
              <w:rPr>
                <w:sz w:val="20"/>
                <w:szCs w:val="20"/>
                <w:color w:val="auto"/>
              </w:rPr>
            </w:pPr>
            <w:r>
              <w:rPr>
                <w:rFonts w:ascii="Times New Roman" w:cs="Times New Roman" w:eastAsia="Times New Roman" w:hAnsi="Times New Roman"/>
                <w:sz w:val="13"/>
                <w:szCs w:val="13"/>
                <w:color w:val="auto"/>
              </w:rPr>
              <w:t>F-29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1"/>
        </w:trPr>
        <w:tc>
          <w:tcPr>
            <w:tcW w:w="7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48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determine benefit obligations for the pension benefit plans and other benefit plans at December 31, 2025, 2024, and 2023 are as follows:</w:t>
      </w:r>
    </w:p>
    <w:p>
      <w:pPr>
        <w:spacing w:after="0" w:line="15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5.20%</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2025, 2024, and 2023, the discount rate was based on the FTSE Pension Discount Curve, a yield curve of high-quality corporate bonds with cash flows matching our plans’ expected benefit payments. The expected return on plan assets is based on our asset allocation mix and our historical return, taking into account current and expected market conditions. The actual return on pension assets was approximately 10% in 2025, 10% in 2024, and 11% in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self-funded health insurance plan for its retirees. This plan provided that the maximum health care cost trend rate would be 5%. Effective June 2010, the Company amended its plan to change the eligibility requirement for retirees and revised its plan so that increases in expected health care costs would be borne by the retiree. Effective January 1, 2022, the plan was closed to new retirees.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pension plan weighted average asset allocation percentages at December 31, 2025 and 2024 by asset category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Company’s pension plan fair values at December 31, 2025 and 2024 by asset category are as follows:</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369.9</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domestic and foreign pension plan assets information at December 31, 2025, 2024 and 2023 (the measurement date of pension plan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 Plans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International Plans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377"/>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F-30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defined benefit pension plan assets measured at fair value as of December 31, 2025:</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Pension Assets Fair Value as of December 31, 2025</w:t>
            </w: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Non-U.S. equities</w:t>
            </w: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and other</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330.2</w:t>
            </w:r>
          </w:p>
        </w:tc>
      </w:tr>
      <w:tr>
        <w:trPr>
          <w:trHeight w:val="216"/>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plan assets at NAV</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0"/>
        </w:trPr>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pension plan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369.9</w:t>
            </w: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defined benefit pension plan assets measured at fair value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0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Pension Assets Fair Value as of December 31, 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w:t>
            </w: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equities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and 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307.4</w:t>
            </w: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plan assets at NAV</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pension plan assets</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341.3</w:t>
            </w: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equities </w:t>
      </w:r>
      <w:r>
        <w:rPr>
          <w:rFonts w:ascii="Times New Roman" w:cs="Times New Roman" w:eastAsia="Times New Roman" w:hAnsi="Times New Roman"/>
          <w:sz w:val="18"/>
          <w:szCs w:val="18"/>
          <w:color w:val="auto"/>
        </w:rPr>
        <w:t>– This class included actively and passively managed common equity securities comprised primarily of large-capitalization stocks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value, core, and growth strategies.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Non-U.S. equities </w:t>
      </w:r>
      <w:r>
        <w:rPr>
          <w:rFonts w:ascii="Times New Roman" w:cs="Times New Roman" w:eastAsia="Times New Roman" w:hAnsi="Times New Roman"/>
          <w:sz w:val="18"/>
          <w:szCs w:val="18"/>
          <w:color w:val="auto"/>
        </w:rPr>
        <w:t>– This class included actively managed common equity securities comprised primarily of international large-capitalization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Fixed income </w:t>
      </w:r>
      <w:r>
        <w:rPr>
          <w:rFonts w:ascii="Times New Roman" w:cs="Times New Roman" w:eastAsia="Times New Roman" w:hAnsi="Times New Roman"/>
          <w:sz w:val="18"/>
          <w:szCs w:val="18"/>
          <w:color w:val="auto"/>
        </w:rPr>
        <w:t>– This class included corporate debt instruments.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Real Estate and other </w:t>
      </w:r>
      <w:r>
        <w:rPr>
          <w:rFonts w:ascii="Times New Roman" w:cs="Times New Roman" w:eastAsia="Times New Roman" w:hAnsi="Times New Roman"/>
          <w:sz w:val="18"/>
          <w:szCs w:val="18"/>
          <w:color w:val="auto"/>
        </w:rPr>
        <w:t>– This class included assets related to real estate and other assets such as insurance contracts.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classified as Level 1 are valued using quoted prices on the major stock exchange on which individual assets are traded. Our Level 2 assets are valued using net asset value. The net asset value is quoted on a private market that is not active; however, the unit price is based on the underlying investments that are traded on an active market. Our Level 3 assets are estimated at fair value based on the most recent financial information available for the underlying securities, which are not traded on active market, and represent significant unobservable input.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changes in fair value measurement of plan assets using significant unobservable inputs (Level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December 31, 2023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Purchases, sales, settlements</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(loss) return on plan assets still held at reporting date</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exchange impact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Purchases, sales, settlements</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 still held at reporting date</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exchange impact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December 31, 2025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10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 or out of Level 3 during the years ended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contribute $10.8 million to its pension plans and $0.1 million to its other postretirement benefit plan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as appropriate, are expected to be paid: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2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2031-2035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Strategies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investment strategy for pension plan assets is to maintain a broadly diversified portfolio designed to both preserve and grow plan assets to meet future plan obligations. The Company’s average rate of return on assets from inception through December 31, 2025, was approximately 9%. The Company’s assets are strategically allocated among equity, debt, and other investments to achieve a diversification level that dampens fluctuations in investment returns. The Company’s long-term investment strategy is an investment portfolio mix of approximately 55%-65% in equity securities, 30%-35% in fixed income securities, and 0%-15% in other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Savings and Investment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voluntary Savings and Investment Plan (a 401(k) plan) for most non-union employees in the U.S. Within prescribed limits, the Company bases its contribution to the Savings and Investment Plan on employee contributions. The Company’s contributions amounted to $6.7 million, $6.4 million, and $6.2 million for the years ended December 31, 2025, 2024, and 2023,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party to a number of lawsuits arising in the normal course of our business. The Company and certain of the Company’s subsidiaries are among numerous defendants in a number of cases seeking damages for alleged exposure to asbestos-contaminated talc products sold by the Company’s subsidiary BMI Oldco Inc.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2023 (the “Petition Date”), notwithstanding the Company’s confidence in the safety of Oldco’s talc products, the Company’s subsidiaries, Oldco and Barretts Ventures Texas LLC ("BVT" and, together with Oldco, the “Chapter 11 Debtors”), filed voluntary petitions for relief under Chapter 11 of the U.S. Bankruptcy Code in the United States Bankruptcy Court for the Southern District of Texas (the “Chapter 11 Cases”) to address and comprehensively resolve Oldco’s liabilities associated with talc. Minerals Technologies Inc. and the Company’s other subsidiaries were not included in the Chapter 11 filing.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Chapter 11 Debtors’ ultimate goal in the Chapter 11 Cases is to confirm a plan of reorganization under Section 524(g) of the U.S. Bankruptcy Code and utilize this provision of the Bankruptcy Code to establish a trust that will address all current and future talc-related claims. Discussions regarding the terms of a potential consensual plan of reorganization and the ultimate amount to be contributed to any trust are ongoing.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914 open cases related to certain talc products previously sold by Oldco, which is an increase in volume from previous years. The following table details case activity related to talc products previously sold by Oldco: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87"/>
        </w:trPr>
        <w:tc>
          <w:tcPr>
            <w:tcW w:w="6060" w:type="dxa"/>
            <w:vAlign w:val="bottom"/>
          </w:tcPr>
          <w:p>
            <w:pPr>
              <w:spacing w:after="0"/>
              <w:rPr>
                <w:sz w:val="16"/>
                <w:szCs w:val="16"/>
                <w:color w:val="auto"/>
              </w:rPr>
            </w:pPr>
          </w:p>
        </w:tc>
        <w:tc>
          <w:tcPr>
            <w:tcW w:w="1320" w:type="dxa"/>
            <w:vAlign w:val="bottom"/>
            <w:tcBorders>
              <w:top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2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6"/>
                <w:szCs w:val="16"/>
                <w:color w:val="auto"/>
              </w:rPr>
            </w:pPr>
          </w:p>
        </w:tc>
        <w:tc>
          <w:tcPr>
            <w:tcW w:w="1320" w:type="dxa"/>
            <w:vAlign w:val="bottom"/>
            <w:tcBorders>
              <w:top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2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r>
      <w:tr>
        <w:trPr>
          <w:trHeight w:val="238"/>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(number of claims)</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pending, beginning of period</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Claims filed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Claims dismissed, settled, or otherwise resolved</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Claims pending, end of period</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claims typically allege various theories of liability, including negligence, gross negligence, and strict liability and seek compensatory and, in some cases, punitive damages, but most of these claims do not provide adequate information to assess their merits, the likelihood that the Company will be found liable, or the magnitude of such liability, if any. We are unable to state an amount or range of amounts claimed in any of these lawsuits because state court pleading practices do not require the plaintiff to identify the amount of the claimed damage. The Company’s position, as stated publicly, is that the talc products sold by Oldco are safe and do not cause cancer.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pendency of the Chapter 11 Cases, the Company anticipates that the Chapter 11 Debtors will benefit from the operation of the automatic stay, which stays ongoing litigation in connection with talc-related claims against the Chapter 11 Debtors. In addition, the Bankruptcy Court temporarily enjoined the filing or continued prosecution of all talc-related claims against the Chapter 11 Debtors’ non-debtor affiliates, subject to certain exceptions. Such exceptions consist of claims premised solely on alleged inadequacies in testing of talc sold by Oldco. The Company is vigorously opposing and defending against these claims.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costs relating to the talc-related cases have increased concurrently with the volume, the majority of these costs have historically been borne by Pfizer Inc. (“Pfizer”) in connection with certain agreements entered into in connection with the Company’s initial public offering in 1992, and as long as the litigation is subject to the stay under the Chapter 11 Cases (subject to certain exceptions), the Company will not be required to make any payments in respect thereof. The Company is entitled to indemnification, pursuant to agreement, for liabilities arising from sales prior to the initial public offering. On May 22, 2024, Pfizer filed a motion in the Chapter 11 Cases seeking permission to file a lawsuit against the Company related to the 1992 agreement. That motion has been adjourned, and Pfizer and the Company have agreed to mediate their disputes. The Company continues to receive information from Pfizer with respect to potential costs associated with the defense and/or settlement of talc-related cases that Pfizer alleges are not subject to indemnification. Although the Company believes that the talc products are safe and that claims to the contrary are without merit, Oldco opportunistically settled certain talc-related cases in 2022 and 2023. None of such settlements were material to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2024, Oldco sold its talc assets under section 363 of the Bankruptcy Code. In addition, in the second quarter of 2024, the Company entered into a Debtor-in-Possession Credit Agreement with Oldco (the “DIP Credit Agreement”) and recorded a provision for credit loss of $30 million for the maximum principal amount under such Credit Agreement. In the second quarter of 2025, the Company agreed to amend the DIP Credit Agreement to increase the maximum principal amount under such Credit Agreement by $30 million. Proceeds of the sale of Oldco’s talc assets and funds drawn by Oldco under the DIP Credit Agreement have been and will be used to fund the Chapter 11 Cases.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Chapter 11 filing, the activities of the Chapter 11 Debtors are now subject to review and oversight by the bankruptcy court. As a result, the Chapter 11 Debtors were deconsolidated as of the Petition Date, and their assets and liabilities were derecognized from the Company’s consolidated financial statements on a prospective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25, 2024, the committee representing talc claimants (the “Committee”) filed a motion to dismiss the Chapter 11 Cases. On April 29, 2025, the Bankruptcy Court denied dismissal of the Chapter 11 Cases. On May 13, 2025, the Committee filed a motion with the United States District Court for the Southern District of Texas (the “District Court”) seeking leave to appeal the order denying the motion to dismiss, which the Chapter 11 Debtors opposed.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14, 2025, the Bankruptcy Court entered a Report and Recommendation (i) recommending that the District Court determine whether any of the talc sold by Oldco contained sufficient quantity and form of asbestos to cause mesothelioma or other asbestos-related diseases and (ii) abating the Chapter 11 Cases pending a determination by the District Court. The Company supports this path forward. The Chapter 11 Cases remain pending.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recorded a provision to establish an accrual of $215 million for estimated costs to fund a trust to resolve all current and future talc-related claims as well as fund the Chapter 11 Cases and related litigation costs (including the aforementioned $30 million increase to the maximum principal amount of the DIP Credit Agreement). The parties have not yet reached a final resolution of all matters in the Chapter 11 Cases, and the Company is unable to estimate the possible loss or range of loss beyond the amount accrued.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accruals for loss contingencies associated with legal matters, including talc-related litigation and the Chapter 11 Cases,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including timing of related payments. The ability to make such estimates and judgments can be affected by various factors, including whether damages sought in the proceedings are unsubstantiated or indeterminate, the stage of the litigation, the factual and legal matters in dispute, the ability to achieve comprehensive settlements, the availability of co-defendants with substantial resources and assets participating in the litigation, and our evaluation of the unique attributes of each claim.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broader litigation and regulatory environments for talc-related claims continue to evolve. Moreover, although the Chapter 11 Cases are progressing, it is not possible at this time to predict how the District Court will rule on the pending motions, whether an appellate court will affirm or reverse the Bankruptcy Court order denying the Committee’s motion to dismiss, the form of any ultimate resolution or when an ultimate resolution might occur. Given the foregoing factors, it is reasonably possible that the Company will incur a loss for liabilities associated with talc claims in excess of the amount accrued. This risk is based on the potential for new talc-related claims that could eventually be asserted together with their associated disposition cost and related legal costs, despite the automatic stay with respect to claims against the Chapter 11 Debtors, taking into account the portion of such hypothetical claims that may be subject to indemnification by Pfizer, as well as the inability to predict the amount that may ultimately be necessary to fully and finally resolve all of the Chapter 11 Debtors’ future talc-related claims in connection with a confirmed Chapter 11 plan of reorganization. In light of the uncertainties involved in such matters, the resolution of, or recognition of additional liabilities in connection with, current or future talc claims could have a material adverse effect on the Company’s results of operations, cash flows,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authorized capital stock consists of 100 million shares of common stock, par value $0.10 per share, of which 31,034,106 shares and 31,895,655 shares were outstanding at December 31, 2025 and 2024, respectively, and 1,000,000 shares of preferred stock, none of which were issued and outstanding.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dividends of $14.2 million or $0.45 per common share were paid during 2025. In January 2026, a cash dividend of approximately $3.7 million or $0.12 per share, was declared, payable in the first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 and Incentive Plan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2015 Stock Award and Incentive Plan provides for grants of incentive and non-qualified stock options, restricted stock, restricted stock units, stock appreciation rights, stock awards, and performance unit awards (the 2015 Stock Award and Incentive Plan, as amended, referred to herein as the “Plan” and together with its predecessor for awards granted prior to May 2015, the 2001 Stock Award and Incentive Plan, as amended and restated, the “Plans”). At the Company's 2024 Annual Meeting of Stockholders, the Company's stockholders ratified the adoption of an amendment and restatement of the Plan, which increased the number of shares available for issuance pursuant to the Plan by 889,000 shares and removed certain individual award limits in light of recent tax law changes. The Plans are administered by the Compensation Committee of the Board of Directors. Stock options granted under the Plans generally have a ten-year term. The exercise price for stock options are at prices at or above the fair market value of the common stock on the date of the grant, and each award of stock options will vest ratably over a specified period, generally three years.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restricted stock unit activity for the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06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Grant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 Share ($)</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1,080,460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1,363,418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58,918</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64.33</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780,915</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Canceled</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49,336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67.21</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1,419,611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80,912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70.06</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1,231,900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1,516,385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67.16</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Accumulated Other Comprehensive Income (Loss)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(loss) at December 31 comprised of the following components: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pension benefit (net of tax expense of $3.9 in 2025 and $1.2 in 2024)</w:t>
            </w:r>
          </w:p>
        </w:tc>
        <w:tc>
          <w:tcPr>
            <w:tcW w:w="2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cash flow hedges (net of tax expense (benefit) of $(0.1) in 2025 and $0.1 in 2024)</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5500"/>
              <w:spacing w:after="0"/>
              <w:rPr>
                <w:sz w:val="20"/>
                <w:szCs w:val="20"/>
                <w:color w:val="auto"/>
              </w:rPr>
            </w:pPr>
            <w:r>
              <w:rPr>
                <w:rFonts w:ascii="Times New Roman" w:cs="Times New Roman" w:eastAsia="Times New Roman" w:hAnsi="Times New Roman"/>
                <w:sz w:val="13"/>
                <w:szCs w:val="13"/>
                <w:color w:val="auto"/>
              </w:rPr>
              <w:t>F-35</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19"/>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income (loss) by component: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7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Net-of-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Pre-Tax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adjustment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plans: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actuarial gains (losses)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prior service costs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arising during the period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net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(gains) losses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prior service costs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26"/>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pre-tax amortization amounts of pension plans in the table above are included within the components of net periodic pension benefit costs (see Note 16) and the related tax amounts are included within provision for taxes on income line within the Consolidated Statements of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for Asset Retirement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asset retirement obligations in which the Company will be required to retire tangible long-lived assets. These are primarily related to its PCC satellite facilities and mining operations. The Company has also recorded the provisions related to conditional asset retirement obligations at its facilities. The Company has recorded asset retirement obligations at all of its facilities except where there are no contractual or legal obligations. The associated asset retirement costs are capitalized as part of the carrying amount of the long-lived asset.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asset retirement obligations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4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vMerge w:val="continue"/>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 beginning of period</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retirement obligation, end of period</w:t>
            </w:r>
          </w:p>
        </w:tc>
        <w:tc>
          <w:tcPr>
            <w:tcW w:w="4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4460" w:type="dxa"/>
            <w:vAlign w:val="bottom"/>
            <w:gridSpan w:val="2"/>
          </w:tcPr>
          <w:p>
            <w:pPr>
              <w:jc w:val="right"/>
              <w:ind w:right="3096"/>
              <w:spacing w:after="0"/>
              <w:rPr>
                <w:sz w:val="20"/>
                <w:szCs w:val="20"/>
                <w:color w:val="auto"/>
              </w:rPr>
            </w:pPr>
            <w:r>
              <w:rPr>
                <w:rFonts w:ascii="Times New Roman" w:cs="Times New Roman" w:eastAsia="Times New Roman" w:hAnsi="Times New Roman"/>
                <w:sz w:val="13"/>
                <w:szCs w:val="13"/>
                <w:color w:val="auto"/>
              </w:rPr>
              <w:t>F-36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48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mines various minerals using a surface mining process that requires the removal of overburden. In certain areas and under various governmental regulations, the Company is obligated to restore the land comprising each mining site to its original condition at the completion of the mining activity. This liability will be adjusted to reflect the passage of time, mining activities, and changes in estimated future cash outflows.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2024, the Company recorded an additional $7.0 million of asset retirement obligations in relation to our mining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current portion of the liability of approximately $0.7 million is included in other current liabilities and the long-term portion of the liability of approximately $26.6 million is included in other non-current liabilities in the Consolidated Balance Sheet as of December 31,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Accretion expense is included in cost of goods sold in the Company’s Consolidated Statements of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and Related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its operating segments based on the discrete financial information that is regularly evaluated by its chief operating decision maker, our Chief Executive Officer, in deciding how to allocate resources and in assessing performance. The Company’s operating segments are strategic business units that offer different products and serve different markets. They are managed separately and require different technology and marketing strategies.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two reportable segments: the Consumer &amp; Specialties segment and the Engineered Solutions segment.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Consumer &amp; Specialties segment provides technologically enhanced products to consumer-driven end markets, including mineral-to-market household products, as well as specialty additives that become functional components in a variety of consumer and industrial goods. The two product lines in this segment are Household &amp; Personal Care, which delivers minerals-to-market products to a variety of consumer-oriented markets, including pet care, personal care, fabric care, edible oil and renewable fuel purification, animal health, and agricultural, and Specialty Additives, which delivers mineral additives to a variety of consumer and industrial end markets including paper and packaging, food and pharmaceutical, sealants and adhesives, paints and coatings, and plastics.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Engineered Solutions segment provides advanced process technologies and solutions that are designed to improve our customers' manufacturing processes and projects. The two product lines in this segment are High-Temperature Technologies, which delivers mineral-based blends, technologies, and systems to the foundry, steel, glass, aluminum and other high-temperature processing industries, and Environmental &amp; Infrastructure, which provides environmental, construction, and remediation solutions including geosynthetic clay lining systems, vapor intrusion mitigation products, sub-surface waterproofing systems, green roofs, wastewater remediation, drinking water purification technologies, and drilling products for both the construction and infrastructure markets as well as the oil and gas exploration and production industries.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principles. The Company evaluates performance based on the operating income of the respective business units. The costs deducted to arrive at operating profit do not include several items, such as net interest or income tax expense. Depreciation expense related to corporate assets is allocated to the business segments and is included in their income from operations. However, such corporate depreciable assets are not included in the segment assets. Intersegment sales and transfers are not significant.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revenues, expenses, operating income, and a reconciliation of the operating segment totals to the applicable line items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Consumer &amp;</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Engineered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Consumer &amp;</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Engineered</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Specialties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Specialties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36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2,118.5</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1,554.6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1,570.8</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production margin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Consumer &amp;</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Engineered</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Specialties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36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1,662.8</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production margin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administrative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Litigation expenses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deductions,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litigation accrual and credit losses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 extinguishment expenses</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Income (loss) before tax and equity in earnings</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F-38</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Segment information for the years ended December 31, 2025, 2024 and 2023 was as follows: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Depletion &amp; Amortization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1,333.4</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1,289.4</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2,028.5</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3,346.6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Consumer &amp; Specialties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Engineered Solutions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information relating to the Company’s operations by geographic area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1,144.0</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Canada/Latin America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Europe/Africa</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Consolidated net sales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1,842.0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Canada/Latin America</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Europe/Africa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Consolidated long-lived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2,131.4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and long-lived assets are attributed to countries and geographic areas based on the location of the legal entity. No individual foreign country represents more than 10% of consolidated net sales or consolidated long-lived assets.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AND SUBSIDIARY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net sales by product category are as follows:</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of dollars)</w:t>
            </w:r>
          </w:p>
        </w:tc>
        <w:tc>
          <w:tcPr>
            <w:tcW w:w="2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vMerge w:val="continue"/>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&amp; Personal Care</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High-Temperature Technologies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Environmental &amp; Infrastructure</w:t>
            </w:r>
          </w:p>
        </w:tc>
        <w:tc>
          <w:tcPr>
            <w:tcW w:w="2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2380" w:type="dxa"/>
            <w:vAlign w:val="bottom"/>
            <w:gridSpan w:val="2"/>
          </w:tcPr>
          <w:p>
            <w:pPr>
              <w:jc w:val="right"/>
              <w:ind w:right="1796"/>
              <w:spacing w:after="0"/>
              <w:rPr>
                <w:sz w:val="20"/>
                <w:szCs w:val="20"/>
                <w:color w:val="auto"/>
              </w:rPr>
            </w:pPr>
            <w:r>
              <w:rPr>
                <w:rFonts w:ascii="Times New Roman" w:cs="Times New Roman" w:eastAsia="Times New Roman" w:hAnsi="Times New Roman"/>
                <w:sz w:val="13"/>
                <w:szCs w:val="13"/>
                <w:color w:val="auto"/>
              </w:rPr>
              <w:t>F-40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6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Technologies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Minerals Technologies Inc. and subsidiaries (the Company) as of December 31, 2025 and December 31, 2024, the related consolidated statements of income (loss), comprehensive income, cash flows, and changes in shareholders’ equity for each of the years in the three-year period ended December 31, 2025, and the related notes and financial statement schedule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20, 2026 expressed an unqualified opinion on the effectiveness of the Company’s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talc litigation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17 to the consolidated financial statements, the Company and certain of the Company’s subsidiaries are among numerous defendants in a number of cases seeking damages for alleged exposure to asbestos-contaminated talc products sold by the Company’s subsidiary BMI Oldco Inc. (Oldco). On October 2, 2023, the Company’s subsidiaries, Oldco and Barretts Ventures Texas LLC (together with Oldco), filed voluntary petitions for relief under Chapter 11 of the U.S. Bankruptcy Code in the United States Bankruptcy Court for the Southern District of Texas (the “Chapter 11 Cases”) to address and comprehensively resolve Oldco’s liabilities associated with talc.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talc litigation liability as a critical audit matter. A high degree of complex auditor judgment was required to evaluate the Company’s talc litigation liability due to the nature of the estimate and key assumptions, including the assessment of the likelihood of a loss being incurred and whether a reasonable estimate of the loss or range of loss for the future and existing talc claims could be made.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talc litigation liability estimation process. This included controls over determining the key assumptions noted above and claims data utilized in the process. We evaluated the reasonableness of the Company’s talc litigation liability estimate by:</w:t>
      </w:r>
    </w:p>
    <w:p>
      <w:pPr>
        <w:spacing w:after="0" w:line="176" w:lineRule="exact"/>
        <w:rPr>
          <w:sz w:val="20"/>
          <w:szCs w:val="20"/>
          <w:color w:val="auto"/>
        </w:rPr>
      </w:pPr>
    </w:p>
    <w:p>
      <w:pPr>
        <w:ind w:left="660" w:hanging="328"/>
        <w:spacing w:after="0" w:line="281" w:lineRule="auto"/>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evaluating the professional qualifications, knowledge, skills, and ability of the Company’s external specialist used in compiling and evaluating claims data</w:t>
      </w:r>
    </w:p>
    <w:p>
      <w:pPr>
        <w:spacing w:after="0" w:line="148"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assessing the talc related legal cases settled during the year and the open cases as of December 31, 2025, by evaluating letters obtained directly from the Company’s external and internal legal counsel</w:t>
      </w:r>
    </w:p>
    <w:p>
      <w:pPr>
        <w:spacing w:after="0" w:line="148"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testing a selection of claims data used in the Company’s talc accrual calculation by comparing the selected items to underlying claims documentation</w:t>
      </w:r>
    </w:p>
    <w:p>
      <w:pPr>
        <w:spacing w:after="0" w:line="148"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discussing the status and processing of significant known, actual, and potential litigation, and the status of ongoing Oldco bankruptcy proceedings with the Company’s in-house legal counsel, as well as external counsel</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evaluating management’s assessment regarding whether an unfavorable outcome is reasonably possible or probable and reasonably estimable.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projected pension benefit obligations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16 to the consolidated financial statements, the Company’s projected pension benefit obligations were $349.3 million as of December 31, 2025. The Company estimates the liability related to their pension plans using actuarial models that include assumptions about the Company's discount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measurement of the Company’s projected pension benefit obligations as a critical audit matter. Specialized skills are required to evaluate the Company’s assumptions. In particular, especially complex auditor judgement was required to assess the discount rates used in the determination of projected pension benefit obligations.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pension process, including a control related to the Company’s assessment of the discount rates utilized within the actuarial models. We obtained an understanding of the actuarial models used by the Company in selecting the discount rate for each plan and inquired as to whether there have been changes to this methodology in the current year. We also involved an actuarial professional with specialized skills and knowledge, who assisted in evaluating the Company’s analysis of the discount rates and assessed the discount rates considering the timing and amount of benefit payments used in the determination of the projected pension benefit obligation.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Technologies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Minerals Technologies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December 31, 2024, the related consolidated statements of income (loss), comprehensive income, cash flows, and changes in shareholders’ equity for each of the years in the three-year period ended December 31, 2025, and the related notes and financial statement schedule (collectively, the consolidated financial statements), and our report dated February 20, 2026 expressed an unqualified opinion on those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of Minerals Technologies Inc. is responsible for the preparation, integrity and fair presentation of its published consolidated financial statements. The financial statements have been prepared in accordance with U.S. generally accepted accounting principles and, as such, include amounts based on judgments and estimates made by management. The Company also prepared the other information included in the annual report and is responsible for its accuracy and consistency with the consolidated financial statements.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The Company maintains a system of internal control over financial reporting, which is designed to provide reasonable assurance to the Company’s management and board of directors regarding the preparation of reliable published financial statements and safeguarding of the Company’s assets. The system includes a documented organizational structure and division of responsibility, established policies and procedures, including a code of conduct to foster a strong ethical climate, which are communicated throughout the Company, and the careful selection, training and development of our people.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acting through its Audit Committee, is responsible for the oversight of the Company’s accounting policies, financial reporting and internal control. The Audit Committee of the Board of Directors is comprised entirely of outside directors who are independent of management. The Audit Committee is responsible for the appointment and compensation of the independent registered public accounting firm. It meets periodically with management, the independent registered public accounting firm and the internal auditors to ensure that they are carrying out their responsibilities. The Audit Committee is also responsible for performing an oversight role by reviewing and monitoring the financial, accounting and auditing procedures of the Company in addition to reviewing the Company’s financial reports. The independent registered public accounting firm and the internal auditors have full and unlimited access to the Audit Committee, with or without management, to discuss the adequacy of internal control over financial reporting, and any other matters which they believe should be brought to the attention of the Audit Committee.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recognizes that there are inherent limitations in the effectiveness of any system of internal control over financial reporting, including the possibility of human error and the circumvention or overriding of internal control. Accordingly, even effective internal control over financial reporting can provide only reasonable assurance with respect to financial statement preparation and may not prevent or detect misstatements. Further, because of changes in conditions, the effectiveness of internal control over financial reporting may vary over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assessed its internal control system as of December 31, 2025 in relation to criteria for effective internal control over financial reporting described in “Internal Control – Integrated Framework (2013)” issued by the Committee of Sponsoring Organizations of the Treadway Commission. Based on its assessment, the Company has determined that, as of December 31, 2025, its system of internal control over financial reporting was effective.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audited by the independent registered public accounting firm, which was given unrestricted access to all financial records and related data, including minutes of all meetings of stockholders, the Board of Directors and committees of the Board. Reports of the independent registered public accounting firm, which includes the independent registered public accounting firm’s attestation of the effectiveness of the Company’s internal control over financial reporting are also presented within this document.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 Douglas T. Dietrich</w:t>
            </w:r>
          </w:p>
        </w:tc>
        <w:tc>
          <w:tcPr>
            <w:tcW w:w="60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/s/ Erik C. Aldag</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6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Senior Vice President, Finance and Treasury, Chief Financial Officer</w:t>
            </w:r>
          </w:p>
        </w:tc>
      </w:tr>
      <w:tr>
        <w:trPr>
          <w:trHeight w:val="414"/>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 Michael A. Cipolla</w:t>
            </w:r>
          </w:p>
        </w:tc>
        <w:tc>
          <w:tcPr>
            <w:tcW w:w="608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c>
          <w:tcPr>
            <w:tcW w:w="60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2026</w:t>
            </w:r>
          </w:p>
        </w:tc>
        <w:tc>
          <w:tcPr>
            <w:tcW w:w="608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F-44</w:t>
            </w:r>
          </w:p>
        </w:tc>
      </w:tr>
      <w:tr>
        <w:trPr>
          <w:trHeight w:val="61"/>
        </w:trPr>
        <w:tc>
          <w:tcPr>
            <w:tcW w:w="516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7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MINERALS TECHNOLOGIES INC. &amp;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SCHEDULE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Additions Charged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 Costs, Provisions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38"/>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Beginning of Period</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Deductions (a)</w:t>
            </w: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End of Period</w:t>
            </w:r>
          </w:p>
        </w:tc>
        <w:tc>
          <w:tcPr>
            <w:tcW w:w="0" w:type="dxa"/>
            <w:vAlign w:val="bottom"/>
          </w:tcPr>
          <w:p>
            <w:pPr>
              <w:spacing w:after="0"/>
              <w:rPr>
                <w:sz w:val="1"/>
                <w:szCs w:val="1"/>
                <w:color w:val="auto"/>
              </w:rPr>
            </w:pPr>
          </w:p>
        </w:tc>
      </w:tr>
      <w:tr>
        <w:trPr>
          <w:trHeight w:val="191"/>
        </w:trPr>
        <w:tc>
          <w:tcPr>
            <w:tcW w:w="4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Valuation and qualifying accounts deducted from assets to which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they apply: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Valuation and qualifying accounts deducted from assets to which</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they apply: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Valuation and qualifying accounts deducted from assets to which</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they apply: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impact of write-offs, translation of foreign currencies and reclassifications for presentation purposes.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10.14(i)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MINERALS TECHNOLOGIES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SAVINGS AND INVESTMENT PLAN</w:t>
      </w:r>
    </w:p>
    <w:p>
      <w:pPr>
        <w:spacing w:after="0" w:line="200" w:lineRule="exact"/>
        <w:rPr>
          <w:sz w:val="20"/>
          <w:szCs w:val="20"/>
          <w:color w:val="auto"/>
        </w:rPr>
      </w:pPr>
    </w:p>
    <w:p>
      <w:pPr>
        <w:spacing w:after="0" w:line="248"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Minerals Technologies Inc. (the "Employer") heretofore adopted the Minerals Technologies Inc. Savings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Plan, as amended and restated effective as of January 1, 2013 (the "Plan"); 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Employer reserved the right to amend the Plan; 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hereby amended, effective as of March 1, 2025, unless otherwise stated herein, as follows:</w:t>
      </w:r>
    </w:p>
    <w:p>
      <w:pPr>
        <w:spacing w:after="0" w:line="237" w:lineRule="exact"/>
        <w:rPr>
          <w:sz w:val="20"/>
          <w:szCs w:val="20"/>
          <w:color w:val="auto"/>
        </w:rPr>
      </w:pPr>
    </w:p>
    <w:p>
      <w:pPr>
        <w:ind w:left="340" w:right="340" w:hanging="320"/>
        <w:spacing w:after="0" w:line="258" w:lineRule="auto"/>
        <w:tabs>
          <w:tab w:leader="none" w:pos="3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4.1(a) of the Plan, as previously amended, shall be further amended by removing the first three paragraphs thereof and replacing them with the following:</w:t>
      </w:r>
    </w:p>
    <w:p>
      <w:pPr>
        <w:spacing w:after="0" w:line="181" w:lineRule="exact"/>
        <w:rPr>
          <w:rFonts w:ascii="Times New Roman" w:cs="Times New Roman" w:eastAsia="Times New Roman" w:hAnsi="Times New Roman"/>
          <w:sz w:val="22"/>
          <w:szCs w:val="22"/>
          <w:color w:val="auto"/>
        </w:rPr>
      </w:pPr>
    </w:p>
    <w:p>
      <w:pPr>
        <w:jc w:val="both"/>
        <w:ind w:left="660" w:hanging="316"/>
        <w:spacing w:after="0" w:line="233" w:lineRule="auto"/>
        <w:tabs>
          <w:tab w:leader="none" w:pos="6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Elections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the provisions of Section 4.2 below, a Participant may elect to contribute to the Plan a portion of 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for a Plan Year on a pre-tax basis and/or in the form of designated Roth contributions. The amount of a Participant's Compensation contributed in accordance with the Participant's election shall be withheld by the Employer from the Participant's Compensation on a ratable basis throughout the Plan Year. Except as otherwise provided in Section 7.9, elective deferrals contributed to the Plan as one type, either as a pre-tax or a designated Roth contribution, may not later be reclassified as the other type. For purposes of making elective deferrals pursuant to this Section, only Compensation earned while eligible to make such deferrals shall be considered. The amount deferred on behalf of each Participant shall be contributed by the Employer to the Plan and allocated to the portions of the Participant's Account consisting of pre-tax contributions and/or designated Roth contributions, as the case may be. No contributions other than designated Roth contributions, in-plan Roth conversion amounts, and properly attributable earnings shall be credited to the Participant’s Roth account, and gains, losses and other credits or charges shall be allocated on a reasonable and consistent basis to such account.</w:t>
      </w:r>
    </w:p>
    <w:p>
      <w:pPr>
        <w:spacing w:after="0" w:line="200" w:lineRule="exact"/>
        <w:rPr>
          <w:rFonts w:ascii="Times New Roman" w:cs="Times New Roman" w:eastAsia="Times New Roman" w:hAnsi="Times New Roman"/>
          <w:sz w:val="22"/>
          <w:szCs w:val="22"/>
          <w:color w:val="auto"/>
        </w:rPr>
      </w:pPr>
    </w:p>
    <w:p>
      <w:pPr>
        <w:spacing w:after="0" w:line="380" w:lineRule="exact"/>
        <w:rPr>
          <w:rFonts w:ascii="Times New Roman" w:cs="Times New Roman" w:eastAsia="Times New Roman" w:hAnsi="Times New Roman"/>
          <w:sz w:val="22"/>
          <w:szCs w:val="22"/>
          <w:color w:val="auto"/>
        </w:rPr>
      </w:pPr>
    </w:p>
    <w:p>
      <w:pPr>
        <w:ind w:left="6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maintain a record of the amount of designated Roth contributions and in-plan Roth conversions, if any, that are in each Participant’s Roth account.</w:t>
      </w:r>
    </w:p>
    <w:p>
      <w:pPr>
        <w:spacing w:after="0" w:line="200" w:lineRule="exact"/>
        <w:rPr>
          <w:rFonts w:ascii="Times New Roman" w:cs="Times New Roman" w:eastAsia="Times New Roman" w:hAnsi="Times New Roman"/>
          <w:sz w:val="22"/>
          <w:szCs w:val="22"/>
          <w:color w:val="auto"/>
        </w:rPr>
      </w:pPr>
    </w:p>
    <w:p>
      <w:pPr>
        <w:spacing w:after="0" w:line="336" w:lineRule="exact"/>
        <w:rPr>
          <w:rFonts w:ascii="Times New Roman" w:cs="Times New Roman" w:eastAsia="Times New Roman" w:hAnsi="Times New Roman"/>
          <w:sz w:val="22"/>
          <w:szCs w:val="22"/>
          <w:color w:val="auto"/>
        </w:rPr>
      </w:pPr>
    </w:p>
    <w:p>
      <w:pPr>
        <w:jc w:val="both"/>
        <w:ind w:left="66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4.1(e) below, each Participant may elect to contribute from two percent (2%) to seventy-five percent (75%) of such Participant's Compensation as aggregate pre-tax and/or a designated Roth contributions. Notwithstanding the foregoing, a Participant who is a member of the United Steel, Paper and Forestry, Rubber, Manufacturing, Energy, Allied Industrial and Service Workers International Union Local 521, at Minteq International, Inc., Dover Ohio plant may make a election to defer on a pre-tax and/or Roth basis from one percent (1%) to one hundred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percent (100%) of any flat rate bonus paid to him during the Plan Year that is categorized in the Employer's payroll records as a "Dover Bonus," but any such election shall be separate from the Participant's normal elections and shall be made in accordance with procedures established the Administrator.</w:t>
      </w:r>
    </w:p>
    <w:p>
      <w:pPr>
        <w:spacing w:after="0" w:line="200" w:lineRule="exact"/>
        <w:rPr>
          <w:sz w:val="20"/>
          <w:szCs w:val="20"/>
          <w:color w:val="auto"/>
        </w:rPr>
      </w:pPr>
    </w:p>
    <w:p>
      <w:pPr>
        <w:spacing w:after="0" w:line="365" w:lineRule="exact"/>
        <w:rPr>
          <w:sz w:val="20"/>
          <w:szCs w:val="20"/>
          <w:color w:val="auto"/>
        </w:rPr>
      </w:pPr>
    </w:p>
    <w:p>
      <w:pPr>
        <w:ind w:left="320" w:hanging="320"/>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paragraph of Section 4.1(e) of the Plan shall be amended by adding the following sentence to the end thereof:</w:t>
      </w:r>
    </w:p>
    <w:p>
      <w:pPr>
        <w:spacing w:after="0" w:line="233" w:lineRule="exact"/>
        <w:rPr>
          <w:rFonts w:ascii="Times New Roman" w:cs="Times New Roman" w:eastAsia="Times New Roman" w:hAnsi="Times New Roman"/>
          <w:sz w:val="22"/>
          <w:szCs w:val="22"/>
          <w:color w:val="auto"/>
        </w:rPr>
      </w:pPr>
    </w:p>
    <w:p>
      <w:pPr>
        <w:ind w:left="320" w:right="10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March 1, 2025 such catch-up contributions shall include eligibility to make additional catch-up contributions for eligible Participants who have reached at least age sixty (60) but who have not yet reached age sixty-four (64) as of the close of the Plan Year, as described under Section 414(v)(B)(ii) of the Code.</w:t>
      </w:r>
    </w:p>
    <w:p>
      <w:pPr>
        <w:spacing w:after="0" w:line="200" w:lineRule="exact"/>
        <w:rPr>
          <w:rFonts w:ascii="Times New Roman" w:cs="Times New Roman" w:eastAsia="Times New Roman" w:hAnsi="Times New Roman"/>
          <w:sz w:val="22"/>
          <w:szCs w:val="22"/>
          <w:color w:val="auto"/>
        </w:rPr>
      </w:pPr>
    </w:p>
    <w:p>
      <w:pPr>
        <w:ind w:left="320" w:right="880" w:hanging="320"/>
        <w:spacing w:after="0" w:line="258" w:lineRule="auto"/>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 of the Plan shall be amended by removing the current Section 4.2 in its entirety and replacing it with the following:</w:t>
      </w:r>
    </w:p>
    <w:p>
      <w:pPr>
        <w:spacing w:after="0" w:line="181" w:lineRule="exact"/>
        <w:rPr>
          <w:rFonts w:ascii="Times New Roman" w:cs="Times New Roman" w:eastAsia="Times New Roman" w:hAnsi="Times New Roman"/>
          <w:sz w:val="22"/>
          <w:szCs w:val="22"/>
          <w:color w:val="auto"/>
        </w:rPr>
      </w:pPr>
    </w:p>
    <w:p>
      <w:pPr>
        <w:ind w:left="320" w:right="8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4.2</w:t>
      </w:r>
      <w:r>
        <w:rPr>
          <w:rFonts w:ascii="Times New Roman" w:cs="Times New Roman" w:eastAsia="Times New Roman" w:hAnsi="Times New Roman"/>
          <w:sz w:val="22"/>
          <w:szCs w:val="22"/>
          <w:b w:val="1"/>
          <w:bCs w:val="1"/>
          <w:color w:val="auto"/>
        </w:rPr>
        <w:t xml:space="preserve"> EMPLOYEE AFTER-TAX CONTRIBUTIONS</w:t>
      </w:r>
      <w:r>
        <w:rPr>
          <w:rFonts w:ascii="Times New Roman" w:cs="Times New Roman" w:eastAsia="Times New Roman" w:hAnsi="Times New Roman"/>
          <w:sz w:val="22"/>
          <w:szCs w:val="22"/>
          <w:color w:val="auto"/>
        </w:rPr>
        <w:t>. Subject to the following provisions of this Section 4.2,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may elect to contribute from two percent (2%) to seventy-five percent (75%) of his Compensation to the Plan on an after-tax basis, in accordance with procedures and limitations established by the Administrator which shall be consistently applied and which may be changed from time to time. A Participant may prospectively elect to change or revoke the amount (or percentage) of his after-tax contributions during the Plan Year in accordance with procedures established by the Administrator. Notwithstanding the foregoing, for purposes of this Section 4.2, "Compensation" of a Participant who is a member of the United Steel, Paper and Forestry, Rubber, Manufacturing, Energy, Allied Industrial and Service Workers International Union Local 521, at Minteq International, Inc., Dover Ohio plant shall exclude any flat rate bonus paid to him during the Plan Year which is categorized on the Employer's payroll records as a "Dover Bonus."</w:t>
      </w:r>
    </w:p>
    <w:p>
      <w:pPr>
        <w:spacing w:after="0" w:line="204" w:lineRule="exact"/>
        <w:rPr>
          <w:rFonts w:ascii="Times New Roman" w:cs="Times New Roman" w:eastAsia="Times New Roman" w:hAnsi="Times New Roman"/>
          <w:sz w:val="22"/>
          <w:szCs w:val="22"/>
          <w:color w:val="auto"/>
        </w:rPr>
      </w:pPr>
    </w:p>
    <w:p>
      <w:pPr>
        <w:ind w:left="320" w:right="3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after-tax contributions shall be subject to the limitations under Section 10.3 and Section 11.1 and for any Participant the total elective deferrals made under Section 4.1 plus any after-tax contributions made under this Section 4.2 shall not exceed seventy-five percent (75%) of the Participant's Compensation for the Plan Year.</w:t>
      </w:r>
    </w:p>
    <w:p>
      <w:pPr>
        <w:spacing w:after="0" w:line="240" w:lineRule="exact"/>
        <w:rPr>
          <w:rFonts w:ascii="Times New Roman" w:cs="Times New Roman" w:eastAsia="Times New Roman" w:hAnsi="Times New Roman"/>
          <w:sz w:val="22"/>
          <w:szCs w:val="22"/>
          <w:color w:val="auto"/>
        </w:rPr>
      </w:pPr>
    </w:p>
    <w:p>
      <w:pPr>
        <w:ind w:left="320" w:right="140"/>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after-tax contributions made by a Participant shall be contributed by the Employer to the Plan and allocated to the portion of the Participant's Account consisting of after-tax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713105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100" w:name="page101"/>
    <w:bookmarkEnd w:id="100"/>
    <w:p>
      <w:pPr>
        <w:ind w:left="320" w:hanging="320"/>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Section 5.1 is amended by adding the following new subsection (f) to the end thereof.</w:t>
      </w:r>
    </w:p>
    <w:p>
      <w:pPr>
        <w:spacing w:after="0" w:line="229" w:lineRule="exact"/>
        <w:rPr>
          <w:rFonts w:ascii="Times New Roman" w:cs="Times New Roman" w:eastAsia="Times New Roman" w:hAnsi="Times New Roman"/>
          <w:sz w:val="22"/>
          <w:szCs w:val="22"/>
          <w:color w:val="auto"/>
        </w:rPr>
      </w:pPr>
    </w:p>
    <w:p>
      <w:pPr>
        <w:ind w:left="320" w:firstLine="4"/>
        <w:spacing w:after="0" w:line="235" w:lineRule="auto"/>
        <w:tabs>
          <w:tab w:leader="none" w:pos="96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Brokerage Account Fund</w:t>
      </w:r>
      <w:r>
        <w:rPr>
          <w:rFonts w:ascii="Times New Roman" w:cs="Times New Roman" w:eastAsia="Times New Roman" w:hAnsi="Times New Roman"/>
          <w:sz w:val="22"/>
          <w:szCs w:val="22"/>
          <w:color w:val="auto"/>
        </w:rPr>
        <w:t>. In addition to funds selected by the Committee, each Participant will have the option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elect a portion of their Account that will be transferred to a brokerage account fund, which will remain part of the Trust, though it may be invested in any permitted investment selected by such Participant in accordance with rules and procedures established from time to time by the Committee or its delegate and consistent with the Plan recordkeeper’s procedures, provided that (i) the Participant’s exercise of investment directions will be subject to such restrictions as the Committee or its delegate may impose from time to time, including, without limitation, restrictions on permitted forms of investment, minimum and maximum limits on amounts that may be invested, and limitations on the time, manner, and frequency of changes in investment directions; and (ii) any fees or expenses incurred as a result of the Participant’s investment directions or selection of the brokerage account may be assessed directly against the Participant’s Account.</w:t>
      </w:r>
    </w:p>
    <w:p>
      <w:pPr>
        <w:spacing w:after="0" w:line="204" w:lineRule="exact"/>
        <w:rPr>
          <w:rFonts w:ascii="Times New Roman" w:cs="Times New Roman" w:eastAsia="Times New Roman" w:hAnsi="Times New Roman"/>
          <w:sz w:val="22"/>
          <w:szCs w:val="22"/>
          <w:color w:val="auto"/>
        </w:rPr>
      </w:pPr>
    </w:p>
    <w:p>
      <w:pPr>
        <w:ind w:left="320" w:right="80" w:hanging="320"/>
        <w:spacing w:after="0" w:line="258" w:lineRule="auto"/>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Sections 7.1 and 7.2 are amended by adding “(effective March 1, 2025, $7,000)” immediately following “$5,000” each time that it appears.</w:t>
      </w:r>
    </w:p>
    <w:p>
      <w:pPr>
        <w:spacing w:after="0" w:line="185"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Section 7.2 is further amended by deleting the last paragraph thereof and replacing it with the following:</w:t>
      </w:r>
    </w:p>
    <w:p>
      <w:pPr>
        <w:spacing w:after="0" w:line="381" w:lineRule="exact"/>
        <w:rPr>
          <w:rFonts w:ascii="Times New Roman" w:cs="Times New Roman" w:eastAsia="Times New Roman" w:hAnsi="Times New Roman"/>
          <w:sz w:val="22"/>
          <w:szCs w:val="22"/>
          <w:color w:val="auto"/>
        </w:rPr>
      </w:pPr>
    </w:p>
    <w:p>
      <w:pPr>
        <w:ind w:left="320" w:right="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distribution of the Participant’s vested Account be made or commence later than the April 1st following the end of the calendar year in which the Participant attains age seventy and one-half (70½), or, except for a Participant who is a five percent (5%) owner of the Employer (within the meaning of Section 401(a)(9)(C) of the Code), if later, the April 1st following the calendar year in which the Participant retires from employment with the Employer (the “required beginning date”). Notwithstanding the foregoing, effective January 1, 2020, age seventy and one-half (70½) in the preceding sentence shall be replaced with age seventy-two (72) for Participants born after June 30, 1949 and before 1951; and effective January 1, 2023 age seventy-three (73) for participants born in 1951 through 1959, and age seventy-five (75) for Participants born after 1959.</w:t>
      </w:r>
    </w:p>
    <w:p>
      <w:pPr>
        <w:spacing w:after="0" w:line="205" w:lineRule="exact"/>
        <w:rPr>
          <w:rFonts w:ascii="Times New Roman" w:cs="Times New Roman" w:eastAsia="Times New Roman" w:hAnsi="Times New Roman"/>
          <w:sz w:val="22"/>
          <w:szCs w:val="22"/>
          <w:color w:val="auto"/>
        </w:rPr>
      </w:pPr>
    </w:p>
    <w:p>
      <w:pPr>
        <w:ind w:left="320" w:right="740" w:hanging="320"/>
        <w:spacing w:after="0" w:line="258" w:lineRule="auto"/>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June 15, 2025, the penultimate paragraph in Section 8.1 of the Plan is hereby deleted and replaced with the following:</w:t>
      </w:r>
    </w:p>
    <w:p>
      <w:pPr>
        <w:spacing w:after="0" w:line="185" w:lineRule="exact"/>
        <w:rPr>
          <w:rFonts w:ascii="Times New Roman" w:cs="Times New Roman" w:eastAsia="Times New Roman" w:hAnsi="Times New Roman"/>
          <w:sz w:val="22"/>
          <w:szCs w:val="22"/>
          <w:color w:val="auto"/>
        </w:rPr>
      </w:pPr>
    </w:p>
    <w:p>
      <w:pPr>
        <w:ind w:left="320" w:right="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terminates employment while any loan balance is outstanding, the Participant may repay and/or prepay such unpaid balance, and any interest due thereon, in accordance with the loan amortization schedule and any uniform terms and conditions imposed by the Committee or its delegate. In addition, any outstanding loan may, under certain circumstances, be rolled over to a qualified plan. Any such rollover, if permitted,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50800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11" w:right="419" w:bottom="1440" w:gutter="0" w:footer="0" w:header="0"/>
        </w:sectPr>
      </w:pPr>
    </w:p>
    <w:bookmarkStart w:id="101" w:name="page102"/>
    <w:bookmarkEnd w:id="101"/>
    <w:p>
      <w:pPr>
        <w:ind w:left="340"/>
        <w:spacing w:after="0" w:line="244" w:lineRule="auto"/>
        <w:rPr>
          <w:sz w:val="20"/>
          <w:szCs w:val="20"/>
          <w:color w:val="auto"/>
        </w:rPr>
      </w:pPr>
      <w:r>
        <w:rPr>
          <w:rFonts w:ascii="Times New Roman" w:cs="Times New Roman" w:eastAsia="Times New Roman" w:hAnsi="Times New Roman"/>
          <w:sz w:val="22"/>
          <w:szCs w:val="22"/>
          <w:color w:val="auto"/>
        </w:rPr>
        <w:t>made in accordance with rules and procedures established by the Administrator. If such amount is not paid to the Plan, it shall be charged against the amounts that are otherwise payable to the Participant or the Participant's Beneficiary under the provisions of the Plan.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Employer, by its duly authorized officer, has caused this Amendment to be executed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____December 31, 2025___________________________.</w:t>
      </w: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MINERALS TECHNOLOGIES INC.</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 Erin N. Cutler</w:t>
      </w:r>
      <w:r>
        <w:rPr>
          <w:rFonts w:ascii="Times New Roman" w:cs="Times New Roman" w:eastAsia="Times New Roman" w:hAnsi="Times New Roman"/>
          <w:sz w:val="22"/>
          <w:szCs w:val="22"/>
          <w:color w:val="auto"/>
        </w:rPr>
        <w:t>___________________________</w:t>
      </w:r>
    </w:p>
    <w:p>
      <w:pPr>
        <w:sectPr>
          <w:pgSz w:w="11900" w:h="16838" w:orient="portrait"/>
          <w:cols w:equalWidth="0" w:num="1">
            <w:col w:w="10940"/>
          </w:cols>
          <w:pgMar w:left="320" w:top="111" w:right="6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432"/>
        </w:trPr>
        <w:tc>
          <w:tcPr>
            <w:tcW w:w="8100" w:type="dxa"/>
            <w:vAlign w:val="bottom"/>
            <w:gridSpan w:val="2"/>
          </w:tcPr>
          <w:p>
            <w:pPr>
              <w:ind w:left="414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140" w:type="dxa"/>
            <w:vAlign w:val="bottom"/>
          </w:tcPr>
          <w:p>
            <w:pPr>
              <w:spacing w:after="0"/>
              <w:rPr>
                <w:sz w:val="24"/>
                <w:szCs w:val="24"/>
                <w:color w:val="auto"/>
              </w:rPr>
            </w:pPr>
          </w:p>
        </w:tc>
      </w:tr>
      <w:tr>
        <w:trPr>
          <w:trHeight w:val="459"/>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the Company</w:t>
            </w: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ADAE, Cetco Sp. Z o.o., s.k.a. (Short Name: ADAE SKA)</w:t>
            </w:r>
          </w:p>
        </w:tc>
        <w:tc>
          <w:tcPr>
            <w:tcW w:w="2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Australia Pty.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Dongming Industrial Minerals Company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Health &amp; Beauty Solutions, Incorporated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(Holdings)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International B.V.</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International Corporation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International Holdings Corporation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International (Thailand)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Korea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Korea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Mauritius</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Mauritius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Minchem Jianping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Mineral Madencilik Sanayi ve Ticaret A.S. (Turkey)</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Minerals EU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Minerals Europe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Minerals and Materials (India) Private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AMCOL (Tianjin) Industrial Minerals Company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AMCOL de México, S.A., de C.V.</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Colloid Company</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Ameri-Co Carriers,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Ameri-Co Logistics, Inc.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Animal Care Trading B.V.</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 China Specialty Minerals Pte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ASMAS Agir Sanayi Malzemeleri Imal ve Tic. A.S. (has branch office in Bahrain).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BMI Oldco (f/k/a Barretts Minerals Inc.)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Barretts Ventures Texas LLC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Beihai Minerals Environmental Technology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CCS, Cetco Sp. Z o.o., s.k.a.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do Brasil Serviços E Produtos Minerais E De Meio-Ambiente Ltda.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Energy Services Company LLC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Energy Services de México, S.A. de C.V.</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Energy Services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Energy Services (Malaysia) Sdn. Bhd.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(Europe)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Germany GmbH</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Iberia S.L.</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Iberia Construcciones y Servicios S.L.</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Lining Technologies India Private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Oilfield Services Asia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Oilfield Services Company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Oilfield Services Company Nigeria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Oilfield Services Pty.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Poland, Cetco Sp. Zo.o. S.K.A. (aka CETCO Poland)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CETCO Sp. Zo.o.</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CETCO Technologies (Suzhou) Co., Ltd. (China)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Colloid Environmental Technologies Company LLC (Has a branch in Canada)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97"/>
        </w:trPr>
        <w:tc>
          <w:tcPr>
            <w:tcW w:w="7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the Company</w:t>
            </w: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Comercializadora y Exportadora CETCO Latino América Limitada (aka CVE CETCO Latino America)</w:t>
            </w:r>
          </w:p>
        </w:tc>
        <w:tc>
          <w:tcPr>
            <w:tcW w:w="2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CONCEPT PET Heimtierprodukte GmbH</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 Employment Services de México, S.A. de C.V.</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Double A Specialty Minerals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Lun Calcium (Zhenjiang)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Sheng Calcium (Zhenjiang)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Zuan Chemicals (Suzhou)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 Roof Insurance Co LLC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GW North Manufacturing Inc.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 North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Hi-Tech Specialty Minerals Company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Hubei Minerals Enviromental Technology Co., Ltd.</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0"/>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Minerals Technologies do Brasil Comercio é Industria de Minerais Ltda.</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Minerals Technologies Europe S.A. (has branch office in France)</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Minerals Technologies Holding China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Minerals Technologies Holdings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Minerals Technologies Holdings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Minerals Technologies India Private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Minerals Technologies Investments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Minerals Technologies (Jinzhou)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Minerals Technologies South Africa (Pty)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Mintech Canada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Mintech Japan K.K.</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Minteq Australia Pty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Minteq B.V.</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Minteq Europe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Minteq International GmbH (has branch office in Schongau)</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Minteq International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Minteq International (Suzhou)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Minteq Italiana S.p.A.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Minteq Magnesite Limited (has a branch office in Spain)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Minteq Shapes and Services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Minteq UK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Montana Minerals Development Company</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Montana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MTI Bermuda L.P.</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MTI Holding Singapore Pte.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MTI Holdco I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MTI Netherlands B.V.</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MTI Technologies UK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MTI Ventures B.V.</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MTI Ventures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MTX Singapore Holdings Pte.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Nanocor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Normerica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Normerica International Corporation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Normerica Realty Corporation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Normerica (Thailand)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Northdown Industries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 Holding GmbH</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CETCO Oilfield Services Indonesia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Sinar Mas Specialty Minerals</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Rayagada Minerals &amp; Chemicals Private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REGOS s.r.o.</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REGOS Geo, s.r.o.</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ROMIN SLOVAKIA, spol. s.r.o.</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115"/>
        </w:trPr>
        <w:tc>
          <w:tcPr>
            <w:tcW w:w="7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3"/>
        </w:trPr>
        <w:tc>
          <w:tcPr>
            <w:tcW w:w="8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the Company</w:t>
            </w:r>
          </w:p>
        </w:tc>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8"/>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Shouguang Minerals Environmental Technology Co., Ltd</w:t>
            </w:r>
          </w:p>
        </w:tc>
        <w:tc>
          <w:tcPr>
            <w:tcW w:w="2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w:t>
            </w:r>
          </w:p>
        </w:tc>
      </w:tr>
      <w:tr>
        <w:trPr>
          <w:trHeight w:val="198"/>
        </w:trPr>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Sivomatic B.V.</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Sivomatic GmbH</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Sivomatic GmbH</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Sivomatic Holding, B.V.</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Sivomatic Immovables B.V.</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Sivomatic Italia</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Sivomatic Madencilik A.S.</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4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Sivomatic Mining B.V.</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SMI NewQuest India Private Limited</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0"/>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SMI Poland Sp. z o.o.</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Bangladesh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Bangladesh</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(Beihai)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(Changshan) Environmental Technology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(Changshu)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do Brasil Participacoes Ltda.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FMT K.K.</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France S.A.S.</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Inc.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India Holding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India Private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International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Malaysia Sdn. Bhd.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(Michigan) Inc.</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Nordic Oy Ab</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(Portugal) Especialidades Minerais, S.A.</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(Rugao)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Slovakia, spol. sr.o.</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South Africa (Pty) Limited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(Thailand)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(Wuzhi)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Minerals (Yanzhou)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Minerals (Zhumadian) Environmental Technology Co., Ltd.</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 An Minerals Environmental Technology Co., Ltd.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Volcay International LLC</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Volclay South Africa (Proprietary) Limited</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Volclay Trading Co.</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r>
    </w:tbl>
    <w:p>
      <w:pPr>
        <w:sectPr>
          <w:pgSz w:w="11900" w:h="16838" w:orient="portrait"/>
          <w:cols w:equalWidth="0" w:num="1">
            <w:col w:w="11240"/>
          </w:cols>
          <w:pgMar w:left="320" w:top="12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(Nos. 33-59080, 333-62739, 333-138245, 333-160002, 333-206244, 333-249761, and 333-282854) on Form S-8 of our reports dated February 20, 2026, with respect to the consolidated financial statements of Minerals Technologies Inc. and subsidiaries and the effectiveness of internal control over financial reporting.</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KPMG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20, 2026</w:t>
      </w:r>
    </w:p>
    <w:p>
      <w:pPr>
        <w:sectPr>
          <w:pgSz w:w="11900" w:h="16838" w:orient="portrait"/>
          <w:cols w:equalWidth="0" w:num="1">
            <w:col w:w="11240"/>
          </w:cols>
          <w:pgMar w:left="320" w:top="10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43" w:lineRule="exact"/>
        <w:rPr>
          <w:sz w:val="20"/>
          <w:szCs w:val="20"/>
          <w:color w:val="auto"/>
        </w:rPr>
      </w:pPr>
    </w:p>
    <w:p>
      <w:pPr>
        <w:jc w:val="center"/>
        <w:ind w:left="340" w:right="2540"/>
        <w:spacing w:after="0" w:line="268" w:lineRule="auto"/>
        <w:rPr>
          <w:sz w:val="20"/>
          <w:szCs w:val="20"/>
          <w:color w:val="auto"/>
        </w:rPr>
      </w:pPr>
      <w:r>
        <w:rPr>
          <w:rFonts w:ascii="Times New Roman" w:cs="Times New Roman" w:eastAsia="Times New Roman" w:hAnsi="Times New Roman"/>
          <w:sz w:val="18"/>
          <w:szCs w:val="18"/>
          <w:b w:val="1"/>
          <w:bCs w:val="1"/>
          <w:color w:val="auto"/>
        </w:rPr>
        <w:t>POWER OF ATTORNEY WITH RESPECT TO ANNUAL REPORT OF MINERALS TECHNOLOGIES INC. ON FORM 10-K FOR THE YEAR ENDED DECEMBER 31, 2025</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of the undersigned, a director of Minerals Technologies Inc. (the “Company”), appoints each of T.J. Jordan, E. Aldag, and A.K. Sudnik, or any one of them, his or her true and lawful attorney and agent to do any and all acts and things and execute any and all instruments which the attorney and agent may deem necessary or advisable in order to enable the Company to comply with the Securities Exchange Act of 1934, and any requirements of the Securities and Exchange Commission, in connection with the filing of the Company’s Annual Report on Form 10-K for the year ended December 31, 2025,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have executed this Consent as of the 20th day of February,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Joseph C. Breunig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Joseph C. Breunig</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John J. Carmola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John J. Carmola</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Robert L. Clark</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Alison A. Deans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Alison A. Deans</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Franklin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Franklin Feder</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Kristina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Kristina Johnson</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Rocky Motwani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Rocky Motwani</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Carolyn K. Pittman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Carolyn K. Pittman</w:t>
      </w:r>
    </w:p>
    <w:p>
      <w:pPr>
        <w:spacing w:after="0" w:line="22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Marc 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14230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 E. Robinson</w:t>
      </w:r>
    </w:p>
    <w:p>
      <w:pPr>
        <w:sectPr>
          <w:pgSz w:w="11900" w:h="16838" w:orient="portrait"/>
          <w:cols w:equalWidth="0" w:num="1">
            <w:col w:w="11240"/>
          </w:cols>
          <w:pgMar w:left="320" w:top="108" w:right="339" w:bottom="1440" w:gutter="0" w:footer="0" w:header="0"/>
        </w:sectPr>
      </w:pPr>
    </w:p>
    <w:bookmarkStart w:id="107" w:name="page108"/>
    <w:bookmarkEnd w:id="107"/>
    <w:p>
      <w:pPr>
        <w:ind w:left="9880"/>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 13a-14(a)/15d-14(a) 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Douglas T. Dietrich, certify that:</w:t>
      </w:r>
    </w:p>
    <w:p>
      <w:pPr>
        <w:spacing w:after="0" w:line="233"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Minerals Technologies Inc.;</w:t>
      </w:r>
    </w:p>
    <w:p>
      <w:pPr>
        <w:spacing w:after="0" w:line="233"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61" w:lineRule="auto"/>
        <w:tabs>
          <w:tab w:leader="none" w:pos="66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60" w:hanging="328"/>
        <w:spacing w:after="0" w:line="244" w:lineRule="auto"/>
        <w:tabs>
          <w:tab w:leader="none" w:pos="6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20, 2026</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21342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 w:right="339" w:bottom="1440" w:gutter="0" w:footer="0" w:header="0"/>
        </w:sectPr>
      </w:pPr>
    </w:p>
    <w:bookmarkStart w:id="108" w:name="page109"/>
    <w:bookmarkEnd w:id="108"/>
    <w:p>
      <w:pPr>
        <w:ind w:left="9880"/>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 13a-14(a)/15d-14(a) CERTIFICATION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Erik C. Aldag, certify that:</w:t>
      </w:r>
    </w:p>
    <w:p>
      <w:pPr>
        <w:spacing w:after="0" w:line="23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 of Minerals Technologies Inc.;</w:t>
      </w:r>
    </w:p>
    <w:p>
      <w:pPr>
        <w:spacing w:after="0" w:line="233"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61" w:lineRule="auto"/>
        <w:tabs>
          <w:tab w:leader="none" w:pos="66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21"/>
          <w:szCs w:val="21"/>
          <w:color w:val="auto"/>
        </w:rPr>
      </w:pPr>
    </w:p>
    <w:p>
      <w:pPr>
        <w:jc w:val="both"/>
        <w:ind w:left="660" w:hanging="328"/>
        <w:spacing w:after="0" w:line="244" w:lineRule="auto"/>
        <w:tabs>
          <w:tab w:leader="none" w:pos="6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(the registrant’s fourth fiscal quarter in the case of an annual report)</w:t>
      </w:r>
    </w:p>
    <w:p>
      <w:pPr>
        <w:spacing w:after="0" w:line="200"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20, 2026</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 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21342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Erik C. Aldag</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 Finance and Treasury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1350 CERTIFICATION</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Section 906 of the Sarbanes-Oxley Act of 2002 (subsections (a) and (b) of Section 1350 of Chapter 63 of Title 18, United States Code), each of the undersigned officers of Minerals Technologies Inc., a Delaware corporation (the "Company"), does hereby certify that:</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Annual Report on Form 10-K for the year ended December 31,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20, 2026</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 Douglas T.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21342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Douglas T. Dietrich</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20, 2026</w:t>
      </w: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 Erik C. Aldag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21342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Erik C. Aldag</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President-Finance and Treasury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Exchange Act Rule 13a-14(b); is not deemed to be "filed" for purposes of Section 18 of the Securities Exchange Act of 1934, or otherwise subject to the liability of that section; and is not deemed to be incorporated by reference into any filing under the Securities Act of 1933 or the Exchange Act of 1934.</w:t>
      </w:r>
    </w:p>
    <w:p>
      <w:pPr>
        <w:sectPr>
          <w:pgSz w:w="11900" w:h="16838" w:orient="portrait"/>
          <w:cols w:equalWidth="0" w:num="1">
            <w:col w:w="11240"/>
          </w:cols>
          <w:pgMar w:left="320" w:top="108" w:right="339" w:bottom="1440" w:gutter="0" w:footer="0" w:header="0"/>
        </w:sectPr>
      </w:pPr>
    </w:p>
    <w:bookmarkStart w:id="110" w:name="page111"/>
    <w:bookmarkEnd w:id="110"/>
    <w:p>
      <w:pPr>
        <w:ind w:left="10280"/>
        <w:spacing w:after="0"/>
        <w:rPr>
          <w:sz w:val="20"/>
          <w:szCs w:val="20"/>
          <w:color w:val="auto"/>
        </w:rPr>
      </w:pPr>
      <w:r>
        <w:rPr>
          <w:rFonts w:ascii="Times New Roman" w:cs="Times New Roman" w:eastAsia="Times New Roman" w:hAnsi="Times New Roman"/>
          <w:sz w:val="21"/>
          <w:szCs w:val="21"/>
          <w:b w:val="1"/>
          <w:bCs w:val="1"/>
          <w:color w:val="auto"/>
        </w:rPr>
        <w:t>Exhibit 95</w:t>
      </w: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Section 1503 of the Dodd-Frank Wall Street Reform and Consumer Protection Act and Item 104 of Regulation S-K contain certain reporting requirements regarding coal or other mine safety. The Company, through its subsidiaries Specialty Minerals Inc. and American Colloid Company, operates twelve mines in the United States. The operation of our mines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sets forth the required information with respect to each mine for which we are the operator for the period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1, 2025, to December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Section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080" w:type="dxa"/>
            <w:vAlign w:val="bottom"/>
          </w:tcPr>
          <w:p>
            <w:pPr>
              <w:spacing w:after="0"/>
              <w:rPr>
                <w:sz w:val="18"/>
                <w:szCs w:val="18"/>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w:t>
            </w:r>
          </w:p>
        </w:tc>
        <w:tc>
          <w:tcPr>
            <w:tcW w:w="1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104(a) S&amp;S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104(b)</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110(b)(2)</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107(a)</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Fatalities</w:t>
            </w:r>
          </w:p>
        </w:tc>
      </w:tr>
      <w:tr>
        <w:trPr>
          <w:trHeight w:val="210"/>
        </w:trPr>
        <w:tc>
          <w:tcPr>
            <w:tcW w:w="26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5"/>
              </w:rPr>
              <w:t>(A)</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Lucerne Valley, CA</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04-00219</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8</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$7,129</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Canaan, CT</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06-00019</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6</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$24,031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Adams, MA</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19-00035</w:t>
            </w:r>
          </w:p>
        </w:tc>
        <w:tc>
          <w:tcPr>
            <w:tcW w:w="190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15</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$30,343</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Belle/Colony Mine, WY</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48-00888</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$3,927</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Belle Fourche Mill, SD</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39-00049</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Colony East, WY</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48-00594</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$819</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Colony West, WY</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48-00245</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$944</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Gascoyne, ND</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32-00459</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4</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$3,182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Lovell, WY</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48-00057</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$354</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Sandy Ridge, AL</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01-00093</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$662</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Yellowtail, WY</w:t>
            </w:r>
          </w:p>
        </w:tc>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2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48-00607</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88"/>
              </w:rPr>
              <w:t>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2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Ste. Genevieve, MO</w:t>
            </w:r>
          </w:p>
        </w:tc>
        <w:tc>
          <w:tcPr>
            <w:tcW w:w="1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23-02564</w:t>
            </w:r>
          </w:p>
        </w:tc>
        <w:tc>
          <w:tcPr>
            <w:tcW w:w="19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59" w:lineRule="exact"/>
        <w:rPr>
          <w:sz w:val="20"/>
          <w:szCs w:val="20"/>
          <w:color w:val="auto"/>
        </w:rPr>
      </w:pPr>
    </w:p>
    <w:p>
      <w:pPr>
        <w:jc w:val="both"/>
        <w:ind w:left="500" w:hanging="492"/>
        <w:spacing w:after="0" w:line="244" w:lineRule="auto"/>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violations of mandatory health or safety standards that could significantly and substantially contribute to the cause and effect of a mine safety or health hazard under section 104 of the Mine Act for which we received a citation from MSHA.</w:t>
      </w:r>
    </w:p>
    <w:p>
      <w:pPr>
        <w:spacing w:after="0" w:line="200"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orders issued under section 104(b) of the Mine Act.</w:t>
      </w:r>
    </w:p>
    <w:p>
      <w:pPr>
        <w:spacing w:after="0" w:line="233" w:lineRule="exact"/>
        <w:rPr>
          <w:rFonts w:ascii="Times New Roman" w:cs="Times New Roman" w:eastAsia="Times New Roman" w:hAnsi="Times New Roman"/>
          <w:sz w:val="22"/>
          <w:szCs w:val="22"/>
          <w:color w:val="auto"/>
        </w:rPr>
      </w:pPr>
    </w:p>
    <w:p>
      <w:pPr>
        <w:ind w:left="500" w:hanging="492"/>
        <w:spacing w:after="0" w:line="258" w:lineRule="auto"/>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citations and orders for unwarrantable failure of the Company to comply with mandatory health or safety standards under section 104(d) of the Mine Act.</w:t>
      </w:r>
    </w:p>
    <w:p>
      <w:pPr>
        <w:spacing w:after="0" w:line="185"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flagrant violations under section 110(b)(2) of the Mine Act.</w:t>
      </w:r>
    </w:p>
    <w:p>
      <w:pPr>
        <w:spacing w:after="0" w:line="23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imminent danger orders issued under section 107(a) of the Mine Act.</w:t>
      </w:r>
    </w:p>
    <w:p>
      <w:pPr>
        <w:spacing w:after="0" w:line="23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dollar value of proposed assessments from MSHA under the Mine Act.</w:t>
      </w:r>
    </w:p>
    <w:p>
      <w:pPr>
        <w:spacing w:after="0" w:line="23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total number of mining-related fatalities, other than fatalities determined by MSHA to be unrelated to mining activity.</w:t>
      </w:r>
    </w:p>
    <w:p>
      <w:pPr>
        <w:sectPr>
          <w:pgSz w:w="11900" w:h="16838" w:orient="portrait"/>
          <w:cols w:equalWidth="0" w:num="1">
            <w:col w:w="11240"/>
          </w:cols>
          <w:pgMar w:left="320" w:top="108" w:right="339" w:bottom="1440" w:gutter="0" w:footer="0" w:header="0"/>
        </w:sectPr>
      </w:pPr>
    </w:p>
    <w:bookmarkStart w:id="111" w:name="page112"/>
    <w:bookmarkEnd w:id="111"/>
    <w:p>
      <w:pPr>
        <w:jc w:val="both"/>
        <w:spacing w:after="0" w:line="239" w:lineRule="auto"/>
        <w:rPr>
          <w:sz w:val="20"/>
          <w:szCs w:val="20"/>
          <w:color w:val="auto"/>
        </w:rPr>
      </w:pPr>
      <w:r>
        <w:rPr>
          <w:rFonts w:ascii="Times New Roman" w:cs="Times New Roman" w:eastAsia="Times New Roman" w:hAnsi="Times New Roman"/>
          <w:sz w:val="22"/>
          <w:szCs w:val="22"/>
          <w:color w:val="auto"/>
        </w:rPr>
        <w:t>During the period of January 1, 2025, to December 31, 2025, we did not receive any written notice from MSHA, with respect to any mine for which we are the operator, of (A) a pattern of violations of mandatory health or safety standards that are of such nature as could have significantly and substantially contributed to the cause and effect of mine health and safety hazards under section 104(e) of the Mine Act or (B) the potential to have such a pattern.</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required information with respect to legal actions before the Federal Mine Safety and Health Review Commission involving each mine for which we are the operator for the period January 1, 2025, to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3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Legal Actions Pending As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Legal Actions Initiated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Legal Actions Resolved</w:t>
            </w:r>
          </w:p>
        </w:tc>
      </w:tr>
      <w:tr>
        <w:trPr>
          <w:trHeight w:val="234"/>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Of Last Day Of Period</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During Period</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During Period</w:t>
            </w:r>
          </w:p>
        </w:tc>
      </w:tr>
      <w:tr>
        <w:trPr>
          <w:trHeight w:val="209"/>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Lucerne Valley, CA</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Canaan, CT</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Adams, MA</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09"/>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Belle/Colony Mine, WY</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Belle Fourche Mill, SD</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Colony East, WY</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Colony West, WY</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Gascoyne, ND</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Lovell, WY</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Sandy Ridge, AL</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Yellowtail, WY</w:t>
            </w:r>
          </w:p>
        </w:tc>
        <w:tc>
          <w:tcPr>
            <w:tcW w:w="3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09"/>
        </w:trPr>
        <w:tc>
          <w:tcPr>
            <w:tcW w:w="3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 Genevieve, MO</w:t>
            </w:r>
          </w:p>
        </w:tc>
        <w:tc>
          <w:tcPr>
            <w:tcW w:w="35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88"/>
              </w:rPr>
              <w:t>0</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 w:lineRule="exact"/>
        <w:rPr>
          <w:sz w:val="20"/>
          <w:szCs w:val="20"/>
          <w:color w:val="auto"/>
        </w:rPr>
      </w:pPr>
    </w:p>
    <w:sectPr>
      <w:pgSz w:w="11900" w:h="16838" w:orient="portrait"/>
      <w:cols w:equalWidth="0" w:num="1">
        <w:col w:w="11240"/>
      </w:cols>
      <w:pgMar w:left="320" w:top="2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emdash "/>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endash "/>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9"/>
    </w:lvl>
  </w:abstractNum>
  <w:abstractNum w:abstractNumId="10">
    <w:nsid w:val="519B500D"/>
    <w:multiLevelType w:val="hybridMultilevel"/>
    <w:lvl w:ilvl="0">
      <w:lvlJc w:val="left"/>
      <w:lvlText w:val="%1"/>
      <w:numFmt w:val="decimal"/>
      <w:start w:val="24"/>
    </w:lvl>
  </w:abstractNum>
  <w:abstractNum w:abstractNumId="11">
    <w:nsid w:val="431BD7B7"/>
    <w:multiLevelType w:val="hybridMultilevel"/>
    <w:lvl w:ilvl="0">
      <w:lvlJc w:val="left"/>
      <w:lvlText w:val="%1"/>
      <w:numFmt w:val="decimal"/>
      <w:start w:val="32"/>
    </w:lvl>
  </w:abstractNum>
  <w:abstractNum w:abstractNumId="12">
    <w:nsid w:val="3F2DBA31"/>
    <w:multiLevelType w:val="hybridMultilevel"/>
    <w:lvl w:ilvl="0">
      <w:lvlJc w:val="left"/>
      <w:lvlText w:val="%1"/>
      <w:numFmt w:val="decimal"/>
      <w:start w:val="95"/>
    </w:lvl>
  </w:abstractNum>
  <w:abstractNum w:abstractNumId="13">
    <w:nsid w:val="7C83E458"/>
    <w:multiLevelType w:val="hybridMultilevel"/>
    <w:lvl w:ilvl="0">
      <w:lvlJc w:val="left"/>
      <w:lvlText w:val="%1"/>
      <w:numFmt w:val="decimal"/>
      <w:start w:val="97"/>
    </w:lvl>
  </w:abstractNum>
  <w:abstractNum w:abstractNumId="14">
    <w:nsid w:val="257130A3"/>
    <w:multiLevelType w:val="hybridMultilevel"/>
    <w:lvl w:ilvl="0">
      <w:lvlJc w:val="left"/>
      <w:lvlText w:val="(*)"/>
      <w:numFmt w:val="bullet"/>
      <w:start w:val="1"/>
    </w:lvl>
    <w:lvl w:ilvl="1">
      <w:lvlJc w:val="left"/>
      <w:lvlText w:val="%2"/>
      <w:numFmt w:val="decimal"/>
      <w:start w:val="104"/>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4"/>
    </w:lvl>
    <w:lvl w:ilvl="1">
      <w:lvlJc w:val="left"/>
      <w:lvlText w:val="(%2)"/>
      <w:numFmt w:val="lowerLetter"/>
      <w:start w:val="6"/>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6" Type="http://schemas.openxmlformats.org/officeDocument/2006/relationships/image" Target="media/image83.png"/><Relationship Id="rId98" Type="http://schemas.openxmlformats.org/officeDocument/2006/relationships/image" Target="media/image84.png"/><Relationship Id="rId101" Type="http://schemas.openxmlformats.org/officeDocument/2006/relationships/image" Target="media/image85.png"/><Relationship Id="rId104" Type="http://schemas.openxmlformats.org/officeDocument/2006/relationships/image" Target="media/image86.png"/><Relationship Id="rId107" Type="http://schemas.openxmlformats.org/officeDocument/2006/relationships/image" Target="media/image87.png"/><Relationship Id="rId110" Type="http://schemas.openxmlformats.org/officeDocument/2006/relationships/image" Target="media/image88.png"/><Relationship Id="rId113" Type="http://schemas.openxmlformats.org/officeDocument/2006/relationships/image" Target="media/image89.png"/><Relationship Id="rId116" Type="http://schemas.openxmlformats.org/officeDocument/2006/relationships/image" Target="media/image90.png"/><Relationship Id="rId119" Type="http://schemas.openxmlformats.org/officeDocument/2006/relationships/image" Target="media/image91.png"/><Relationship Id="rId122" Type="http://schemas.openxmlformats.org/officeDocument/2006/relationships/image" Target="media/image92.png"/><Relationship Id="rId124" Type="http://schemas.openxmlformats.org/officeDocument/2006/relationships/image" Target="media/image93.png"/><Relationship Id="rId126" Type="http://schemas.openxmlformats.org/officeDocument/2006/relationships/image" Target="media/image94.png"/><Relationship Id="rId129" Type="http://schemas.openxmlformats.org/officeDocument/2006/relationships/image" Target="media/image95.png"/><Relationship Id="rId132" Type="http://schemas.openxmlformats.org/officeDocument/2006/relationships/image" Target="media/image96.png"/><Relationship Id="rId135" Type="http://schemas.openxmlformats.org/officeDocument/2006/relationships/image" Target="media/image97.png"/><Relationship Id="rId137" Type="http://schemas.openxmlformats.org/officeDocument/2006/relationships/image" Target="media/image98.png"/><Relationship Id="rId140" Type="http://schemas.openxmlformats.org/officeDocument/2006/relationships/image" Target="media/image99.png"/><Relationship Id="rId143" Type="http://schemas.openxmlformats.org/officeDocument/2006/relationships/image" Target="media/image100.png"/><Relationship Id="rId146" Type="http://schemas.openxmlformats.org/officeDocument/2006/relationships/image" Target="media/image101.png"/><Relationship Id="rId149" Type="http://schemas.openxmlformats.org/officeDocument/2006/relationships/image" Target="media/image102.png"/><Relationship Id="rId152" Type="http://schemas.openxmlformats.org/officeDocument/2006/relationships/image" Target="media/image103.png"/><Relationship Id="rId154" Type="http://schemas.openxmlformats.org/officeDocument/2006/relationships/image" Target="media/image104.png"/><Relationship Id="rId156"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89" Type="http://schemas.openxmlformats.org/officeDocument/2006/relationships/hyperlink" Target="http://www.sec.gov/Archives/edgar/data/891014/000089101404000073/ex3-1incorpcert.htm" TargetMode="External"/><Relationship Id="rId90" Type="http://schemas.openxmlformats.org/officeDocument/2006/relationships/hyperlink" Target="http://www.sec.gov/Archives/edgar/data/891014/000089101417000017/ex3_1.htm" TargetMode="External"/><Relationship Id="rId91" Type="http://schemas.openxmlformats.org/officeDocument/2006/relationships/hyperlink" Target="http://www.sec.gov/Archives/edgar/data/891014/000089101404000073/ex4-1stock.htm" TargetMode="External"/><Relationship Id="rId92" Type="http://schemas.openxmlformats.org/officeDocument/2006/relationships/hyperlink" Target="https://www.sec.gov/Archives/edgar/data/891014/000089101420000010/exhibit4_2.htm" TargetMode="External"/><Relationship Id="rId93" Type="http://schemas.openxmlformats.org/officeDocument/2006/relationships/hyperlink" Target="https://www.sec.gov/Archives/edgar/data/891014/000119312520184016/d917738dex41.htm" TargetMode="External"/><Relationship Id="rId95" Type="http://schemas.openxmlformats.org/officeDocument/2006/relationships/hyperlink" Target="http://www.sec.gov/Archives/edgar/data/891014/000089101416000040/ex10_1.htm" TargetMode="External"/><Relationship Id="rId97" Type="http://schemas.openxmlformats.org/officeDocument/2006/relationships/hyperlink" Target="https://www.sec.gov/Archives/edgar/data/891014/000089101421000020/ex10_1.htm" TargetMode="External"/><Relationship Id="rId99" Type="http://schemas.openxmlformats.org/officeDocument/2006/relationships/hyperlink" Target="http://www.sec.gov/Archives/edgar/data/891014/000114036117008053/ex10_6.htm" TargetMode="External"/><Relationship Id="rId100" Type="http://schemas.openxmlformats.org/officeDocument/2006/relationships/hyperlink" Target="http://www.sec.gov/Archives/edgar/data/891014/000089101416000040/ex10_2.htm" TargetMode="External"/><Relationship Id="rId102" Type="http://schemas.openxmlformats.org/officeDocument/2006/relationships/hyperlink" Target="https://www.sec.gov/Archives/edgar/data/891014/000089101421000020/ex10_2.htm" TargetMode="External"/><Relationship Id="rId103" Type="http://schemas.openxmlformats.org/officeDocument/2006/relationships/hyperlink" Target="http://www.sec.gov/Archives/edgar/data/891014/000114036117008053/ex10_8.htm" TargetMode="External"/><Relationship Id="rId105" Type="http://schemas.openxmlformats.org/officeDocument/2006/relationships/hyperlink" Target="http://www.sec.gov/Archives/edgar/data/891014/000089101409000048/frm8k05-09.htm" TargetMode="External"/><Relationship Id="rId106" Type="http://schemas.openxmlformats.org/officeDocument/2006/relationships/hyperlink" Target="http://www.sec.gov/Archives/edgar/data/891014/000089101408000063/exh10-1.htm" TargetMode="External"/><Relationship Id="rId108" Type="http://schemas.openxmlformats.org/officeDocument/2006/relationships/hyperlink" Target="http://www.sec.gov/Archives/edgar/data/891014/000089101412000009/ex10-11a.htm" TargetMode="External"/><Relationship Id="rId109" Type="http://schemas.openxmlformats.org/officeDocument/2006/relationships/hyperlink" Target="https://www.sec.gov/Archives/edgar/data/891014/000114036124018018/ny20019194x1_def14a.htm#tAPPB" TargetMode="External"/><Relationship Id="rId111" Type="http://schemas.openxmlformats.org/officeDocument/2006/relationships/hyperlink" Target="https://www.sec.gov/Archives/edgar/data/891014/000089101420000010/exhibit10_12a.htm" TargetMode="External"/><Relationship Id="rId112" Type="http://schemas.openxmlformats.org/officeDocument/2006/relationships/hyperlink" Target="https://www.sec.gov/Archives/edgar/data/891014/000089101420000010/exhibit10_12b.htm" TargetMode="External"/><Relationship Id="rId114" Type="http://schemas.openxmlformats.org/officeDocument/2006/relationships/hyperlink" Target="https://www.sec.gov/Archives/edgar/data/891014/000089101421000011/exhibit10_13.htm" TargetMode="External"/><Relationship Id="rId115" Type="http://schemas.openxmlformats.org/officeDocument/2006/relationships/hyperlink" Target="http://www.sec.gov/Archives/edgar/data/891014/000089101410000009/ex10-13.htm" TargetMode="External"/><Relationship Id="rId117" Type="http://schemas.openxmlformats.org/officeDocument/2006/relationships/hyperlink" Target="http://www.sec.gov/Archives/edgar/data/891014/000114036115007848/ex10_14a.htm" TargetMode="External"/><Relationship Id="rId118" Type="http://schemas.openxmlformats.org/officeDocument/2006/relationships/hyperlink" Target="https://www.sec.gov/Archives/edgar/data/891014/000089101420000010/exhibit10_14b.htm" TargetMode="External"/><Relationship Id="rId120" Type="http://schemas.openxmlformats.org/officeDocument/2006/relationships/hyperlink" Target="https://www.sec.gov/Archives/edgar/data/891014/000089101413000010/ex10-14.htm" TargetMode="External"/><Relationship Id="rId121" Type="http://schemas.openxmlformats.org/officeDocument/2006/relationships/hyperlink" Target="http://www.sec.gov/Archives/edgar/data/891014/000089101414000006/exhibit10_15a.htm" TargetMode="External"/><Relationship Id="rId123" Type="http://schemas.openxmlformats.org/officeDocument/2006/relationships/hyperlink" Target="http://www.sec.gov/Archives/edgar/data/891014/000089101414000006/exhibit10_15b.htm" TargetMode="External"/><Relationship Id="rId125" Type="http://schemas.openxmlformats.org/officeDocument/2006/relationships/hyperlink" Target="http://www.sec.gov/Archives/edgar/data/891014/000114036115007848/ex10_15c.htm" TargetMode="External"/><Relationship Id="rId127" Type="http://schemas.openxmlformats.org/officeDocument/2006/relationships/hyperlink" Target="http://www.sec.gov/Archives/edgar/data/891014/000114036116054076/ex10_15d.htm" TargetMode="External"/><Relationship Id="rId128" Type="http://schemas.openxmlformats.org/officeDocument/2006/relationships/hyperlink" Target="https://www.sec.gov/Archives/edgar/data/891014/000089101420000041/ex10_1.htm" TargetMode="External"/><Relationship Id="rId130" Type="http://schemas.openxmlformats.org/officeDocument/2006/relationships/hyperlink" Target="https://www.sec.gov/Archives/edgar/data/891014/000089101421000011/exhibit10_15f.htm" TargetMode="External"/><Relationship Id="rId131" Type="http://schemas.openxmlformats.org/officeDocument/2006/relationships/hyperlink" Target="https://www.sec.gov/Archives/edgar/data/891014/000089101422000042/ex10-1.htm" TargetMode="External"/><Relationship Id="rId133" Type="http://schemas.openxmlformats.org/officeDocument/2006/relationships/hyperlink" Target="https://www.sec.gov/Archives/edgar/data/891014/000089101423000014/ex10_14h.htm" TargetMode="External"/><Relationship Id="rId134" Type="http://schemas.openxmlformats.org/officeDocument/2006/relationships/hyperlink" Target="http://www.sec.gov/Archives/edgar/data/891014/000089101410000009/ex10-15.htm" TargetMode="External"/><Relationship Id="rId136" Type="http://schemas.openxmlformats.org/officeDocument/2006/relationships/hyperlink" Target="http://www.sec.gov/Archives/edgar/data/891014/000089101412000009/ex10-16a.htm" TargetMode="External"/><Relationship Id="rId138" Type="http://schemas.openxmlformats.org/officeDocument/2006/relationships/hyperlink" Target="http://www.sec.gov/Archives/edgar/data/891014/000114036115007848/ex10_16b.htm" TargetMode="External"/><Relationship Id="rId139" Type="http://schemas.openxmlformats.org/officeDocument/2006/relationships/hyperlink" Target="http://www.sec.gov/Archives/edgar/data/891014/000114036115007848/ex10_16c.htm" TargetMode="External"/><Relationship Id="rId141" Type="http://schemas.openxmlformats.org/officeDocument/2006/relationships/hyperlink" Target="http://www.sec.gov/Archives/edgar/data/891014/000114036117008053/ex10_16d.htm" TargetMode="External"/><Relationship Id="rId142" Type="http://schemas.openxmlformats.org/officeDocument/2006/relationships/hyperlink" Target="https://www.sec.gov/Archives/edgar/data/891014/000089101420000010/exhibit10_16e.htm" TargetMode="External"/><Relationship Id="rId144" Type="http://schemas.openxmlformats.org/officeDocument/2006/relationships/hyperlink" Target="http://www.sec.gov/Archives/edgar/data/891014/000093041307001756/c46802_ex10-14.htm" TargetMode="External"/><Relationship Id="rId145" Type="http://schemas.openxmlformats.org/officeDocument/2006/relationships/hyperlink" Target="http://www.sec.gov/Archives/edgar/data/891014/000089101410000009/ex10-16a.htm" TargetMode="External"/><Relationship Id="rId147" Type="http://schemas.openxmlformats.org/officeDocument/2006/relationships/hyperlink" Target="http://www.sec.gov/Archives/edgar/data/891014/000114036115007848/ex10_17b.htm" TargetMode="External"/><Relationship Id="rId148" Type="http://schemas.openxmlformats.org/officeDocument/2006/relationships/hyperlink" Target="http://www.sec.gov/Archives/edgar/data/891014/000089101411000007/ex10-17.htm" TargetMode="External"/><Relationship Id="rId150" Type="http://schemas.openxmlformats.org/officeDocument/2006/relationships/hyperlink" Target="http://www.sec.gov/Archives/edgar/data/891014/000114036115007848/ex10_18a.htm" TargetMode="External"/><Relationship Id="rId151" Type="http://schemas.openxmlformats.org/officeDocument/2006/relationships/hyperlink" Target="https://www.sec.gov/Archives/edgar/data/891014/000089101422000009/ex10_18b.htm" TargetMode="External"/><Relationship Id="rId153" Type="http://schemas.openxmlformats.org/officeDocument/2006/relationships/hyperlink" Target="http://www.sec.gov/Archives/edgar/data/891014/000089101410000015/ex10-1.htm" TargetMode="External"/><Relationship Id="rId155" Type="http://schemas.openxmlformats.org/officeDocument/2006/relationships/hyperlink" Target="https://www.sec.gov/Archives/edgar/data/891014/000114036118008762/ex10_19a.htm" TargetMode="External"/><Relationship Id="rId157" Type="http://schemas.openxmlformats.org/officeDocument/2006/relationships/hyperlink" Target="https://www.sec.gov/Archives/edgar/data/891014/00009501572200092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2026-02-20T14:11:07Z</dcterms:created>
  <dcterms:modified xsi:type="dcterms:W3CDTF">2026-02-20T14:11:07Z</dcterms:modified>
</cp:coreProperties>
</file>