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1276985</wp:posOffset>
            </wp:positionH>
            <wp:positionV relativeFrom="page">
              <wp:posOffset>400050</wp:posOffset>
            </wp:positionV>
            <wp:extent cx="4995545"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95545" cy="13335"/>
                    </a:xfrm>
                    <a:prstGeom prst="rect">
                      <a:avLst/>
                    </a:prstGeom>
                    <a:noFill/>
                  </pic:spPr>
                </pic:pic>
              </a:graphicData>
            </a:graphic>
          </wp:anchor>
        </w:drawing>
        <w:drawing>
          <wp:anchor simplePos="0" relativeHeight="251657728" behindDoc="1" locked="0" layoutInCell="0" allowOverlap="1">
            <wp:simplePos x="0" y="0"/>
            <wp:positionH relativeFrom="page">
              <wp:posOffset>1276985</wp:posOffset>
            </wp:positionH>
            <wp:positionV relativeFrom="page">
              <wp:posOffset>264795</wp:posOffset>
            </wp:positionV>
            <wp:extent cx="4995545" cy="27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5545" cy="27305"/>
                    </a:xfrm>
                    <a:prstGeom prst="rect">
                      <a:avLst/>
                    </a:prstGeom>
                    <a:noFill/>
                  </pic:spPr>
                </pic:pic>
              </a:graphicData>
            </a:graphic>
          </wp:anchor>
        </w:drawing>
        <w:t>UNITED STATES</w:t>
      </w:r>
    </w:p>
    <w:p>
      <w:pPr>
        <w:spacing w:after="0" w:line="15"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61"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199" w:lineRule="exact"/>
        <w:rPr>
          <w:sz w:val="24"/>
          <w:szCs w:val="24"/>
          <w:color w:val="auto"/>
        </w:rPr>
      </w:pPr>
    </w:p>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18"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166"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7"/>
          <w:szCs w:val="17"/>
          <w:color w:val="auto"/>
        </w:rPr>
        <w:t xml:space="preserve">Date of Report (Date of earliest event reported): </w:t>
      </w:r>
      <w:r>
        <w:rPr>
          <w:rFonts w:ascii="Times New Roman" w:cs="Times New Roman" w:eastAsia="Times New Roman" w:hAnsi="Times New Roman"/>
          <w:sz w:val="17"/>
          <w:szCs w:val="17"/>
          <w:b w:val="1"/>
          <w:bCs w:val="1"/>
          <w:color w:val="auto"/>
        </w:rPr>
        <w:t>May 19, 2026</w:t>
      </w:r>
    </w:p>
    <w:p>
      <w:pPr>
        <w:spacing w:after="0" w:line="183"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23"/>
          <w:szCs w:val="23"/>
          <w:b w:val="1"/>
          <w:bCs w:val="1"/>
          <w:color w:val="auto"/>
        </w:rPr>
        <w:t>MINERALS TECHNOLOGIES INC.</w:t>
      </w:r>
    </w:p>
    <w:p>
      <w:pPr>
        <w:spacing w:after="0" w:line="29"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66" w:lineRule="exact"/>
        <w:rPr>
          <w:sz w:val="24"/>
          <w:szCs w:val="24"/>
          <w:color w:val="auto"/>
        </w:rPr>
      </w:pPr>
    </w:p>
    <w:tbl>
      <w:tblPr>
        <w:tblLayout w:type="fixed"/>
        <w:tblInd w:w="1707" w:type="dxa"/>
        <w:tblCellMar>
          <w:top w:w="0" w:type="dxa"/>
          <w:left w:w="0" w:type="dxa"/>
          <w:bottom w:w="0" w:type="dxa"/>
          <w:right w:w="0" w:type="dxa"/>
        </w:tblCellMar>
      </w:tblPr>
      <w:tr>
        <w:trPr>
          <w:trHeight w:val="226"/>
        </w:trPr>
        <w:tc>
          <w:tcPr>
            <w:tcW w:w="160" w:type="dxa"/>
            <w:vAlign w:val="bottom"/>
          </w:tcPr>
          <w:p>
            <w:pPr>
              <w:spacing w:after="0"/>
              <w:rPr>
                <w:sz w:val="19"/>
                <w:szCs w:val="19"/>
                <w:color w:val="auto"/>
              </w:rPr>
            </w:pPr>
          </w:p>
        </w:tc>
        <w:tc>
          <w:tcPr>
            <w:tcW w:w="2960" w:type="dxa"/>
            <w:vAlign w:val="bottom"/>
            <w:gridSpan w:val="3"/>
          </w:tcPr>
          <w:p>
            <w:pPr>
              <w:jc w:val="center"/>
              <w:ind w:right="920"/>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1900" w:type="dxa"/>
            <w:vAlign w:val="bottom"/>
            <w:gridSpan w:val="2"/>
          </w:tcPr>
          <w:p>
            <w:pPr>
              <w:jc w:val="right"/>
              <w:ind w:right="655"/>
              <w:spacing w:after="0"/>
              <w:rPr>
                <w:sz w:val="20"/>
                <w:szCs w:val="20"/>
                <w:color w:val="auto"/>
              </w:rPr>
            </w:pPr>
            <w:r>
              <w:rPr>
                <w:rFonts w:ascii="Times New Roman" w:cs="Times New Roman" w:eastAsia="Times New Roman" w:hAnsi="Times New Roman"/>
                <w:sz w:val="17"/>
                <w:szCs w:val="17"/>
                <w:b w:val="1"/>
                <w:bCs w:val="1"/>
                <w:color w:val="auto"/>
              </w:rPr>
              <w:t>1-11430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tcPr>
          <w:p>
            <w:pPr>
              <w:jc w:val="center"/>
              <w:ind w:left="95"/>
              <w:spacing w:after="0"/>
              <w:rPr>
                <w:sz w:val="20"/>
                <w:szCs w:val="20"/>
                <w:color w:val="auto"/>
              </w:rPr>
            </w:pPr>
            <w:r>
              <w:rPr>
                <w:rFonts w:ascii="Times New Roman" w:cs="Times New Roman" w:eastAsia="Times New Roman" w:hAnsi="Times New Roman"/>
                <w:sz w:val="17"/>
                <w:szCs w:val="17"/>
                <w:b w:val="1"/>
                <w:bCs w:val="1"/>
                <w:color w:val="auto"/>
                <w:w w:val="99"/>
              </w:rPr>
              <w:t>25-1190717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480" w:type="dxa"/>
            <w:vAlign w:val="bottom"/>
            <w:vMerge w:val="restart"/>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2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2180" w:type="dxa"/>
            <w:vAlign w:val="bottom"/>
          </w:tcPr>
          <w:p>
            <w:pPr>
              <w:jc w:val="center"/>
              <w:ind w:right="95"/>
              <w:spacing w:after="0" w:line="162" w:lineRule="exact"/>
              <w:rPr>
                <w:sz w:val="20"/>
                <w:szCs w:val="20"/>
                <w:color w:val="auto"/>
              </w:rPr>
            </w:pPr>
            <w:r>
              <w:rPr>
                <w:rFonts w:ascii="Times New Roman" w:cs="Times New Roman" w:eastAsia="Times New Roman" w:hAnsi="Times New Roman"/>
                <w:sz w:val="17"/>
                <w:szCs w:val="17"/>
                <w:color w:val="auto"/>
              </w:rPr>
              <w:t>(State or other jurisdiction</w:t>
            </w:r>
          </w:p>
        </w:tc>
        <w:tc>
          <w:tcPr>
            <w:tcW w:w="4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2"/>
          </w:tcPr>
          <w:p>
            <w:pPr>
              <w:jc w:val="center"/>
              <w:ind w:right="275"/>
              <w:spacing w:after="0" w:line="162" w:lineRule="exact"/>
              <w:rPr>
                <w:sz w:val="20"/>
                <w:szCs w:val="20"/>
                <w:color w:val="auto"/>
              </w:rPr>
            </w:pPr>
            <w:r>
              <w:rPr>
                <w:rFonts w:ascii="Times New Roman" w:cs="Times New Roman" w:eastAsia="Times New Roman" w:hAnsi="Times New Roman"/>
                <w:sz w:val="17"/>
                <w:szCs w:val="17"/>
                <w:color w:val="auto"/>
                <w:w w:val="99"/>
              </w:rPr>
              <w:t>(Commission File</w:t>
            </w:r>
          </w:p>
        </w:tc>
        <w:tc>
          <w:tcPr>
            <w:tcW w:w="3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21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7"/>
                <w:szCs w:val="17"/>
                <w:color w:val="auto"/>
              </w:rPr>
              <w:t>(IRS Employer</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2960" w:type="dxa"/>
            <w:vAlign w:val="bottom"/>
            <w:gridSpan w:val="3"/>
          </w:tcPr>
          <w:p>
            <w:pPr>
              <w:jc w:val="center"/>
              <w:ind w:right="920"/>
              <w:spacing w:after="0"/>
              <w:rPr>
                <w:sz w:val="20"/>
                <w:szCs w:val="20"/>
                <w:color w:val="auto"/>
              </w:rPr>
            </w:pPr>
            <w:r>
              <w:rPr>
                <w:rFonts w:ascii="Times New Roman" w:cs="Times New Roman" w:eastAsia="Times New Roman" w:hAnsi="Times New Roman"/>
                <w:sz w:val="17"/>
                <w:szCs w:val="17"/>
                <w:color w:val="auto"/>
              </w:rPr>
              <w:t>of incorporation)</w:t>
            </w:r>
          </w:p>
        </w:tc>
        <w:tc>
          <w:tcPr>
            <w:tcW w:w="160" w:type="dxa"/>
            <w:vAlign w:val="bottom"/>
          </w:tcPr>
          <w:p>
            <w:pPr>
              <w:spacing w:after="0"/>
              <w:rPr>
                <w:sz w:val="19"/>
                <w:szCs w:val="19"/>
                <w:color w:val="auto"/>
              </w:rPr>
            </w:pPr>
          </w:p>
        </w:tc>
        <w:tc>
          <w:tcPr>
            <w:tcW w:w="2200" w:type="dxa"/>
            <w:vAlign w:val="bottom"/>
            <w:gridSpan w:val="3"/>
          </w:tcPr>
          <w:p>
            <w:pPr>
              <w:jc w:val="center"/>
              <w:ind w:right="940"/>
              <w:spacing w:after="0"/>
              <w:rPr>
                <w:sz w:val="20"/>
                <w:szCs w:val="20"/>
                <w:color w:val="auto"/>
              </w:rPr>
            </w:pPr>
            <w:r>
              <w:rPr>
                <w:rFonts w:ascii="Times New Roman" w:cs="Times New Roman" w:eastAsia="Times New Roman" w:hAnsi="Times New Roman"/>
                <w:sz w:val="17"/>
                <w:szCs w:val="17"/>
                <w:color w:val="auto"/>
              </w:rPr>
              <w:t>Number)</w:t>
            </w: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Identification No.)</w:t>
            </w:r>
          </w:p>
        </w:tc>
        <w:tc>
          <w:tcPr>
            <w:tcW w:w="0" w:type="dxa"/>
            <w:vAlign w:val="bottom"/>
          </w:tcPr>
          <w:p>
            <w:pPr>
              <w:spacing w:after="0"/>
              <w:rPr>
                <w:sz w:val="1"/>
                <w:szCs w:val="1"/>
                <w:color w:val="auto"/>
              </w:rPr>
            </w:pPr>
          </w:p>
        </w:tc>
      </w:tr>
      <w:tr>
        <w:trPr>
          <w:trHeight w:val="374"/>
        </w:trPr>
        <w:tc>
          <w:tcPr>
            <w:tcW w:w="160" w:type="dxa"/>
            <w:vAlign w:val="bottom"/>
          </w:tcPr>
          <w:p>
            <w:pPr>
              <w:spacing w:after="0"/>
              <w:rPr>
                <w:sz w:val="24"/>
                <w:szCs w:val="24"/>
                <w:color w:val="auto"/>
              </w:rPr>
            </w:pPr>
          </w:p>
        </w:tc>
        <w:tc>
          <w:tcPr>
            <w:tcW w:w="296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7"/>
                <w:szCs w:val="17"/>
                <w:b w:val="1"/>
                <w:bCs w:val="1"/>
                <w:color w:val="auto"/>
              </w:rPr>
              <w:t>622 Third Avenue, New York, NY</w:t>
            </w:r>
          </w:p>
        </w:tc>
        <w:tc>
          <w:tcPr>
            <w:tcW w:w="160" w:type="dxa"/>
            <w:vAlign w:val="bottom"/>
            <w:tcBorders>
              <w:bottom w:val="single" w:sz="8" w:color="auto"/>
            </w:tcBorders>
          </w:tcPr>
          <w:p>
            <w:pPr>
              <w:spacing w:after="0"/>
              <w:rPr>
                <w:sz w:val="24"/>
                <w:szCs w:val="24"/>
                <w:color w:val="auto"/>
              </w:rPr>
            </w:pP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7"/>
                <w:szCs w:val="17"/>
                <w:b w:val="1"/>
                <w:bCs w:val="1"/>
                <w:color w:val="auto"/>
              </w:rPr>
              <w:t>10017-6707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2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jc w:val="center"/>
              <w:ind w:right="35"/>
              <w:spacing w:after="0"/>
              <w:rPr>
                <w:sz w:val="20"/>
                <w:szCs w:val="20"/>
                <w:color w:val="auto"/>
              </w:rPr>
            </w:pPr>
            <w:r>
              <w:rPr>
                <w:rFonts w:ascii="Times New Roman" w:cs="Times New Roman" w:eastAsia="Times New Roman" w:hAnsi="Times New Roman"/>
                <w:sz w:val="17"/>
                <w:szCs w:val="17"/>
                <w:color w:val="auto"/>
              </w:rPr>
              <w:t>(Zip Code)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7"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(212) 878-1800</w:t>
      </w:r>
    </w:p>
    <w:p>
      <w:pPr>
        <w:spacing w:after="0" w:line="18"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2727960</wp:posOffset>
            </wp:positionH>
            <wp:positionV relativeFrom="paragraph">
              <wp:posOffset>-121920</wp:posOffset>
            </wp:positionV>
            <wp:extent cx="154305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050" cy="6985"/>
                    </a:xfrm>
                    <a:prstGeom prst="rect">
                      <a:avLst/>
                    </a:prstGeom>
                    <a:noFill/>
                  </pic:spPr>
                </pic:pic>
              </a:graphicData>
            </a:graphic>
          </wp:anchor>
        </w:drawing>
      </w:r>
    </w:p>
    <w:p>
      <w:pPr>
        <w:spacing w:after="0" w:line="238" w:lineRule="exact"/>
        <w:rPr>
          <w:sz w:val="24"/>
          <w:szCs w:val="24"/>
          <w:color w:val="auto"/>
        </w:rPr>
      </w:pPr>
    </w:p>
    <w:tbl>
      <w:tblPr>
        <w:tblLayout w:type="fixed"/>
        <w:tblInd w:w="1207" w:type="dxa"/>
        <w:tblCellMar>
          <w:top w:w="0" w:type="dxa"/>
          <w:left w:w="0" w:type="dxa"/>
          <w:bottom w:w="0" w:type="dxa"/>
          <w:right w:w="0" w:type="dxa"/>
        </w:tblCellMar>
      </w:tblPr>
      <w:tr>
        <w:trPr>
          <w:trHeight w:val="210"/>
        </w:trPr>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400" w:type="dxa"/>
            <w:vAlign w:val="bottom"/>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40" w:type="dxa"/>
            <w:vAlign w:val="bottom"/>
          </w:tcPr>
          <w:p>
            <w:pPr>
              <w:spacing w:after="0"/>
              <w:rPr>
                <w:sz w:val="18"/>
                <w:szCs w:val="18"/>
                <w:color w:val="auto"/>
              </w:rPr>
            </w:pPr>
          </w:p>
        </w:tc>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exchange on which registered</w:t>
            </w:r>
          </w:p>
        </w:tc>
      </w:tr>
      <w:tr>
        <w:trPr>
          <w:trHeight w:val="254"/>
        </w:trPr>
        <w:tc>
          <w:tcPr>
            <w:tcW w:w="33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rPr>
              <w:t>Common Stock, $0.10 par value</w:t>
            </w: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MTX</w:t>
            </w:r>
          </w:p>
        </w:tc>
        <w:tc>
          <w:tcPr>
            <w:tcW w:w="3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191" w:lineRule="exact"/>
        <w:rPr>
          <w:sz w:val="24"/>
          <w:szCs w:val="24"/>
          <w:color w:val="auto"/>
        </w:rPr>
      </w:pPr>
    </w:p>
    <w:p>
      <w:pPr>
        <w:ind w:left="7"/>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ind w:left="127" w:hanging="127"/>
        <w:spacing w:after="0"/>
        <w:tabs>
          <w:tab w:leader="none" w:pos="127"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Written communications pursuant to Rule 425 under the Securities Act (17 CFR 230.425)</w:t>
      </w:r>
    </w:p>
    <w:p>
      <w:pPr>
        <w:spacing w:after="0" w:line="199" w:lineRule="exact"/>
        <w:rPr>
          <w:rFonts w:ascii="Times New Roman" w:cs="Times New Roman" w:eastAsia="Times New Roman" w:hAnsi="Times New Roman"/>
          <w:sz w:val="16"/>
          <w:szCs w:val="16"/>
          <w:color w:val="auto"/>
        </w:rPr>
      </w:pPr>
    </w:p>
    <w:p>
      <w:pPr>
        <w:ind w:left="127" w:hanging="127"/>
        <w:spacing w:after="0"/>
        <w:tabs>
          <w:tab w:leader="none" w:pos="127"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Soliciting material pursuant to Rule 14a-12 under the Exchange Act (17 CFR 240.14a-12)</w:t>
      </w:r>
    </w:p>
    <w:p>
      <w:pPr>
        <w:spacing w:after="0" w:line="199" w:lineRule="exact"/>
        <w:rPr>
          <w:rFonts w:ascii="Times New Roman" w:cs="Times New Roman" w:eastAsia="Times New Roman" w:hAnsi="Times New Roman"/>
          <w:sz w:val="16"/>
          <w:szCs w:val="16"/>
          <w:color w:val="auto"/>
        </w:rPr>
      </w:pPr>
    </w:p>
    <w:p>
      <w:pPr>
        <w:ind w:left="127" w:hanging="127"/>
        <w:spacing w:after="0"/>
        <w:tabs>
          <w:tab w:leader="none" w:pos="127"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Pre-commencement communications pursuant to Rule 14d-2(b) under the Exchange Act (17 CFR 240.14d-2(b))</w:t>
      </w:r>
    </w:p>
    <w:p>
      <w:pPr>
        <w:spacing w:after="0" w:line="200" w:lineRule="exact"/>
        <w:rPr>
          <w:sz w:val="24"/>
          <w:szCs w:val="24"/>
          <w:color w:val="auto"/>
        </w:rPr>
      </w:pPr>
    </w:p>
    <w:p>
      <w:pPr>
        <w:ind w:left="467" w:right="4800" w:hanging="467"/>
        <w:spacing w:after="0" w:line="288" w:lineRule="auto"/>
        <w:tabs>
          <w:tab w:leader="none" w:pos="14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Pre-commencement communications pursuant to Rule 13e-4(c) under the Exchange Act (17 CFR 240.13e-4(c))</w:t>
      </w:r>
    </w:p>
    <w:p>
      <w:pPr>
        <w:spacing w:after="0" w:line="219" w:lineRule="exact"/>
        <w:rPr>
          <w:sz w:val="24"/>
          <w:szCs w:val="24"/>
          <w:color w:val="auto"/>
        </w:rPr>
      </w:pPr>
    </w:p>
    <w:p>
      <w:pPr>
        <w:ind w:left="1527"/>
        <w:spacing w:after="0"/>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(17</w:t>
      </w:r>
    </w:p>
    <w:p>
      <w:pPr>
        <w:spacing w:after="0" w:line="24" w:lineRule="exact"/>
        <w:rPr>
          <w:sz w:val="24"/>
          <w:szCs w:val="24"/>
          <w:color w:val="auto"/>
        </w:rPr>
      </w:pPr>
    </w:p>
    <w:p>
      <w:pPr>
        <w:ind w:left="1527"/>
        <w:spacing w:after="0"/>
        <w:rPr>
          <w:sz w:val="20"/>
          <w:szCs w:val="20"/>
          <w:color w:val="auto"/>
        </w:rPr>
      </w:pPr>
      <w:r>
        <w:rPr>
          <w:rFonts w:ascii="Times New Roman" w:cs="Times New Roman" w:eastAsia="Times New Roman" w:hAnsi="Times New Roman"/>
          <w:sz w:val="14"/>
          <w:szCs w:val="14"/>
          <w:color w:val="auto"/>
        </w:rPr>
        <w:t>CFR §230.405) or Rule 12b-2 of the Securities Exchange Act of 1934 (17 CFR §240.12b-2).</w:t>
      </w:r>
    </w:p>
    <w:p>
      <w:pPr>
        <w:spacing w:after="0" w:line="10" w:lineRule="exact"/>
        <w:rPr>
          <w:sz w:val="24"/>
          <w:szCs w:val="24"/>
          <w:color w:val="auto"/>
        </w:rPr>
      </w:pPr>
    </w:p>
    <w:p>
      <w:pPr>
        <w:ind w:left="1527"/>
        <w:spacing w:after="0"/>
        <w:rPr>
          <w:sz w:val="20"/>
          <w:szCs w:val="20"/>
          <w:color w:val="auto"/>
        </w:rPr>
      </w:pPr>
      <w:r>
        <w:rPr>
          <w:rFonts w:ascii="Times New Roman" w:cs="Times New Roman" w:eastAsia="Times New Roman" w:hAnsi="Times New Roman"/>
          <w:sz w:val="14"/>
          <w:szCs w:val="14"/>
          <w:color w:val="auto"/>
        </w:rPr>
        <w:t>Emerging growth company [ ]</w:t>
      </w:r>
    </w:p>
    <w:p>
      <w:pPr>
        <w:spacing w:after="0" w:line="187" w:lineRule="exact"/>
        <w:rPr>
          <w:sz w:val="24"/>
          <w:szCs w:val="24"/>
          <w:color w:val="auto"/>
        </w:rPr>
      </w:pPr>
    </w:p>
    <w:p>
      <w:pPr>
        <w:ind w:left="1527" w:right="1540"/>
        <w:spacing w:after="0" w:line="289"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974725</wp:posOffset>
            </wp:positionH>
            <wp:positionV relativeFrom="paragraph">
              <wp:posOffset>223520</wp:posOffset>
            </wp:positionV>
            <wp:extent cx="5055870" cy="27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55870" cy="27305"/>
                    </a:xfrm>
                    <a:prstGeom prst="rect">
                      <a:avLst/>
                    </a:prstGeom>
                    <a:noFill/>
                  </pic:spPr>
                </pic:pic>
              </a:graphicData>
            </a:graphic>
          </wp:anchor>
        </w:drawing>
        <w:drawing>
          <wp:anchor simplePos="0" relativeHeight="251657728" behindDoc="1" locked="0" layoutInCell="0" allowOverlap="1">
            <wp:simplePos x="0" y="0"/>
            <wp:positionH relativeFrom="column">
              <wp:posOffset>974725</wp:posOffset>
            </wp:positionH>
            <wp:positionV relativeFrom="paragraph">
              <wp:posOffset>101600</wp:posOffset>
            </wp:positionV>
            <wp:extent cx="5055870"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55870" cy="13335"/>
                    </a:xfrm>
                    <a:prstGeom prst="rect">
                      <a:avLst/>
                    </a:prstGeom>
                    <a:noFill/>
                  </pic:spPr>
                </pic:pic>
              </a:graphicData>
            </a:graphic>
          </wp:anchor>
        </w:drawing>
        <w:drawing>
          <wp:anchor simplePos="0" relativeHeight="251657728" behindDoc="1" locked="0" layoutInCell="0" allowOverlap="1">
            <wp:simplePos x="0" y="0"/>
            <wp:positionH relativeFrom="column">
              <wp:posOffset>-80645</wp:posOffset>
            </wp:positionH>
            <wp:positionV relativeFrom="paragraph">
              <wp:posOffset>527685</wp:posOffset>
            </wp:positionV>
            <wp:extent cx="7160895" cy="27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27305"/>
                    </a:xfrm>
                    <a:prstGeom prst="rect">
                      <a:avLst/>
                    </a:prstGeom>
                    <a:noFill/>
                  </pic:spPr>
                </pic:pic>
              </a:graphicData>
            </a:graphic>
          </wp:anchor>
        </w:drawing>
      </w:r>
    </w:p>
    <w:p>
      <w:pPr>
        <w:sectPr>
          <w:pgSz w:w="11900" w:h="16838" w:orient="portrait"/>
          <w:cols w:equalWidth="0" w:num="1">
            <w:col w:w="11007"/>
          </w:cols>
          <w:pgMar w:left="433" w:top="818" w:right="459" w:bottom="1440" w:gutter="0" w:footer="0" w:header="0"/>
        </w:sectPr>
      </w:pPr>
    </w:p>
    <w:bookmarkStart w:id="1" w:name="page2"/>
    <w:bookmarkEnd w:id="1"/>
    <w:p>
      <w:pPr>
        <w:ind w:left="80"/>
        <w:spacing w:after="0"/>
        <w:tabs>
          <w:tab w:leader="none" w:pos="1080" w:val="left"/>
        </w:tabs>
        <w:rPr>
          <w:sz w:val="20"/>
          <w:szCs w:val="20"/>
          <w:color w:val="auto"/>
        </w:rPr>
      </w:pPr>
      <w:r>
        <w:rPr>
          <w:rFonts w:ascii="Times New Roman" w:cs="Times New Roman" w:eastAsia="Times New Roman" w:hAnsi="Times New Roman"/>
          <w:sz w:val="17"/>
          <w:szCs w:val="17"/>
          <w:b w:val="1"/>
          <w:bCs w:val="1"/>
          <w:color w:val="auto"/>
        </w:rPr>
        <w:t>Item 5.07</w:t>
      </w:r>
      <w:r>
        <w:rPr>
          <w:sz w:val="20"/>
          <w:szCs w:val="20"/>
          <w:color w:val="auto"/>
        </w:rPr>
        <w:tab/>
      </w:r>
      <w:r>
        <w:rPr>
          <w:rFonts w:ascii="Times New Roman" w:cs="Times New Roman" w:eastAsia="Times New Roman" w:hAnsi="Times New Roman"/>
          <w:sz w:val="16"/>
          <w:szCs w:val="16"/>
          <w:b w:val="1"/>
          <w:bCs w:val="1"/>
          <w:color w:val="auto"/>
        </w:rPr>
        <w:t>Submission of a Matter to a Vote of Security Holders.</w:t>
      </w:r>
    </w:p>
    <w:p>
      <w:pPr>
        <w:spacing w:after="0" w:line="192" w:lineRule="exact"/>
        <w:rPr>
          <w:sz w:val="20"/>
          <w:szCs w:val="20"/>
          <w:color w:val="auto"/>
        </w:rPr>
      </w:pPr>
    </w:p>
    <w:p>
      <w:pPr>
        <w:jc w:val="both"/>
        <w:ind w:left="80"/>
        <w:spacing w:after="0" w:line="268" w:lineRule="auto"/>
        <w:rPr>
          <w:sz w:val="20"/>
          <w:szCs w:val="20"/>
          <w:color w:val="auto"/>
        </w:rPr>
      </w:pPr>
      <w:r>
        <w:rPr>
          <w:rFonts w:ascii="Times New Roman" w:cs="Times New Roman" w:eastAsia="Times New Roman" w:hAnsi="Times New Roman"/>
          <w:sz w:val="17"/>
          <w:szCs w:val="17"/>
          <w:color w:val="auto"/>
        </w:rPr>
        <w:t>On May 20, 2026, Minerals Technologies Inc. (the “Company”) held its Annual Meeting of Shareholders. A total of 30,117,001 shares were represented in person or by proxy at the meeting, or 97.06% of the eligible voting shares. The matters voted upon and the final results of the vote were as follows:</w:t>
      </w:r>
    </w:p>
    <w:p>
      <w:pPr>
        <w:spacing w:after="0" w:line="139" w:lineRule="exact"/>
        <w:rPr>
          <w:sz w:val="20"/>
          <w:szCs w:val="20"/>
          <w:color w:val="auto"/>
        </w:rPr>
      </w:pPr>
    </w:p>
    <w:p>
      <w:pPr>
        <w:jc w:val="both"/>
        <w:ind w:left="80"/>
        <w:spacing w:after="0" w:line="268" w:lineRule="auto"/>
        <w:rPr>
          <w:sz w:val="20"/>
          <w:szCs w:val="20"/>
          <w:color w:val="auto"/>
        </w:rPr>
      </w:pPr>
      <w:r>
        <w:rPr>
          <w:rFonts w:ascii="Times New Roman" w:cs="Times New Roman" w:eastAsia="Times New Roman" w:hAnsi="Times New Roman"/>
          <w:sz w:val="17"/>
          <w:szCs w:val="17"/>
          <w:color w:val="auto"/>
        </w:rPr>
        <w:t>Proposal 1. The nominees for election to the Board of Directors named in the Company’s 2026 Proxy Statement were elected for three-year terms based upon the following votes: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 w:type="dxa"/>
            <w:vAlign w:val="bottom"/>
            <w:tcBorders>
              <w:top w:val="single" w:sz="8" w:color="auto"/>
            </w:tcBorders>
          </w:tcPr>
          <w:p>
            <w:pPr>
              <w:spacing w:after="0"/>
              <w:rPr>
                <w:sz w:val="14"/>
                <w:szCs w:val="14"/>
                <w:color w:val="auto"/>
              </w:rPr>
            </w:pPr>
          </w:p>
        </w:tc>
        <w:tc>
          <w:tcPr>
            <w:tcW w:w="1320" w:type="dxa"/>
            <w:vAlign w:val="bottom"/>
            <w:tcBorders>
              <w:top w:val="single" w:sz="8" w:color="auto"/>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Nominee</w:t>
            </w:r>
          </w:p>
        </w:tc>
        <w:tc>
          <w:tcPr>
            <w:tcW w:w="420" w:type="dxa"/>
            <w:vAlign w:val="bottom"/>
            <w:tcBorders>
              <w:top w:val="single" w:sz="8" w:color="auto"/>
            </w:tcBorders>
          </w:tcPr>
          <w:p>
            <w:pPr>
              <w:spacing w:after="0"/>
              <w:rPr>
                <w:sz w:val="14"/>
                <w:szCs w:val="14"/>
                <w:color w:val="auto"/>
              </w:rPr>
            </w:pPr>
          </w:p>
        </w:tc>
        <w:tc>
          <w:tcPr>
            <w:tcW w:w="1100" w:type="dxa"/>
            <w:vAlign w:val="bottom"/>
            <w:tcBorders>
              <w:top w:val="single" w:sz="8" w:color="auto"/>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Votes For</w:t>
            </w:r>
          </w:p>
        </w:tc>
        <w:tc>
          <w:tcPr>
            <w:tcW w:w="5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jc w:val="center"/>
              <w:spacing w:after="0" w:line="171" w:lineRule="exact"/>
              <w:rPr>
                <w:sz w:val="20"/>
                <w:szCs w:val="20"/>
                <w:color w:val="auto"/>
              </w:rPr>
            </w:pPr>
            <w:r>
              <w:rPr>
                <w:rFonts w:ascii="Times New Roman" w:cs="Times New Roman" w:eastAsia="Times New Roman" w:hAnsi="Times New Roman"/>
                <w:sz w:val="17"/>
                <w:szCs w:val="17"/>
                <w:color w:val="auto"/>
                <w:w w:val="95"/>
              </w:rPr>
              <w:t>Votes</w:t>
            </w:r>
          </w:p>
        </w:tc>
        <w:tc>
          <w:tcPr>
            <w:tcW w:w="600" w:type="dxa"/>
            <w:vAlign w:val="bottom"/>
            <w:tcBorders>
              <w:top w:val="single" w:sz="8" w:color="auto"/>
              <w:right w:val="single" w:sz="8" w:color="auto"/>
            </w:tcBorders>
            <w:gridSpan w:val="2"/>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right w:val="single" w:sz="8" w:color="auto"/>
            </w:tcBorders>
            <w:gridSpan w:val="3"/>
          </w:tcPr>
          <w:p>
            <w:pPr>
              <w:spacing w:after="0" w:line="171" w:lineRule="exact"/>
              <w:rPr>
                <w:sz w:val="20"/>
                <w:szCs w:val="20"/>
                <w:color w:val="auto"/>
              </w:rPr>
            </w:pPr>
            <w:r>
              <w:rPr>
                <w:rFonts w:ascii="Times New Roman" w:cs="Times New Roman" w:eastAsia="Times New Roman" w:hAnsi="Times New Roman"/>
                <w:sz w:val="17"/>
                <w:szCs w:val="17"/>
                <w:color w:val="auto"/>
              </w:rPr>
              <w:t>Votes</w:t>
            </w:r>
          </w:p>
        </w:tc>
        <w:tc>
          <w:tcPr>
            <w:tcW w:w="460" w:type="dxa"/>
            <w:vAlign w:val="bottom"/>
            <w:tcBorders>
              <w:top w:val="single" w:sz="8" w:color="auto"/>
            </w:tcBorders>
          </w:tcPr>
          <w:p>
            <w:pPr>
              <w:spacing w:after="0"/>
              <w:rPr>
                <w:sz w:val="14"/>
                <w:szCs w:val="14"/>
                <w:color w:val="auto"/>
              </w:rPr>
            </w:pPr>
          </w:p>
        </w:tc>
        <w:tc>
          <w:tcPr>
            <w:tcW w:w="1200" w:type="dxa"/>
            <w:vAlign w:val="bottom"/>
            <w:tcBorders>
              <w:top w:val="single" w:sz="8" w:color="auto"/>
              <w:right w:val="single" w:sz="8" w:color="auto"/>
            </w:tcBorders>
            <w:gridSpan w:val="4"/>
          </w:tcPr>
          <w:p>
            <w:pPr>
              <w:jc w:val="center"/>
              <w:ind w:right="480"/>
              <w:spacing w:after="0" w:line="171" w:lineRule="exact"/>
              <w:rPr>
                <w:sz w:val="20"/>
                <w:szCs w:val="20"/>
                <w:color w:val="auto"/>
              </w:rPr>
            </w:pPr>
            <w:r>
              <w:rPr>
                <w:rFonts w:ascii="Times New Roman" w:cs="Times New Roman" w:eastAsia="Times New Roman" w:hAnsi="Times New Roman"/>
                <w:sz w:val="17"/>
                <w:szCs w:val="17"/>
                <w:color w:val="auto"/>
              </w:rPr>
              <w:t>Broker</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320" w:type="dxa"/>
            <w:vAlign w:val="bottom"/>
            <w:tcBorders>
              <w:right w:val="single" w:sz="8" w:color="auto"/>
            </w:tcBorders>
            <w:gridSpan w:val="2"/>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Borders>
              <w:right w:val="single" w:sz="8" w:color="auto"/>
            </w:tcBorders>
            <w:gridSpan w:val="2"/>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20" w:type="dxa"/>
            <w:vAlign w:val="bottom"/>
          </w:tcPr>
          <w:p>
            <w:pPr>
              <w:spacing w:after="0"/>
              <w:rPr>
                <w:sz w:val="14"/>
                <w:szCs w:val="14"/>
                <w:color w:val="auto"/>
              </w:rPr>
            </w:pPr>
          </w:p>
        </w:tc>
        <w:tc>
          <w:tcPr>
            <w:tcW w:w="1320" w:type="dxa"/>
            <w:vAlign w:val="bottom"/>
            <w:tcBorders>
              <w:right w:val="single" w:sz="8" w:color="auto"/>
            </w:tcBorders>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Borders>
              <w:right w:val="single" w:sz="8" w:color="auto"/>
            </w:tcBorders>
            <w:gridSpan w:val="2"/>
            <w:vMerge w:val="continue"/>
          </w:tcPr>
          <w:p>
            <w:pPr>
              <w:spacing w:after="0"/>
              <w:rPr>
                <w:sz w:val="14"/>
                <w:szCs w:val="14"/>
                <w:color w:val="auto"/>
              </w:rPr>
            </w:pPr>
          </w:p>
        </w:tc>
        <w:tc>
          <w:tcPr>
            <w:tcW w:w="1560" w:type="dxa"/>
            <w:vAlign w:val="bottom"/>
            <w:tcBorders>
              <w:right w:val="single" w:sz="8" w:color="auto"/>
            </w:tcBorders>
            <w:gridSpan w:val="5"/>
          </w:tcPr>
          <w:p>
            <w:pPr>
              <w:jc w:val="center"/>
              <w:ind w:right="20"/>
              <w:spacing w:after="0" w:line="172" w:lineRule="exact"/>
              <w:rPr>
                <w:sz w:val="20"/>
                <w:szCs w:val="20"/>
                <w:color w:val="auto"/>
              </w:rPr>
            </w:pPr>
            <w:r>
              <w:rPr>
                <w:rFonts w:ascii="Times New Roman" w:cs="Times New Roman" w:eastAsia="Times New Roman" w:hAnsi="Times New Roman"/>
                <w:sz w:val="17"/>
                <w:szCs w:val="17"/>
                <w:color w:val="auto"/>
              </w:rPr>
              <w:t>Against</w:t>
            </w:r>
          </w:p>
        </w:tc>
        <w:tc>
          <w:tcPr>
            <w:tcW w:w="1560" w:type="dxa"/>
            <w:vAlign w:val="bottom"/>
            <w:tcBorders>
              <w:right w:val="single" w:sz="8" w:color="auto"/>
            </w:tcBorders>
            <w:gridSpan w:val="5"/>
          </w:tcPr>
          <w:p>
            <w:pPr>
              <w:ind w:left="420"/>
              <w:spacing w:after="0" w:line="172" w:lineRule="exact"/>
              <w:rPr>
                <w:sz w:val="20"/>
                <w:szCs w:val="20"/>
                <w:color w:val="auto"/>
              </w:rPr>
            </w:pPr>
            <w:r>
              <w:rPr>
                <w:rFonts w:ascii="Times New Roman" w:cs="Times New Roman" w:eastAsia="Times New Roman" w:hAnsi="Times New Roman"/>
                <w:sz w:val="17"/>
                <w:szCs w:val="17"/>
                <w:color w:val="auto"/>
              </w:rPr>
              <w:t>Abstained</w:t>
            </w:r>
          </w:p>
        </w:tc>
        <w:tc>
          <w:tcPr>
            <w:tcW w:w="1660" w:type="dxa"/>
            <w:vAlign w:val="bottom"/>
            <w:tcBorders>
              <w:right w:val="single" w:sz="8" w:color="auto"/>
            </w:tcBorders>
            <w:gridSpan w:val="5"/>
          </w:tcPr>
          <w:p>
            <w:pPr>
              <w:jc w:val="center"/>
              <w:ind w:right="20"/>
              <w:spacing w:after="0" w:line="172" w:lineRule="exact"/>
              <w:rPr>
                <w:sz w:val="20"/>
                <w:szCs w:val="20"/>
                <w:color w:val="auto"/>
              </w:rPr>
            </w:pPr>
            <w:r>
              <w:rPr>
                <w:rFonts w:ascii="Times New Roman" w:cs="Times New Roman" w:eastAsia="Times New Roman" w:hAnsi="Times New Roman"/>
                <w:sz w:val="17"/>
                <w:szCs w:val="17"/>
                <w:color w:val="auto"/>
                <w:w w:val="96"/>
              </w:rPr>
              <w:t>Non-Votes</w:t>
            </w:r>
          </w:p>
        </w:tc>
        <w:tc>
          <w:tcPr>
            <w:tcW w:w="0" w:type="dxa"/>
            <w:vAlign w:val="bottom"/>
          </w:tcPr>
          <w:p>
            <w:pPr>
              <w:spacing w:after="0"/>
              <w:rPr>
                <w:sz w:val="1"/>
                <w:szCs w:val="1"/>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940" w:type="dxa"/>
            <w:vAlign w:val="bottom"/>
            <w:tcBorders>
              <w:bottom w:val="single" w:sz="8" w:color="auto"/>
              <w:right w:val="single" w:sz="8" w:color="auto"/>
            </w:tcBorders>
            <w:gridSpan w:val="3"/>
          </w:tcPr>
          <w:p>
            <w:pPr>
              <w:spacing w:after="0" w:line="175" w:lineRule="exact"/>
              <w:rPr>
                <w:sz w:val="20"/>
                <w:szCs w:val="20"/>
                <w:color w:val="auto"/>
              </w:rPr>
            </w:pPr>
            <w:r>
              <w:rPr>
                <w:rFonts w:ascii="Times New Roman" w:cs="Times New Roman" w:eastAsia="Times New Roman" w:hAnsi="Times New Roman"/>
                <w:sz w:val="17"/>
                <w:szCs w:val="17"/>
                <w:color w:val="auto"/>
              </w:rPr>
              <w:t>Joseph C. Breunig</w:t>
            </w:r>
          </w:p>
        </w:tc>
        <w:tc>
          <w:tcPr>
            <w:tcW w:w="1080" w:type="dxa"/>
            <w:vAlign w:val="bottom"/>
            <w:tcBorders>
              <w:bottom w:val="single" w:sz="8" w:color="auto"/>
            </w:tcBorders>
            <w:gridSpan w:val="2"/>
          </w:tcPr>
          <w:p>
            <w:pPr>
              <w:jc w:val="right"/>
              <w:spacing w:after="0" w:line="175" w:lineRule="exact"/>
              <w:rPr>
                <w:sz w:val="20"/>
                <w:szCs w:val="20"/>
                <w:color w:val="auto"/>
              </w:rPr>
            </w:pPr>
            <w:r>
              <w:rPr>
                <w:rFonts w:ascii="Times New Roman" w:cs="Times New Roman" w:eastAsia="Times New Roman" w:hAnsi="Times New Roman"/>
                <w:sz w:val="17"/>
                <w:szCs w:val="17"/>
                <w:color w:val="auto"/>
              </w:rPr>
              <w:t>26,544,838</w:t>
            </w:r>
          </w:p>
        </w:tc>
        <w:tc>
          <w:tcPr>
            <w:tcW w:w="44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tcBorders>
            <w:gridSpan w:val="4"/>
          </w:tcPr>
          <w:p>
            <w:pPr>
              <w:jc w:val="right"/>
              <w:ind w:right="60"/>
              <w:spacing w:after="0" w:line="175" w:lineRule="exact"/>
              <w:rPr>
                <w:sz w:val="20"/>
                <w:szCs w:val="20"/>
                <w:color w:val="auto"/>
              </w:rPr>
            </w:pPr>
            <w:r>
              <w:rPr>
                <w:rFonts w:ascii="Times New Roman" w:cs="Times New Roman" w:eastAsia="Times New Roman" w:hAnsi="Times New Roman"/>
                <w:sz w:val="17"/>
                <w:szCs w:val="17"/>
                <w:color w:val="auto"/>
              </w:rPr>
              <w:t>2,922,599</w:t>
            </w:r>
          </w:p>
        </w:tc>
        <w:tc>
          <w:tcPr>
            <w:tcW w:w="52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tcBorders>
            <w:gridSpan w:val="3"/>
          </w:tcPr>
          <w:p>
            <w:pPr>
              <w:ind w:left="420"/>
              <w:spacing w:after="0" w:line="175" w:lineRule="exact"/>
              <w:rPr>
                <w:sz w:val="20"/>
                <w:szCs w:val="20"/>
                <w:color w:val="auto"/>
              </w:rPr>
            </w:pPr>
            <w:r>
              <w:rPr>
                <w:rFonts w:ascii="Times New Roman" w:cs="Times New Roman" w:eastAsia="Times New Roman" w:hAnsi="Times New Roman"/>
                <w:sz w:val="17"/>
                <w:szCs w:val="17"/>
                <w:color w:val="auto"/>
              </w:rPr>
              <w:t>10,157</w:t>
            </w:r>
          </w:p>
        </w:tc>
        <w:tc>
          <w:tcPr>
            <w:tcW w:w="160" w:type="dxa"/>
            <w:vAlign w:val="bottom"/>
            <w:tcBorders>
              <w:bottom w:val="single" w:sz="8" w:color="auto"/>
            </w:tcBorders>
          </w:tcPr>
          <w:p>
            <w:pPr>
              <w:spacing w:after="0"/>
              <w:rPr>
                <w:sz w:val="15"/>
                <w:szCs w:val="15"/>
                <w:color w:val="auto"/>
              </w:rPr>
            </w:pPr>
          </w:p>
        </w:tc>
        <w:tc>
          <w:tcPr>
            <w:tcW w:w="44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100"/>
              <w:spacing w:after="0" w:line="175" w:lineRule="exact"/>
              <w:rPr>
                <w:sz w:val="20"/>
                <w:szCs w:val="20"/>
                <w:color w:val="auto"/>
              </w:rPr>
            </w:pPr>
            <w:r>
              <w:rPr>
                <w:rFonts w:ascii="Times New Roman" w:cs="Times New Roman" w:eastAsia="Times New Roman" w:hAnsi="Times New Roman"/>
                <w:sz w:val="17"/>
                <w:szCs w:val="17"/>
                <w:color w:val="auto"/>
              </w:rPr>
              <w:t>639,407</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940" w:type="dxa"/>
            <w:vAlign w:val="bottom"/>
            <w:tcBorders>
              <w:bottom w:val="single" w:sz="8" w:color="auto"/>
              <w:right w:val="single" w:sz="8" w:color="auto"/>
            </w:tcBorders>
            <w:gridSpan w:val="3"/>
          </w:tcPr>
          <w:p>
            <w:pPr>
              <w:spacing w:after="0" w:line="183" w:lineRule="exact"/>
              <w:rPr>
                <w:sz w:val="20"/>
                <w:szCs w:val="20"/>
                <w:color w:val="auto"/>
              </w:rPr>
            </w:pPr>
            <w:r>
              <w:rPr>
                <w:rFonts w:ascii="Times New Roman" w:cs="Times New Roman" w:eastAsia="Times New Roman" w:hAnsi="Times New Roman"/>
                <w:sz w:val="17"/>
                <w:szCs w:val="17"/>
                <w:color w:val="auto"/>
              </w:rPr>
              <w:t>Kristina M. Johnson</w:t>
            </w:r>
          </w:p>
        </w:tc>
        <w:tc>
          <w:tcPr>
            <w:tcW w:w="1080" w:type="dxa"/>
            <w:vAlign w:val="bottom"/>
            <w:tcBorders>
              <w:bottom w:val="single" w:sz="8" w:color="auto"/>
            </w:tcBorders>
            <w:gridSpan w:val="2"/>
          </w:tcPr>
          <w:p>
            <w:pPr>
              <w:jc w:val="right"/>
              <w:spacing w:after="0" w:line="183" w:lineRule="exact"/>
              <w:rPr>
                <w:sz w:val="20"/>
                <w:szCs w:val="20"/>
                <w:color w:val="auto"/>
              </w:rPr>
            </w:pPr>
            <w:r>
              <w:rPr>
                <w:rFonts w:ascii="Times New Roman" w:cs="Times New Roman" w:eastAsia="Times New Roman" w:hAnsi="Times New Roman"/>
                <w:sz w:val="17"/>
                <w:szCs w:val="17"/>
                <w:color w:val="auto"/>
              </w:rPr>
              <w:t>28,994,994</w:t>
            </w:r>
          </w:p>
        </w:tc>
        <w:tc>
          <w:tcPr>
            <w:tcW w:w="44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spacing w:after="0" w:line="183" w:lineRule="exact"/>
              <w:rPr>
                <w:sz w:val="20"/>
                <w:szCs w:val="20"/>
                <w:color w:val="auto"/>
              </w:rPr>
            </w:pPr>
            <w:r>
              <w:rPr>
                <w:rFonts w:ascii="Times New Roman" w:cs="Times New Roman" w:eastAsia="Times New Roman" w:hAnsi="Times New Roman"/>
                <w:sz w:val="17"/>
                <w:szCs w:val="17"/>
                <w:color w:val="auto"/>
              </w:rPr>
              <w:t>471,600</w:t>
            </w: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tcBorders>
            <w:gridSpan w:val="3"/>
          </w:tcPr>
          <w:p>
            <w:pPr>
              <w:ind w:left="420"/>
              <w:spacing w:after="0" w:line="183" w:lineRule="exact"/>
              <w:rPr>
                <w:sz w:val="20"/>
                <w:szCs w:val="20"/>
                <w:color w:val="auto"/>
              </w:rPr>
            </w:pPr>
            <w:r>
              <w:rPr>
                <w:rFonts w:ascii="Times New Roman" w:cs="Times New Roman" w:eastAsia="Times New Roman" w:hAnsi="Times New Roman"/>
                <w:sz w:val="17"/>
                <w:szCs w:val="17"/>
                <w:color w:val="auto"/>
              </w:rPr>
              <w:t>11,000</w:t>
            </w:r>
          </w:p>
        </w:tc>
        <w:tc>
          <w:tcPr>
            <w:tcW w:w="160" w:type="dxa"/>
            <w:vAlign w:val="bottom"/>
            <w:tcBorders>
              <w:bottom w:val="single" w:sz="8" w:color="auto"/>
            </w:tcBorders>
          </w:tcPr>
          <w:p>
            <w:pPr>
              <w:spacing w:after="0"/>
              <w:rPr>
                <w:sz w:val="15"/>
                <w:szCs w:val="15"/>
                <w:color w:val="auto"/>
              </w:rPr>
            </w:pPr>
          </w:p>
        </w:tc>
        <w:tc>
          <w:tcPr>
            <w:tcW w:w="44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100"/>
              <w:spacing w:after="0" w:line="183" w:lineRule="exact"/>
              <w:rPr>
                <w:sz w:val="20"/>
                <w:szCs w:val="20"/>
                <w:color w:val="auto"/>
              </w:rPr>
            </w:pPr>
            <w:r>
              <w:rPr>
                <w:rFonts w:ascii="Times New Roman" w:cs="Times New Roman" w:eastAsia="Times New Roman" w:hAnsi="Times New Roman"/>
                <w:sz w:val="17"/>
                <w:szCs w:val="17"/>
                <w:color w:val="auto"/>
              </w:rPr>
              <w:t>639,407</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left="80"/>
        <w:spacing w:after="0" w:line="268" w:lineRule="auto"/>
        <w:rPr>
          <w:sz w:val="20"/>
          <w:szCs w:val="20"/>
          <w:color w:val="auto"/>
        </w:rPr>
      </w:pPr>
      <w:r>
        <w:rPr>
          <w:rFonts w:ascii="Times New Roman" w:cs="Times New Roman" w:eastAsia="Times New Roman" w:hAnsi="Times New Roman"/>
          <w:sz w:val="17"/>
          <w:szCs w:val="17"/>
          <w:color w:val="auto"/>
        </w:rPr>
        <w:t>Proposal 2. The proposal to ratify the appointment of KPMG LLP as the independent registered public accounting firm of the Company for the 2026 fiscal year received the following votes:</w:t>
      </w:r>
    </w:p>
    <w:p>
      <w:pPr>
        <w:spacing w:after="0" w:line="140" w:lineRule="exact"/>
        <w:rPr>
          <w:sz w:val="20"/>
          <w:szCs w:val="20"/>
          <w:color w:val="auto"/>
        </w:rPr>
      </w:pPr>
    </w:p>
    <w:tbl>
      <w:tblPr>
        <w:tblLayout w:type="fixed"/>
        <w:tblInd w:w="690" w:type="dxa"/>
        <w:tblCellMar>
          <w:top w:w="0" w:type="dxa"/>
          <w:left w:w="0" w:type="dxa"/>
          <w:bottom w:w="0" w:type="dxa"/>
          <w:right w:w="0" w:type="dxa"/>
        </w:tblCellMar>
      </w:tblPr>
      <w:tr>
        <w:trPr>
          <w:trHeight w:val="171"/>
        </w:trPr>
        <w:tc>
          <w:tcPr>
            <w:tcW w:w="1720" w:type="dxa"/>
            <w:vAlign w:val="bottom"/>
            <w:tcBorders>
              <w:top w:val="single" w:sz="8" w:color="auto"/>
              <w:left w:val="single" w:sz="8" w:color="auto"/>
              <w:right w:val="single" w:sz="8" w:color="auto"/>
            </w:tcBorders>
            <w:gridSpan w:val="3"/>
          </w:tcPr>
          <w:p>
            <w:pPr>
              <w:ind w:left="520"/>
              <w:spacing w:after="0" w:line="171" w:lineRule="exact"/>
              <w:rPr>
                <w:sz w:val="20"/>
                <w:szCs w:val="20"/>
                <w:color w:val="auto"/>
              </w:rPr>
            </w:pPr>
            <w:r>
              <w:rPr>
                <w:rFonts w:ascii="Times New Roman" w:cs="Times New Roman" w:eastAsia="Times New Roman" w:hAnsi="Times New Roman"/>
                <w:sz w:val="17"/>
                <w:szCs w:val="17"/>
                <w:color w:val="auto"/>
              </w:rPr>
              <w:t>Votes For</w:t>
            </w:r>
          </w:p>
        </w:tc>
        <w:tc>
          <w:tcPr>
            <w:tcW w:w="360" w:type="dxa"/>
            <w:vAlign w:val="bottom"/>
            <w:tcBorders>
              <w:top w:val="single" w:sz="8" w:color="auto"/>
            </w:tcBorders>
          </w:tcPr>
          <w:p>
            <w:pPr>
              <w:spacing w:after="0"/>
              <w:rPr>
                <w:sz w:val="14"/>
                <w:szCs w:val="14"/>
                <w:color w:val="auto"/>
              </w:rPr>
            </w:pPr>
          </w:p>
        </w:tc>
        <w:tc>
          <w:tcPr>
            <w:tcW w:w="1340" w:type="dxa"/>
            <w:vAlign w:val="bottom"/>
            <w:tcBorders>
              <w:top w:val="single" w:sz="8" w:color="auto"/>
              <w:right w:val="single" w:sz="8" w:color="auto"/>
            </w:tcBorders>
            <w:gridSpan w:val="2"/>
          </w:tcPr>
          <w:p>
            <w:pPr>
              <w:spacing w:after="0" w:line="171" w:lineRule="exact"/>
              <w:rPr>
                <w:sz w:val="20"/>
                <w:szCs w:val="20"/>
                <w:color w:val="auto"/>
              </w:rPr>
            </w:pPr>
            <w:r>
              <w:rPr>
                <w:rFonts w:ascii="Times New Roman" w:cs="Times New Roman" w:eastAsia="Times New Roman" w:hAnsi="Times New Roman"/>
                <w:sz w:val="17"/>
                <w:szCs w:val="17"/>
                <w:color w:val="auto"/>
              </w:rPr>
              <w:t>Votes Against</w:t>
            </w:r>
          </w:p>
        </w:tc>
        <w:tc>
          <w:tcPr>
            <w:tcW w:w="1700" w:type="dxa"/>
            <w:vAlign w:val="bottom"/>
            <w:tcBorders>
              <w:top w:val="single" w:sz="8" w:color="auto"/>
              <w:right w:val="single" w:sz="8" w:color="auto"/>
            </w:tcBorders>
            <w:gridSpan w:val="3"/>
          </w:tcPr>
          <w:p>
            <w:pPr>
              <w:ind w:left="280"/>
              <w:spacing w:after="0" w:line="171" w:lineRule="exact"/>
              <w:rPr>
                <w:sz w:val="20"/>
                <w:szCs w:val="20"/>
                <w:color w:val="auto"/>
              </w:rPr>
            </w:pPr>
            <w:r>
              <w:rPr>
                <w:rFonts w:ascii="Times New Roman" w:cs="Times New Roman" w:eastAsia="Times New Roman" w:hAnsi="Times New Roman"/>
                <w:sz w:val="17"/>
                <w:szCs w:val="17"/>
                <w:color w:val="auto"/>
              </w:rPr>
              <w:t>Votes Abstained</w:t>
            </w:r>
          </w:p>
        </w:tc>
      </w:tr>
      <w:tr>
        <w:trPr>
          <w:trHeight w:val="20"/>
        </w:trPr>
        <w:tc>
          <w:tcPr>
            <w:tcW w:w="520" w:type="dxa"/>
            <w:vAlign w:val="bottom"/>
            <w:tcBorders>
              <w:left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r>
      <w:tr>
        <w:trPr>
          <w:trHeight w:val="175"/>
        </w:trPr>
        <w:tc>
          <w:tcPr>
            <w:tcW w:w="1180" w:type="dxa"/>
            <w:vAlign w:val="bottom"/>
            <w:tcBorders>
              <w:left w:val="single" w:sz="8" w:color="auto"/>
              <w:bottom w:val="single" w:sz="8" w:color="auto"/>
            </w:tcBorders>
            <w:gridSpan w:val="2"/>
          </w:tcPr>
          <w:p>
            <w:pPr>
              <w:jc w:val="right"/>
              <w:ind w:right="80"/>
              <w:spacing w:after="0" w:line="175" w:lineRule="exact"/>
              <w:rPr>
                <w:sz w:val="20"/>
                <w:szCs w:val="20"/>
                <w:color w:val="auto"/>
              </w:rPr>
            </w:pPr>
            <w:r>
              <w:rPr>
                <w:rFonts w:ascii="Times New Roman" w:cs="Times New Roman" w:eastAsia="Times New Roman" w:hAnsi="Times New Roman"/>
                <w:sz w:val="17"/>
                <w:szCs w:val="17"/>
                <w:color w:val="auto"/>
              </w:rPr>
              <w:t>29,199,648</w:t>
            </w:r>
          </w:p>
        </w:tc>
        <w:tc>
          <w:tcPr>
            <w:tcW w:w="540" w:type="dxa"/>
            <w:vAlign w:val="bottom"/>
            <w:tcBorders>
              <w:bottom w:val="single" w:sz="8" w:color="auto"/>
              <w:right w:val="single" w:sz="8" w:color="auto"/>
            </w:tcBorders>
          </w:tcPr>
          <w:p>
            <w:pPr>
              <w:spacing w:after="0"/>
              <w:rPr>
                <w:sz w:val="15"/>
                <w:szCs w:val="15"/>
                <w:color w:val="auto"/>
              </w:rPr>
            </w:pPr>
          </w:p>
        </w:tc>
        <w:tc>
          <w:tcPr>
            <w:tcW w:w="1320" w:type="dxa"/>
            <w:vAlign w:val="bottom"/>
            <w:tcBorders>
              <w:bottom w:val="single" w:sz="8" w:color="auto"/>
            </w:tcBorders>
            <w:gridSpan w:val="2"/>
          </w:tcPr>
          <w:p>
            <w:pPr>
              <w:jc w:val="right"/>
              <w:ind w:right="255"/>
              <w:spacing w:after="0" w:line="175" w:lineRule="exact"/>
              <w:rPr>
                <w:sz w:val="20"/>
                <w:szCs w:val="20"/>
                <w:color w:val="auto"/>
              </w:rPr>
            </w:pPr>
            <w:r>
              <w:rPr>
                <w:rFonts w:ascii="Times New Roman" w:cs="Times New Roman" w:eastAsia="Times New Roman" w:hAnsi="Times New Roman"/>
                <w:sz w:val="17"/>
                <w:szCs w:val="17"/>
                <w:color w:val="auto"/>
              </w:rPr>
              <w:t>855,068</w:t>
            </w:r>
          </w:p>
        </w:tc>
        <w:tc>
          <w:tcPr>
            <w:tcW w:w="380" w:type="dxa"/>
            <w:vAlign w:val="bottom"/>
            <w:tcBorders>
              <w:bottom w:val="single" w:sz="8" w:color="auto"/>
              <w:right w:val="single" w:sz="8" w:color="auto"/>
            </w:tcBorders>
          </w:tcPr>
          <w:p>
            <w:pPr>
              <w:spacing w:after="0"/>
              <w:rPr>
                <w:sz w:val="15"/>
                <w:szCs w:val="15"/>
                <w:color w:val="auto"/>
              </w:rPr>
            </w:pPr>
          </w:p>
        </w:tc>
        <w:tc>
          <w:tcPr>
            <w:tcW w:w="1400" w:type="dxa"/>
            <w:vAlign w:val="bottom"/>
            <w:tcBorders>
              <w:bottom w:val="single" w:sz="8" w:color="auto"/>
            </w:tcBorders>
            <w:gridSpan w:val="2"/>
          </w:tcPr>
          <w:p>
            <w:pPr>
              <w:jc w:val="right"/>
              <w:ind w:right="460"/>
              <w:spacing w:after="0" w:line="175" w:lineRule="exact"/>
              <w:rPr>
                <w:sz w:val="20"/>
                <w:szCs w:val="20"/>
                <w:color w:val="auto"/>
              </w:rPr>
            </w:pPr>
            <w:r>
              <w:rPr>
                <w:rFonts w:ascii="Times New Roman" w:cs="Times New Roman" w:eastAsia="Times New Roman" w:hAnsi="Times New Roman"/>
                <w:sz w:val="17"/>
                <w:szCs w:val="17"/>
                <w:color w:val="auto"/>
              </w:rPr>
              <w:t>62,285</w:t>
            </w:r>
          </w:p>
        </w:tc>
        <w:tc>
          <w:tcPr>
            <w:tcW w:w="300" w:type="dxa"/>
            <w:vAlign w:val="bottom"/>
            <w:tcBorders>
              <w:bottom w:val="single" w:sz="8" w:color="auto"/>
              <w:right w:val="single" w:sz="8" w:color="auto"/>
            </w:tcBorders>
          </w:tcPr>
          <w:p>
            <w:pPr>
              <w:spacing w:after="0"/>
              <w:rPr>
                <w:sz w:val="15"/>
                <w:szCs w:val="15"/>
                <w:color w:val="auto"/>
              </w:rPr>
            </w:pPr>
          </w:p>
        </w:tc>
      </w:tr>
    </w:tbl>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Proposal 3. The proposal to approve, on an advisory basis, the 2025 compensation of the Company’s named executive officers received the following votes:</w:t>
      </w:r>
    </w:p>
    <w:p>
      <w:pPr>
        <w:spacing w:after="0" w:line="189" w:lineRule="exact"/>
        <w:rPr>
          <w:sz w:val="20"/>
          <w:szCs w:val="20"/>
          <w:color w:val="auto"/>
        </w:rPr>
      </w:pPr>
    </w:p>
    <w:tbl>
      <w:tblPr>
        <w:tblLayout w:type="fixed"/>
        <w:tblInd w:w="80" w:type="dxa"/>
        <w:tblCellMar>
          <w:top w:w="0" w:type="dxa"/>
          <w:left w:w="0" w:type="dxa"/>
          <w:bottom w:w="0" w:type="dxa"/>
          <w:right w:w="0" w:type="dxa"/>
        </w:tblCellMar>
      </w:tblPr>
      <w:tr>
        <w:trPr>
          <w:trHeight w:val="171"/>
        </w:trPr>
        <w:tc>
          <w:tcPr>
            <w:tcW w:w="620" w:type="dxa"/>
            <w:vAlign w:val="bottom"/>
            <w:tcBorders>
              <w:right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500" w:type="dxa"/>
            <w:vAlign w:val="bottom"/>
            <w:tcBorders>
              <w:top w:val="single" w:sz="8" w:color="auto"/>
              <w:right w:val="single" w:sz="8" w:color="auto"/>
            </w:tcBorders>
            <w:gridSpan w:val="3"/>
          </w:tcPr>
          <w:p>
            <w:pPr>
              <w:ind w:left="300"/>
              <w:spacing w:after="0" w:line="171" w:lineRule="exact"/>
              <w:rPr>
                <w:sz w:val="20"/>
                <w:szCs w:val="20"/>
                <w:color w:val="auto"/>
              </w:rPr>
            </w:pPr>
            <w:r>
              <w:rPr>
                <w:rFonts w:ascii="Times New Roman" w:cs="Times New Roman" w:eastAsia="Times New Roman" w:hAnsi="Times New Roman"/>
                <w:sz w:val="17"/>
                <w:szCs w:val="17"/>
                <w:color w:val="auto"/>
              </w:rPr>
              <w:t>Votes For</w:t>
            </w:r>
          </w:p>
        </w:tc>
        <w:tc>
          <w:tcPr>
            <w:tcW w:w="360" w:type="dxa"/>
            <w:vAlign w:val="bottom"/>
            <w:tcBorders>
              <w:top w:val="single" w:sz="8" w:color="auto"/>
            </w:tcBorders>
          </w:tcPr>
          <w:p>
            <w:pPr>
              <w:spacing w:after="0"/>
              <w:rPr>
                <w:sz w:val="14"/>
                <w:szCs w:val="14"/>
                <w:color w:val="auto"/>
              </w:rPr>
            </w:pPr>
          </w:p>
        </w:tc>
        <w:tc>
          <w:tcPr>
            <w:tcW w:w="1340" w:type="dxa"/>
            <w:vAlign w:val="bottom"/>
            <w:tcBorders>
              <w:top w:val="single" w:sz="8" w:color="auto"/>
              <w:right w:val="single" w:sz="8" w:color="auto"/>
            </w:tcBorders>
            <w:gridSpan w:val="2"/>
          </w:tcPr>
          <w:p>
            <w:pPr>
              <w:spacing w:after="0" w:line="171" w:lineRule="exact"/>
              <w:rPr>
                <w:sz w:val="20"/>
                <w:szCs w:val="20"/>
                <w:color w:val="auto"/>
              </w:rPr>
            </w:pPr>
            <w:r>
              <w:rPr>
                <w:rFonts w:ascii="Times New Roman" w:cs="Times New Roman" w:eastAsia="Times New Roman" w:hAnsi="Times New Roman"/>
                <w:sz w:val="17"/>
                <w:szCs w:val="17"/>
                <w:color w:val="auto"/>
              </w:rPr>
              <w:t>Votes Against</w:t>
            </w:r>
          </w:p>
        </w:tc>
        <w:tc>
          <w:tcPr>
            <w:tcW w:w="1700" w:type="dxa"/>
            <w:vAlign w:val="bottom"/>
            <w:tcBorders>
              <w:top w:val="single" w:sz="8" w:color="auto"/>
              <w:right w:val="single" w:sz="8" w:color="auto"/>
            </w:tcBorders>
            <w:gridSpan w:val="3"/>
          </w:tcPr>
          <w:p>
            <w:pPr>
              <w:ind w:left="280"/>
              <w:spacing w:after="0" w:line="171" w:lineRule="exact"/>
              <w:rPr>
                <w:sz w:val="20"/>
                <w:szCs w:val="20"/>
                <w:color w:val="auto"/>
              </w:rPr>
            </w:pPr>
            <w:r>
              <w:rPr>
                <w:rFonts w:ascii="Times New Roman" w:cs="Times New Roman" w:eastAsia="Times New Roman" w:hAnsi="Times New Roman"/>
                <w:sz w:val="17"/>
                <w:szCs w:val="17"/>
                <w:color w:val="auto"/>
              </w:rPr>
              <w:t>Votes Abstained</w:t>
            </w:r>
          </w:p>
        </w:tc>
        <w:tc>
          <w:tcPr>
            <w:tcW w:w="1720" w:type="dxa"/>
            <w:vAlign w:val="bottom"/>
            <w:tcBorders>
              <w:top w:val="single" w:sz="8" w:color="auto"/>
              <w:right w:val="single" w:sz="8" w:color="auto"/>
            </w:tcBorders>
            <w:gridSpan w:val="3"/>
          </w:tcPr>
          <w:p>
            <w:pPr>
              <w:ind w:left="220"/>
              <w:spacing w:after="0" w:line="171" w:lineRule="exact"/>
              <w:rPr>
                <w:sz w:val="20"/>
                <w:szCs w:val="20"/>
                <w:color w:val="auto"/>
              </w:rPr>
            </w:pPr>
            <w:r>
              <w:rPr>
                <w:rFonts w:ascii="Times New Roman" w:cs="Times New Roman" w:eastAsia="Times New Roman" w:hAnsi="Times New Roman"/>
                <w:sz w:val="17"/>
                <w:szCs w:val="17"/>
                <w:color w:val="auto"/>
              </w:rPr>
              <w:t>Broker Non-Votes</w:t>
            </w:r>
          </w:p>
        </w:tc>
      </w:tr>
      <w:tr>
        <w:trPr>
          <w:trHeight w:val="20"/>
        </w:trPr>
        <w:tc>
          <w:tcPr>
            <w:tcW w:w="620" w:type="dxa"/>
            <w:vAlign w:val="bottom"/>
            <w:tcBorders>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r>
      <w:tr>
        <w:trPr>
          <w:trHeight w:val="175"/>
        </w:trPr>
        <w:tc>
          <w:tcPr>
            <w:tcW w:w="620" w:type="dxa"/>
            <w:vAlign w:val="bottom"/>
            <w:tcBorders>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80"/>
              <w:spacing w:after="0" w:line="175" w:lineRule="exact"/>
              <w:rPr>
                <w:sz w:val="20"/>
                <w:szCs w:val="20"/>
                <w:color w:val="auto"/>
              </w:rPr>
            </w:pPr>
            <w:r>
              <w:rPr>
                <w:rFonts w:ascii="Times New Roman" w:cs="Times New Roman" w:eastAsia="Times New Roman" w:hAnsi="Times New Roman"/>
                <w:sz w:val="17"/>
                <w:szCs w:val="17"/>
                <w:color w:val="auto"/>
              </w:rPr>
              <w:t>28,298,580</w:t>
            </w:r>
          </w:p>
        </w:tc>
        <w:tc>
          <w:tcPr>
            <w:tcW w:w="540" w:type="dxa"/>
            <w:vAlign w:val="bottom"/>
            <w:tcBorders>
              <w:bottom w:val="single" w:sz="8" w:color="auto"/>
              <w:right w:val="single" w:sz="8" w:color="auto"/>
            </w:tcBorders>
          </w:tcPr>
          <w:p>
            <w:pPr>
              <w:spacing w:after="0"/>
              <w:rPr>
                <w:sz w:val="15"/>
                <w:szCs w:val="15"/>
                <w:color w:val="auto"/>
              </w:rPr>
            </w:pPr>
          </w:p>
        </w:tc>
        <w:tc>
          <w:tcPr>
            <w:tcW w:w="1320" w:type="dxa"/>
            <w:vAlign w:val="bottom"/>
            <w:tcBorders>
              <w:bottom w:val="single" w:sz="8" w:color="auto"/>
            </w:tcBorders>
            <w:gridSpan w:val="2"/>
          </w:tcPr>
          <w:p>
            <w:pPr>
              <w:ind w:left="360"/>
              <w:spacing w:after="0" w:line="175" w:lineRule="exact"/>
              <w:rPr>
                <w:sz w:val="20"/>
                <w:szCs w:val="20"/>
                <w:color w:val="auto"/>
              </w:rPr>
            </w:pPr>
            <w:r>
              <w:rPr>
                <w:rFonts w:ascii="Times New Roman" w:cs="Times New Roman" w:eastAsia="Times New Roman" w:hAnsi="Times New Roman"/>
                <w:sz w:val="17"/>
                <w:szCs w:val="17"/>
                <w:color w:val="auto"/>
              </w:rPr>
              <w:t>1,102,031</w:t>
            </w:r>
          </w:p>
        </w:tc>
        <w:tc>
          <w:tcPr>
            <w:tcW w:w="380" w:type="dxa"/>
            <w:vAlign w:val="bottom"/>
            <w:tcBorders>
              <w:bottom w:val="single" w:sz="8" w:color="auto"/>
              <w:right w:val="single" w:sz="8" w:color="auto"/>
            </w:tcBorders>
          </w:tcPr>
          <w:p>
            <w:pPr>
              <w:spacing w:after="0"/>
              <w:rPr>
                <w:sz w:val="15"/>
                <w:szCs w:val="15"/>
                <w:color w:val="auto"/>
              </w:rPr>
            </w:pPr>
          </w:p>
        </w:tc>
        <w:tc>
          <w:tcPr>
            <w:tcW w:w="1400" w:type="dxa"/>
            <w:vAlign w:val="bottom"/>
            <w:tcBorders>
              <w:bottom w:val="single" w:sz="8" w:color="auto"/>
            </w:tcBorders>
            <w:gridSpan w:val="2"/>
          </w:tcPr>
          <w:p>
            <w:pPr>
              <w:jc w:val="right"/>
              <w:ind w:right="460"/>
              <w:spacing w:after="0" w:line="175" w:lineRule="exact"/>
              <w:rPr>
                <w:sz w:val="20"/>
                <w:szCs w:val="20"/>
                <w:color w:val="auto"/>
              </w:rPr>
            </w:pPr>
            <w:r>
              <w:rPr>
                <w:rFonts w:ascii="Times New Roman" w:cs="Times New Roman" w:eastAsia="Times New Roman" w:hAnsi="Times New Roman"/>
                <w:sz w:val="17"/>
                <w:szCs w:val="17"/>
                <w:color w:val="auto"/>
              </w:rPr>
              <w:t>76,983</w:t>
            </w:r>
          </w:p>
        </w:tc>
        <w:tc>
          <w:tcPr>
            <w:tcW w:w="30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tcBorders>
            <w:gridSpan w:val="2"/>
          </w:tcPr>
          <w:p>
            <w:pPr>
              <w:jc w:val="right"/>
              <w:ind w:right="460"/>
              <w:spacing w:after="0" w:line="175" w:lineRule="exact"/>
              <w:rPr>
                <w:sz w:val="20"/>
                <w:szCs w:val="20"/>
                <w:color w:val="auto"/>
              </w:rPr>
            </w:pPr>
            <w:r>
              <w:rPr>
                <w:rFonts w:ascii="Times New Roman" w:cs="Times New Roman" w:eastAsia="Times New Roman" w:hAnsi="Times New Roman"/>
                <w:sz w:val="17"/>
                <w:szCs w:val="17"/>
                <w:color w:val="auto"/>
              </w:rPr>
              <w:t>639,407</w:t>
            </w:r>
          </w:p>
        </w:tc>
        <w:tc>
          <w:tcPr>
            <w:tcW w:w="260" w:type="dxa"/>
            <w:vAlign w:val="bottom"/>
            <w:tcBorders>
              <w:bottom w:val="single" w:sz="8" w:color="auto"/>
              <w:right w:val="single" w:sz="8" w:color="auto"/>
            </w:tcBorders>
          </w:tcPr>
          <w:p>
            <w:pPr>
              <w:spacing w:after="0"/>
              <w:rPr>
                <w:sz w:val="15"/>
                <w:szCs w:val="15"/>
                <w:color w:val="auto"/>
              </w:rPr>
            </w:pPr>
          </w:p>
        </w:tc>
      </w:tr>
      <w:tr>
        <w:trPr>
          <w:trHeight w:val="576"/>
        </w:trPr>
        <w:tc>
          <w:tcPr>
            <w:tcW w:w="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Item 8.01</w:t>
            </w:r>
          </w:p>
        </w:tc>
        <w:tc>
          <w:tcPr>
            <w:tcW w:w="1500" w:type="dxa"/>
            <w:vAlign w:val="bottom"/>
            <w:gridSpan w:val="3"/>
          </w:tcPr>
          <w:p>
            <w:pPr>
              <w:ind w:left="200"/>
              <w:spacing w:after="0"/>
              <w:rPr>
                <w:sz w:val="20"/>
                <w:szCs w:val="20"/>
                <w:color w:val="auto"/>
              </w:rPr>
            </w:pPr>
            <w:r>
              <w:rPr>
                <w:rFonts w:ascii="Times New Roman" w:cs="Times New Roman" w:eastAsia="Times New Roman" w:hAnsi="Times New Roman"/>
                <w:sz w:val="17"/>
                <w:szCs w:val="17"/>
                <w:b w:val="1"/>
                <w:bCs w:val="1"/>
                <w:color w:val="auto"/>
              </w:rPr>
              <w:t>Other Events</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pacing w:after="0" w:line="162" w:lineRule="exact"/>
        <w:rPr>
          <w:sz w:val="20"/>
          <w:szCs w:val="20"/>
          <w:color w:val="auto"/>
        </w:rPr>
      </w:pPr>
    </w:p>
    <w:p>
      <w:pPr>
        <w:jc w:val="both"/>
        <w:ind w:left="80"/>
        <w:spacing w:after="0" w:line="251" w:lineRule="auto"/>
        <w:rPr>
          <w:sz w:val="20"/>
          <w:szCs w:val="20"/>
          <w:color w:val="auto"/>
        </w:rPr>
      </w:pPr>
      <w:r>
        <w:rPr>
          <w:rFonts w:ascii="Times New Roman" w:cs="Times New Roman" w:eastAsia="Times New Roman" w:hAnsi="Times New Roman"/>
          <w:sz w:val="17"/>
          <w:szCs w:val="17"/>
          <w:color w:val="auto"/>
        </w:rPr>
        <w:t>On May 19, 2026, the Company’s Board of Directors declared a regular quarterly dividend of $0.12 per share on the Company's common stock. The dividend is payable on June 18, 2026 to the stockholders of record on June 2, 2026. A copy of the press release announcing the dividend declaration is attached hereto as Exhibit 99.1 and incorporated by reference herein.</w:t>
      </w:r>
    </w:p>
    <w:p>
      <w:pPr>
        <w:spacing w:after="0" w:line="363" w:lineRule="exact"/>
        <w:rPr>
          <w:sz w:val="20"/>
          <w:szCs w:val="20"/>
          <w:color w:val="auto"/>
        </w:rPr>
      </w:pPr>
    </w:p>
    <w:p>
      <w:pPr>
        <w:ind w:left="160"/>
        <w:spacing w:after="0"/>
        <w:tabs>
          <w:tab w:leader="none" w:pos="1520" w:val="left"/>
        </w:tabs>
        <w:rPr>
          <w:sz w:val="20"/>
          <w:szCs w:val="20"/>
          <w:color w:val="auto"/>
        </w:rPr>
      </w:pPr>
      <w:r>
        <w:rPr>
          <w:rFonts w:ascii="Times New Roman" w:cs="Times New Roman" w:eastAsia="Times New Roman" w:hAnsi="Times New Roman"/>
          <w:sz w:val="17"/>
          <w:szCs w:val="17"/>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92" w:lineRule="exact"/>
        <w:rPr>
          <w:sz w:val="20"/>
          <w:szCs w:val="20"/>
          <w:color w:val="auto"/>
        </w:rPr>
      </w:pPr>
    </w:p>
    <w:p>
      <w:pPr>
        <w:ind w:left="2060" w:hanging="523"/>
        <w:spacing w:after="0"/>
        <w:tabs>
          <w:tab w:leader="none" w:pos="20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w:t>
      </w:r>
    </w:p>
    <w:p>
      <w:pPr>
        <w:spacing w:after="0" w:line="14" w:lineRule="exact"/>
        <w:rPr>
          <w:rFonts w:ascii="Times New Roman" w:cs="Times New Roman" w:eastAsia="Times New Roman" w:hAnsi="Times New Roman"/>
          <w:sz w:val="17"/>
          <w:szCs w:val="17"/>
          <w:color w:val="auto"/>
        </w:rPr>
      </w:pPr>
    </w:p>
    <w:p>
      <w:pPr>
        <w:ind w:left="2060"/>
        <w:spacing w:after="0" w:line="23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99.1</w:t>
      </w:r>
      <w:r>
        <w:rPr>
          <w:rFonts w:ascii="Times New Roman" w:cs="Times New Roman" w:eastAsia="Times New Roman" w:hAnsi="Times New Roman"/>
          <w:sz w:val="17"/>
          <w:szCs w:val="17"/>
          <w:u w:val="single" w:color="auto"/>
          <w:color w:val="0000EE"/>
        </w:rPr>
        <w:t>Press Release dated May 19, 2026</w:t>
      </w:r>
    </w:p>
    <w:p>
      <w:pPr>
        <w:ind w:left="20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104Cover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398780</wp:posOffset>
            </wp:positionV>
            <wp:extent cx="7160895" cy="27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27305"/>
                    </a:xfrm>
                    <a:prstGeom prst="rect">
                      <a:avLst/>
                    </a:prstGeom>
                    <a:noFill/>
                  </pic:spPr>
                </pic:pic>
              </a:graphicData>
            </a:graphic>
          </wp:anchor>
        </w:drawing>
      </w:r>
    </w:p>
    <w:p>
      <w:pPr>
        <w:sectPr>
          <w:pgSz w:w="11900" w:h="16838" w:orient="portrait"/>
          <w:cols w:equalWidth="0" w:num="1">
            <w:col w:w="11360"/>
          </w:cols>
          <w:pgMar w:left="220" w:top="232" w:right="319" w:bottom="1440" w:gutter="0" w:footer="0" w:header="0"/>
        </w:sectPr>
      </w:pPr>
    </w:p>
    <w:bookmarkStart w:id="2" w:name="page3"/>
    <w:bookmarkEnd w:id="2"/>
    <w:p>
      <w:pPr>
        <w:ind w:left="288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384" w:lineRule="exact"/>
        <w:rPr>
          <w:sz w:val="20"/>
          <w:szCs w:val="20"/>
          <w:color w:val="auto"/>
        </w:rPr>
      </w:pPr>
    </w:p>
    <w:p>
      <w:pPr>
        <w:ind w:right="3239"/>
        <w:spacing w:after="0" w:line="26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0"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7"/>
          <w:szCs w:val="17"/>
          <w:b w:val="1"/>
          <w:bCs w:val="1"/>
          <w:color w:val="auto"/>
        </w:rPr>
        <w:t>MINERALS TECHNOLOGIES INC.</w:t>
      </w:r>
    </w:p>
    <w:p>
      <w:pPr>
        <w:spacing w:after="0" w:line="1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7"/>
          <w:szCs w:val="17"/>
          <w:color w:val="auto"/>
        </w:rPr>
        <w:t>(Registrant)</w:t>
      </w:r>
    </w:p>
    <w:p>
      <w:pPr>
        <w:spacing w:after="0" w:line="358" w:lineRule="exact"/>
        <w:rPr>
          <w:sz w:val="20"/>
          <w:szCs w:val="20"/>
          <w:color w:val="auto"/>
        </w:rPr>
      </w:pPr>
    </w:p>
    <w:tbl>
      <w:tblPr>
        <w:tblLayout w:type="fixed"/>
        <w:tblInd w:w="3700" w:type="dxa"/>
        <w:tblCellMar>
          <w:top w:w="0" w:type="dxa"/>
          <w:left w:w="0" w:type="dxa"/>
          <w:bottom w:w="0" w:type="dxa"/>
          <w:right w:w="0" w:type="dxa"/>
        </w:tblCellMar>
      </w:tblPr>
      <w:tr>
        <w:trPr>
          <w:trHeight w:val="195"/>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/s/ Timothy J. Jordan</w:t>
            </w:r>
          </w:p>
        </w:tc>
        <w:tc>
          <w:tcPr>
            <w:tcW w:w="0" w:type="dxa"/>
            <w:vAlign w:val="bottom"/>
          </w:tcPr>
          <w:p>
            <w:pPr>
              <w:spacing w:after="0"/>
              <w:rPr>
                <w:sz w:val="1"/>
                <w:szCs w:val="1"/>
                <w:color w:val="auto"/>
              </w:rPr>
            </w:pPr>
          </w:p>
        </w:tc>
      </w:tr>
      <w:tr>
        <w:trPr>
          <w:trHeight w:val="21"/>
        </w:trPr>
        <w:tc>
          <w:tcPr>
            <w:tcW w:w="6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Name:</w:t>
            </w:r>
          </w:p>
        </w:tc>
        <w:tc>
          <w:tcPr>
            <w:tcW w:w="2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600" w:type="dxa"/>
            <w:vAlign w:val="bottom"/>
            <w:vMerge w:val="continue"/>
          </w:tcPr>
          <w:p>
            <w:pPr>
              <w:spacing w:after="0"/>
              <w:rPr>
                <w:sz w:val="14"/>
                <w:szCs w:val="14"/>
                <w:color w:val="auto"/>
              </w:rPr>
            </w:pPr>
          </w:p>
        </w:tc>
        <w:tc>
          <w:tcPr>
            <w:tcW w:w="2840" w:type="dxa"/>
            <w:vAlign w:val="bottom"/>
          </w:tcPr>
          <w:p>
            <w:pPr>
              <w:spacing w:after="0" w:line="162" w:lineRule="exact"/>
              <w:rPr>
                <w:sz w:val="20"/>
                <w:szCs w:val="20"/>
                <w:color w:val="auto"/>
              </w:rPr>
            </w:pPr>
            <w:r>
              <w:rPr>
                <w:rFonts w:ascii="Times New Roman" w:cs="Times New Roman" w:eastAsia="Times New Roman" w:hAnsi="Times New Roman"/>
                <w:sz w:val="17"/>
                <w:szCs w:val="17"/>
                <w:color w:val="auto"/>
              </w:rPr>
              <w:t>Timothy J. Jordan</w:t>
            </w:r>
          </w:p>
        </w:tc>
        <w:tc>
          <w:tcPr>
            <w:tcW w:w="0" w:type="dxa"/>
            <w:vAlign w:val="bottom"/>
          </w:tcPr>
          <w:p>
            <w:pPr>
              <w:spacing w:after="0"/>
              <w:rPr>
                <w:sz w:val="1"/>
                <w:szCs w:val="1"/>
                <w:color w:val="auto"/>
              </w:rPr>
            </w:pPr>
          </w:p>
        </w:tc>
      </w:tr>
      <w:tr>
        <w:trPr>
          <w:trHeight w:val="192"/>
        </w:trPr>
        <w:tc>
          <w:tcPr>
            <w:tcW w:w="600" w:type="dxa"/>
            <w:vAlign w:val="bottom"/>
          </w:tcPr>
          <w:p>
            <w:pPr>
              <w:spacing w:after="0" w:line="192" w:lineRule="exact"/>
              <w:rPr>
                <w:sz w:val="20"/>
                <w:szCs w:val="20"/>
                <w:color w:val="auto"/>
              </w:rPr>
            </w:pPr>
            <w:r>
              <w:rPr>
                <w:rFonts w:ascii="Times New Roman" w:cs="Times New Roman" w:eastAsia="Times New Roman" w:hAnsi="Times New Roman"/>
                <w:sz w:val="17"/>
                <w:szCs w:val="17"/>
                <w:color w:val="auto"/>
              </w:rPr>
              <w:t>Title:</w:t>
            </w:r>
          </w:p>
        </w:tc>
        <w:tc>
          <w:tcPr>
            <w:tcW w:w="2840" w:type="dxa"/>
            <w:vAlign w:val="bottom"/>
          </w:tcPr>
          <w:p>
            <w:pPr>
              <w:spacing w:after="0" w:line="192" w:lineRule="exact"/>
              <w:rPr>
                <w:sz w:val="20"/>
                <w:szCs w:val="20"/>
                <w:color w:val="auto"/>
              </w:rPr>
            </w:pPr>
            <w:r>
              <w:rPr>
                <w:rFonts w:ascii="Times New Roman" w:cs="Times New Roman" w:eastAsia="Times New Roman" w:hAnsi="Times New Roman"/>
                <w:sz w:val="17"/>
                <w:szCs w:val="17"/>
                <w:color w:val="auto"/>
              </w:rPr>
              <w:t>Vice President, General Counsel,</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Secretary and Chief Compliance Officer</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May 20, 2026</w:t>
      </w:r>
    </w:p>
    <w:p>
      <w:pPr>
        <w:sectPr>
          <w:pgSz w:w="11900" w:h="16838" w:orient="portrait"/>
          <w:cols w:equalWidth="0" w:num="1">
            <w:col w:w="10079"/>
          </w:cols>
          <w:pgMar w:left="380" w:top="1191" w:right="1440" w:bottom="1440" w:gutter="0" w:footer="0" w:header="0"/>
        </w:sectPr>
      </w:pPr>
    </w:p>
    <w:bookmarkStart w:id="3" w:name="page4"/>
    <w:bookmarkEnd w:id="3"/>
    <w:p>
      <w:pPr>
        <w:ind w:left="5800"/>
        <w:spacing w:after="0"/>
        <w:rPr>
          <w:sz w:val="20"/>
          <w:szCs w:val="20"/>
          <w:color w:val="auto"/>
        </w:rPr>
      </w:pPr>
      <w:r>
        <w:rPr>
          <w:rFonts w:ascii="Arial" w:cs="Arial" w:eastAsia="Arial" w:hAnsi="Arial"/>
          <w:sz w:val="26"/>
          <w:szCs w:val="26"/>
          <w:b w:val="1"/>
          <w:bCs w:val="1"/>
          <w:color w:val="auto"/>
        </w:rPr>
        <w:t>EXHIBIT 99.1</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28"/>
          <w:szCs w:val="28"/>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-203200</wp:posOffset>
            </wp:positionV>
            <wp:extent cx="1739265" cy="4667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39265" cy="466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Minerals Technologies Inc. Declares Quarterly Dividend</w:t>
      </w:r>
    </w:p>
    <w:p>
      <w:pPr>
        <w:spacing w:after="0" w:line="180" w:lineRule="exact"/>
        <w:rPr>
          <w:sz w:val="20"/>
          <w:szCs w:val="20"/>
          <w:color w:val="auto"/>
        </w:rPr>
      </w:pPr>
    </w:p>
    <w:p>
      <w:pPr>
        <w:jc w:val="both"/>
        <w:ind w:right="20"/>
        <w:spacing w:after="0" w:line="260" w:lineRule="auto"/>
        <w:rPr>
          <w:sz w:val="20"/>
          <w:szCs w:val="20"/>
          <w:color w:val="auto"/>
        </w:rPr>
      </w:pPr>
      <w:r>
        <w:rPr>
          <w:rFonts w:ascii="Arial" w:cs="Arial" w:eastAsia="Arial" w:hAnsi="Arial"/>
          <w:sz w:val="15"/>
          <w:szCs w:val="15"/>
          <w:color w:val="auto"/>
        </w:rPr>
        <w:t>NEW YORK, May 19, 2026 (GLOBE NEWSWIRE) -- Minerals Technologies Inc. (NYSE: MTX) (“MTI”), a leading, technology-driven specialty minerals company, today announced that its Board of Directors declared a regular cash dividend of $0.12 (twelve cents) per share on the outstanding common stock of the company. The quarterly cash dividend announced today is payable on June 18, 2026, to shareholders of record at the close of business on June 2, 2026.</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Minerals Technologies Inc.</w:t>
      </w:r>
    </w:p>
    <w:p>
      <w:pPr>
        <w:spacing w:after="0" w:line="180"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 xml:space="preserve">Minerals Technologies Inc. (NYSE:MTX) is a global, technology-driven specialty minerals company that sources, manufactures, sells, and distributes a wide range of minerals and mineral-based products and services. We utilize our global mineral reserves, combined with our core technologies and applications, to deliver innovative products that are an essential part of everyday life. We serve customers in consumer and industrial markets worldwide, have 4,000 employees in 34 countries, and reported global sales of $2.1 billion in 2025. For further information, visit </w:t>
      </w:r>
      <w:r>
        <w:rPr>
          <w:rFonts w:ascii="Arial" w:cs="Arial" w:eastAsia="Arial" w:hAnsi="Arial"/>
          <w:sz w:val="16"/>
          <w:szCs w:val="16"/>
          <w:color w:val="0563C1"/>
        </w:rPr>
        <w:t>www.mineralstech.com</w:t>
      </w:r>
      <w:r>
        <w:rPr>
          <w:rFonts w:ascii="Arial" w:cs="Arial" w:eastAsia="Arial" w:hAnsi="Arial"/>
          <w:sz w:val="16"/>
          <w:szCs w:val="16"/>
          <w:color w:val="auto"/>
        </w:rPr>
        <w:t>.</w:t>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Relations Contact</w:t>
      </w:r>
    </w:p>
    <w:p>
      <w:pPr>
        <w:spacing w:after="0" w:line="225" w:lineRule="auto"/>
        <w:rPr>
          <w:sz w:val="20"/>
          <w:szCs w:val="20"/>
          <w:color w:val="auto"/>
        </w:rPr>
      </w:pPr>
      <w:r>
        <w:rPr>
          <w:rFonts w:ascii="Arial" w:cs="Arial" w:eastAsia="Arial" w:hAnsi="Arial"/>
          <w:sz w:val="16"/>
          <w:szCs w:val="16"/>
          <w:color w:val="auto"/>
        </w:rPr>
        <w:t>Lydia Kopylova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563C1"/>
        </w:rPr>
        <w:t>lydia.kopylova@mineralstech.com</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 Contact</w:t>
      </w:r>
    </w:p>
    <w:p>
      <w:pPr>
        <w:spacing w:after="0" w:line="225" w:lineRule="auto"/>
        <w:rPr>
          <w:sz w:val="20"/>
          <w:szCs w:val="20"/>
          <w:color w:val="auto"/>
        </w:rPr>
      </w:pPr>
      <w:r>
        <w:rPr>
          <w:rFonts w:ascii="Arial" w:cs="Arial" w:eastAsia="Arial" w:hAnsi="Arial"/>
          <w:sz w:val="16"/>
          <w:szCs w:val="16"/>
          <w:color w:val="auto"/>
        </w:rPr>
        <w:t>Stephanie Heise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563C1"/>
        </w:rPr>
        <w:t>stephanie.heise@mineralstech.com</w:t>
      </w:r>
    </w:p>
    <w:p>
      <w:pPr>
        <w:spacing w:after="0" w:line="35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1550035" cy="3454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50035" cy="345440"/>
                    </a:xfrm>
                    <a:prstGeom prst="rect">
                      <a:avLst/>
                    </a:prstGeom>
                    <a:noFill/>
                  </pic:spPr>
                </pic:pic>
              </a:graphicData>
            </a:graphic>
          </wp:anchor>
        </w:drawing>
      </w:r>
    </w:p>
    <w:p>
      <w:pPr>
        <w:sectPr>
          <w:pgSz w:w="11900" w:h="16838" w:orient="portrait"/>
          <w:cols w:equalWidth="0" w:num="1">
            <w:col w:w="11180"/>
          </w:cols>
          <w:pgMar w:left="300" w:top="436" w:right="41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2026-05-20T14:02:25Z</dcterms:created>
  <dcterms:modified xsi:type="dcterms:W3CDTF">2026-05-20T14:02:25Z</dcterms:modified>
</cp:coreProperties>
</file>