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277495</wp:posOffset>
            </wp:positionV>
            <wp:extent cx="716216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142875</wp:posOffset>
            </wp:positionV>
            <wp:extent cx="7162165"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2667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October 15, 2025</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MINERALS TECHNOLOGIES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820" w:type="dxa"/>
            <w:vAlign w:val="bottom"/>
            <w:gridSpan w:val="5"/>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1-11430</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4"/>
          </w:tcPr>
          <w:p>
            <w:pPr>
              <w:jc w:val="center"/>
              <w:ind w:left="615"/>
              <w:spacing w:after="0"/>
              <w:rPr>
                <w:sz w:val="20"/>
                <w:szCs w:val="20"/>
                <w:color w:val="auto"/>
              </w:rPr>
            </w:pPr>
            <w:r>
              <w:rPr>
                <w:rFonts w:ascii="Times New Roman" w:cs="Times New Roman" w:eastAsia="Times New Roman" w:hAnsi="Times New Roman"/>
                <w:sz w:val="17"/>
                <w:szCs w:val="17"/>
                <w:b w:val="1"/>
                <w:bCs w:val="1"/>
                <w:color w:val="auto"/>
                <w:w w:val="97"/>
              </w:rPr>
              <w:t>25-1190717</w:t>
            </w:r>
          </w:p>
        </w:tc>
        <w:tc>
          <w:tcPr>
            <w:tcW w:w="0" w:type="dxa"/>
            <w:vAlign w:val="bottom"/>
          </w:tcPr>
          <w:p>
            <w:pPr>
              <w:spacing w:after="0"/>
              <w:rPr>
                <w:sz w:val="1"/>
                <w:szCs w:val="1"/>
                <w:color w:val="auto"/>
              </w:rPr>
            </w:pPr>
          </w:p>
        </w:tc>
      </w:tr>
      <w:tr>
        <w:trPr>
          <w:trHeight w:val="35"/>
        </w:trPr>
        <w:tc>
          <w:tcPr>
            <w:tcW w:w="34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8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40" w:type="dxa"/>
            <w:vAlign w:val="bottom"/>
            <w:gridSpan w:val="3"/>
          </w:tcPr>
          <w:p>
            <w:pPr>
              <w:jc w:val="center"/>
              <w:ind w:right="700"/>
              <w:spacing w:after="0" w:line="161" w:lineRule="exact"/>
              <w:rPr>
                <w:sz w:val="20"/>
                <w:szCs w:val="20"/>
                <w:color w:val="auto"/>
              </w:rPr>
            </w:pPr>
            <w:r>
              <w:rPr>
                <w:rFonts w:ascii="Times New Roman" w:cs="Times New Roman" w:eastAsia="Times New Roman" w:hAnsi="Times New Roman"/>
                <w:sz w:val="17"/>
                <w:szCs w:val="17"/>
                <w:color w:val="auto"/>
                <w:w w:val="99"/>
              </w:rPr>
              <w:t>(Commission File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(IRS Employer</w:t>
            </w:r>
          </w:p>
        </w:tc>
        <w:tc>
          <w:tcPr>
            <w:tcW w:w="0" w:type="dxa"/>
            <w:vAlign w:val="bottom"/>
          </w:tcPr>
          <w:p>
            <w:pPr>
              <w:spacing w:after="0"/>
              <w:rPr>
                <w:sz w:val="1"/>
                <w:szCs w:val="1"/>
                <w:color w:val="auto"/>
              </w:rPr>
            </w:pPr>
          </w:p>
        </w:tc>
      </w:tr>
      <w:tr>
        <w:trPr>
          <w:trHeight w:val="219"/>
        </w:trPr>
        <w:tc>
          <w:tcPr>
            <w:tcW w:w="3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incorporation)</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w w:val="97"/>
              </w:rPr>
              <w:t>Number)</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c>
          <w:tcPr>
            <w:tcW w:w="0" w:type="dxa"/>
            <w:vAlign w:val="bottom"/>
          </w:tcPr>
          <w:p>
            <w:pPr>
              <w:spacing w:after="0"/>
              <w:rPr>
                <w:sz w:val="1"/>
                <w:szCs w:val="1"/>
                <w:color w:val="auto"/>
              </w:rPr>
            </w:pPr>
          </w:p>
        </w:tc>
      </w:tr>
      <w:tr>
        <w:trPr>
          <w:trHeight w:val="374"/>
        </w:trPr>
        <w:tc>
          <w:tcPr>
            <w:tcW w:w="3760" w:type="dxa"/>
            <w:vAlign w:val="bottom"/>
            <w:gridSpan w:val="2"/>
          </w:tcPr>
          <w:p>
            <w:pPr>
              <w:ind w:left="1240"/>
              <w:spacing w:after="0"/>
              <w:rPr>
                <w:sz w:val="20"/>
                <w:szCs w:val="20"/>
                <w:color w:val="auto"/>
              </w:rPr>
            </w:pPr>
            <w:r>
              <w:rPr>
                <w:rFonts w:ascii="Times New Roman" w:cs="Times New Roman" w:eastAsia="Times New Roman" w:hAnsi="Times New Roman"/>
                <w:sz w:val="17"/>
                <w:szCs w:val="17"/>
                <w:b w:val="1"/>
                <w:bCs w:val="1"/>
                <w:color w:val="auto"/>
              </w:rPr>
              <w:t>622 Third Avenue, New York, NY</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4"/>
          </w:tcPr>
          <w:p>
            <w:pPr>
              <w:jc w:val="right"/>
              <w:ind w:right="1116"/>
              <w:spacing w:after="0"/>
              <w:rPr>
                <w:sz w:val="20"/>
                <w:szCs w:val="20"/>
                <w:color w:val="auto"/>
              </w:rPr>
            </w:pPr>
            <w:r>
              <w:rPr>
                <w:rFonts w:ascii="Times New Roman" w:cs="Times New Roman" w:eastAsia="Times New Roman" w:hAnsi="Times New Roman"/>
                <w:sz w:val="17"/>
                <w:szCs w:val="17"/>
                <w:b w:val="1"/>
                <w:bCs w:val="1"/>
                <w:color w:val="auto"/>
              </w:rPr>
              <w:t>10017-6707</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r>
        <w:trPr>
          <w:trHeight w:val="353"/>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(212) 878-1800</w:t>
            </w: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w w:val="99"/>
              </w:rPr>
              <w:t>(Registrant's telephone number, including area code)</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3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c>
          <w:tcPr>
            <w:tcW w:w="0" w:type="dxa"/>
            <w:vAlign w:val="bottom"/>
          </w:tcPr>
          <w:p>
            <w:pPr>
              <w:spacing w:after="0"/>
              <w:rPr>
                <w:sz w:val="1"/>
                <w:szCs w:val="1"/>
                <w:color w:val="auto"/>
              </w:rPr>
            </w:pPr>
          </w:p>
        </w:tc>
      </w:tr>
      <w:tr>
        <w:trPr>
          <w:trHeight w:val="250"/>
        </w:trPr>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Common Stock, $0.10 par value</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6"/>
                <w:szCs w:val="16"/>
                <w:color w:val="auto"/>
              </w:rPr>
              <w:t>MTX</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tcPr>
          <w:p>
            <w:pPr>
              <w:jc w:val="center"/>
              <w:ind w:right="1056"/>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40" w:hanging="135"/>
        <w:spacing w:after="0"/>
        <w:tabs>
          <w:tab w:leader="none" w:pos="1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Written communications pursuant to Rule 425 under the Securities Act (17 CFR 230.425)</w:t>
      </w:r>
    </w:p>
    <w:p>
      <w:pPr>
        <w:spacing w:after="0" w:line="197" w:lineRule="exact"/>
        <w:rPr>
          <w:rFonts w:ascii="Times New Roman" w:cs="Times New Roman" w:eastAsia="Times New Roman" w:hAnsi="Times New Roman"/>
          <w:sz w:val="16"/>
          <w:szCs w:val="16"/>
          <w:color w:val="auto"/>
        </w:rPr>
      </w:pPr>
    </w:p>
    <w:p>
      <w:pPr>
        <w:ind w:left="140" w:hanging="135"/>
        <w:spacing w:after="0"/>
        <w:tabs>
          <w:tab w:leader="none" w:pos="1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Soliciting material pursuant to Rule 14a-12 under the Exchange Act (17 CFR 240.14a-12)</w:t>
      </w:r>
    </w:p>
    <w:p>
      <w:pPr>
        <w:spacing w:after="0" w:line="197" w:lineRule="exact"/>
        <w:rPr>
          <w:rFonts w:ascii="Times New Roman" w:cs="Times New Roman" w:eastAsia="Times New Roman" w:hAnsi="Times New Roman"/>
          <w:sz w:val="16"/>
          <w:szCs w:val="16"/>
          <w:color w:val="auto"/>
        </w:rPr>
      </w:pPr>
    </w:p>
    <w:p>
      <w:pPr>
        <w:ind w:left="140" w:hanging="135"/>
        <w:spacing w:after="0"/>
        <w:tabs>
          <w:tab w:leader="none" w:pos="1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14d-2(b) under the Exchange Act (17 CFR 240.14d-2(b))</w:t>
      </w:r>
    </w:p>
    <w:p>
      <w:pPr>
        <w:spacing w:after="0" w:line="197" w:lineRule="exact"/>
        <w:rPr>
          <w:sz w:val="24"/>
          <w:szCs w:val="24"/>
          <w:color w:val="auto"/>
        </w:rPr>
      </w:pPr>
    </w:p>
    <w:p>
      <w:pPr>
        <w:ind w:left="480" w:right="5080" w:hanging="475"/>
        <w:spacing w:after="0" w:line="283" w:lineRule="auto"/>
        <w:tabs>
          <w:tab w:leader="none" w:pos="1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of 1934 (17 CFR §240.12b-2).</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 [ ]</w:t>
      </w:r>
    </w:p>
    <w:p>
      <w:pPr>
        <w:spacing w:after="0" w:line="185"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162165" cy="26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102235</wp:posOffset>
            </wp:positionV>
            <wp:extent cx="716216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7162165"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2667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 w:name="page2"/>
    <w:bookmarkEnd w:id="1"/>
    <w:p>
      <w:pPr>
        <w:ind w:left="8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0" w:lineRule="exact"/>
        <w:rPr>
          <w:sz w:val="20"/>
          <w:szCs w:val="20"/>
          <w:color w:val="auto"/>
        </w:rPr>
      </w:pPr>
    </w:p>
    <w:p>
      <w:pPr>
        <w:ind w:left="1720" w:right="80"/>
        <w:spacing w:after="0" w:line="288" w:lineRule="auto"/>
        <w:rPr>
          <w:sz w:val="20"/>
          <w:szCs w:val="20"/>
          <w:color w:val="auto"/>
        </w:rPr>
      </w:pPr>
      <w:r>
        <w:rPr>
          <w:rFonts w:ascii="Times New Roman" w:cs="Times New Roman" w:eastAsia="Times New Roman" w:hAnsi="Times New Roman"/>
          <w:sz w:val="17"/>
          <w:szCs w:val="17"/>
          <w:color w:val="auto"/>
        </w:rPr>
        <w:t>On October 15, 2025, the Company’s Board of Directors declared a regular quarterly dividend of $0.12 per share on the Company's common stock. The dividend is payable on December 04, 2025, to the stockholders of record on October 30, 2025.</w:t>
      </w:r>
    </w:p>
    <w:p>
      <w:pPr>
        <w:spacing w:after="0" w:line="60" w:lineRule="exact"/>
        <w:rPr>
          <w:sz w:val="20"/>
          <w:szCs w:val="20"/>
          <w:color w:val="auto"/>
        </w:rPr>
      </w:pPr>
    </w:p>
    <w:p>
      <w:pPr>
        <w:ind w:left="1720" w:right="80"/>
        <w:spacing w:after="0" w:line="288" w:lineRule="auto"/>
        <w:rPr>
          <w:sz w:val="20"/>
          <w:szCs w:val="20"/>
          <w:color w:val="auto"/>
        </w:rPr>
      </w:pPr>
      <w:r>
        <w:rPr>
          <w:rFonts w:ascii="Times New Roman" w:cs="Times New Roman" w:eastAsia="Times New Roman" w:hAnsi="Times New Roman"/>
          <w:sz w:val="17"/>
          <w:szCs w:val="17"/>
          <w:color w:val="auto"/>
        </w:rPr>
        <w:t>A copy of the press release announcing the dividend declaration and the share repurchase program is attached hereto as Exhibit 99.1 and incorporated by reference herein.</w:t>
      </w:r>
    </w:p>
    <w:p>
      <w:pPr>
        <w:spacing w:after="0" w:line="236"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90" w:lineRule="exact"/>
        <w:rPr>
          <w:sz w:val="20"/>
          <w:szCs w:val="20"/>
          <w:color w:val="auto"/>
        </w:rPr>
      </w:pPr>
    </w:p>
    <w:p>
      <w:pPr>
        <w:ind w:left="2560" w:hanging="838"/>
        <w:spacing w:after="0"/>
        <w:tabs>
          <w:tab w:leader="none" w:pos="2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tbl>
      <w:tblPr>
        <w:tblLayout w:type="fixed"/>
        <w:tblInd w:w="0" w:type="dxa"/>
        <w:tblCellMar>
          <w:top w:w="0" w:type="dxa"/>
          <w:left w:w="0" w:type="dxa"/>
          <w:bottom w:w="0" w:type="dxa"/>
          <w:right w:w="0" w:type="dxa"/>
        </w:tblCellMar>
      </w:tblPr>
      <w:tr>
        <w:trPr>
          <w:trHeight w:val="175"/>
        </w:trPr>
        <w:tc>
          <w:tcPr>
            <w:tcW w:w="3600" w:type="dxa"/>
            <w:vAlign w:val="bottom"/>
          </w:tcPr>
          <w:p>
            <w:pPr>
              <w:ind w:left="2560"/>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76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color w:val="0000EE"/>
              </w:rPr>
              <w:t>Press Release dated October 15, 2025</w:t>
            </w:r>
          </w:p>
        </w:tc>
      </w:tr>
      <w:tr>
        <w:trPr>
          <w:trHeight w:val="20"/>
        </w:trPr>
        <w:tc>
          <w:tcPr>
            <w:tcW w:w="36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16"/>
        </w:trPr>
        <w:tc>
          <w:tcPr>
            <w:tcW w:w="360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104</w:t>
            </w:r>
          </w:p>
        </w:tc>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w:t>
            </w:r>
          </w:p>
        </w:tc>
      </w:tr>
      <w:tr>
        <w:trPr>
          <w:trHeight w:val="449"/>
        </w:trPr>
        <w:tc>
          <w:tcPr>
            <w:tcW w:w="36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52"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80"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MINERALS TECHNOLOGIES INC.</w:t>
      </w:r>
    </w:p>
    <w:p>
      <w:pPr>
        <w:spacing w:after="0" w:line="1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color w:val="auto"/>
        </w:rPr>
        <w:t>(Registrant)</w:t>
      </w:r>
    </w:p>
    <w:p>
      <w:pPr>
        <w:spacing w:after="0" w:line="354" w:lineRule="exact"/>
        <w:rPr>
          <w:sz w:val="20"/>
          <w:szCs w:val="20"/>
          <w:color w:val="auto"/>
        </w:rPr>
      </w:pPr>
    </w:p>
    <w:tbl>
      <w:tblPr>
        <w:tblLayout w:type="fixed"/>
        <w:tblInd w:w="780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Timothy J. Jordan</w:t>
            </w: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28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Timothy J. Jordan</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Title:</w:t>
            </w: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Vice President, General Counsel,</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Secretary and Chief Compliance Officer</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16, 2025</w:t>
      </w:r>
    </w:p>
    <w:p>
      <w:pPr>
        <w:sectPr>
          <w:pgSz w:w="11900" w:h="16838" w:orient="portrait"/>
          <w:cols w:equalWidth="0" w:num="1">
            <w:col w:w="11200"/>
          </w:cols>
          <w:pgMar w:left="380" w:top="231" w:right="319" w:bottom="1440" w:gutter="0" w:footer="0" w:header="0"/>
        </w:sectPr>
      </w:pPr>
    </w:p>
    <w:bookmarkStart w:id="3" w:name="page4"/>
    <w:bookmarkEnd w:id="3"/>
    <w:p>
      <w:pPr>
        <w:ind w:left="7380"/>
        <w:spacing w:after="0"/>
        <w:rPr>
          <w:sz w:val="20"/>
          <w:szCs w:val="20"/>
          <w:color w:val="auto"/>
        </w:rPr>
      </w:pPr>
      <w:r>
        <w:rPr>
          <w:rFonts w:ascii="Arial" w:cs="Arial" w:eastAsia="Arial" w:hAnsi="Arial"/>
          <w:sz w:val="23"/>
          <w:szCs w:val="23"/>
          <w:b w:val="1"/>
          <w:bCs w:val="1"/>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15875</wp:posOffset>
            </wp:positionV>
            <wp:extent cx="1728470" cy="46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8470" cy="464185"/>
                    </a:xfrm>
                    <a:prstGeom prst="rect">
                      <a:avLst/>
                    </a:prstGeom>
                    <a:noFill/>
                  </pic:spPr>
                </pic:pic>
              </a:graphicData>
            </a:graphic>
          </wp:anchor>
        </w:drawing>
      </w:r>
    </w:p>
    <w:p>
      <w:pPr>
        <w:spacing w:after="0" w:line="10" w:lineRule="exact"/>
        <w:rPr>
          <w:sz w:val="20"/>
          <w:szCs w:val="20"/>
          <w:color w:val="auto"/>
        </w:rPr>
      </w:pPr>
    </w:p>
    <w:p>
      <w:pPr>
        <w:ind w:left="7380"/>
        <w:spacing w:after="0"/>
        <w:rPr>
          <w:sz w:val="20"/>
          <w:szCs w:val="20"/>
          <w:color w:val="auto"/>
        </w:rPr>
      </w:pPr>
      <w:r>
        <w:rPr>
          <w:rFonts w:ascii="Arial" w:cs="Arial" w:eastAsia="Arial" w:hAnsi="Arial"/>
          <w:sz w:val="31"/>
          <w:szCs w:val="31"/>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Minerals Technologies Inc. Announces Increase in Quarterly Dividend; Third Consecutive Year of Dividend Increases</w:t>
      </w:r>
    </w:p>
    <w:p>
      <w:pPr>
        <w:spacing w:after="0" w:line="3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NEW YORK, October 15, 2025 – Minerals Technologies Inc. (NYSE: MTX) (“MTI”), a leading, technology-driven specialty minerals company, today announced a 9% increase of its regular quarterly dividend on the company’s common stock to $0.12 per share. The dividend is payable on December 4, 2025, to stockholders of record at the close of business on October 30, 2025.</w:t>
      </w:r>
    </w:p>
    <w:p>
      <w:pPr>
        <w:spacing w:after="0" w:line="146"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“This is the third year in a row that MTI’s Board of Directors has authorized an increase of our quarterly dividend, reflecting our confidence in MTI’s continued ability to deliver steady cash flow, create value for shareholders, and execute on its long-term growth strategy,” said Douglas T. Dietrich, Chairman and Chief Executive Officer.</w:t>
      </w:r>
    </w:p>
    <w:p>
      <w:pPr>
        <w:spacing w:after="0" w:line="146"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MTI’s regular quarterly dividend is a key component of the company’s balanced approach to capital deployment, which includes organic and inorganic investments, returning capital to shareholders through share repurchases and dividends, and maintaining a strong balance sheet. In October 2024, MTI’s Board of Directors authorized a $200 million share repurchase program, and the company has repurchased $50 million of its shares under this program through the third quarter ended September 28,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FORWARD-LOOKING STATEMENTS</w:t>
      </w:r>
    </w:p>
    <w:p>
      <w:pPr>
        <w:spacing w:after="0" w:line="130" w:lineRule="exact"/>
        <w:rPr>
          <w:sz w:val="20"/>
          <w:szCs w:val="20"/>
          <w:color w:val="auto"/>
        </w:rPr>
      </w:pPr>
    </w:p>
    <w:p>
      <w:pPr>
        <w:spacing w:after="0" w:line="176" w:lineRule="exact"/>
        <w:rPr>
          <w:sz w:val="20"/>
          <w:szCs w:val="20"/>
          <w:color w:val="auto"/>
        </w:rPr>
      </w:pPr>
      <w:r>
        <w:rPr>
          <w:rFonts w:ascii="Arial" w:cs="Arial" w:eastAsia="Arial" w:hAnsi="Arial"/>
          <w:sz w:val="14"/>
          <w:szCs w:val="14"/>
          <w:i w:val="1"/>
          <w:iCs w:val="1"/>
          <w:color w:val="auto"/>
        </w:rPr>
        <w:t>This press release may contain "forward</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looking statements" within the meaning of the Private Securities Litigation Reform Act of 1995. Forward-looking statements provide current expectations and forecasts of future events such as new products, revenues, and financial performance, and are not limited to describing historical or current facts. They can be identified by the use of words such as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2024 Annual Report on Form 10</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K, Quarterly Reports on Form 10-Q, Current Reports</w:t>
      </w:r>
    </w:p>
    <w:p>
      <w:pPr>
        <w:spacing w:after="0" w:line="163" w:lineRule="exact"/>
        <w:rPr>
          <w:sz w:val="20"/>
          <w:szCs w:val="20"/>
          <w:color w:val="auto"/>
        </w:rPr>
      </w:pPr>
    </w:p>
    <w:p>
      <w:pPr>
        <w:ind w:right="140"/>
        <w:spacing w:after="0" w:line="188" w:lineRule="exact"/>
        <w:rPr>
          <w:sz w:val="20"/>
          <w:szCs w:val="20"/>
          <w:color w:val="auto"/>
        </w:rPr>
      </w:pPr>
      <w:r>
        <w:rPr>
          <w:rFonts w:ascii="Arial" w:cs="Arial" w:eastAsia="Arial" w:hAnsi="Arial"/>
          <w:sz w:val="16"/>
          <w:szCs w:val="16"/>
          <w:i w:val="1"/>
          <w:iCs w:val="1"/>
          <w:color w:val="auto"/>
        </w:rPr>
        <w:t>on Form 8-K, and other reports filed with the Securities and Exchange Commission. The Company undertakes no obligation to publicly update any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 whether as a result of new information, future events, or otherwise.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Minerals Technologies Inc.</w:t>
      </w:r>
    </w:p>
    <w:p>
      <w:pPr>
        <w:spacing w:after="0" w:line="1" w:lineRule="exact"/>
        <w:rPr>
          <w:sz w:val="20"/>
          <w:szCs w:val="20"/>
          <w:color w:val="auto"/>
        </w:rPr>
      </w:pPr>
    </w:p>
    <w:p>
      <w:pPr>
        <w:jc w:val="both"/>
        <w:ind w:right="80"/>
        <w:spacing w:after="0" w:line="227" w:lineRule="auto"/>
        <w:rPr>
          <w:sz w:val="20"/>
          <w:szCs w:val="20"/>
          <w:color w:val="auto"/>
        </w:rPr>
      </w:pPr>
      <w:r>
        <w:rPr>
          <w:rFonts w:ascii="Arial" w:cs="Arial" w:eastAsia="Arial" w:hAnsi="Arial"/>
          <w:sz w:val="16"/>
          <w:szCs w:val="16"/>
          <w:color w:val="auto"/>
        </w:rPr>
        <w:t>Minerals Technologies Inc. (NYSE:MTX) is a global, technology-driven specialty minerals company that develops, produces, and markets a wide range of minerals and mineral-based products and services. We utilize global mineral reserves with our core technologies and applications to deliver innovative solutions for products that are part of everyday life. We serve customers in consumer and industrial markets worldwide, have 4,000 employees in 34 countries, and reported global sales of $2.1 billion in 2024. For further information, visit www.mineralstech.com.</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22" w:lineRule="auto"/>
        <w:rPr>
          <w:sz w:val="20"/>
          <w:szCs w:val="20"/>
          <w:color w:val="auto"/>
        </w:rPr>
      </w:pPr>
      <w:r>
        <w:rPr>
          <w:rFonts w:ascii="Arial" w:cs="Arial" w:eastAsia="Arial" w:hAnsi="Arial"/>
          <w:sz w:val="16"/>
          <w:szCs w:val="16"/>
          <w:color w:val="auto"/>
        </w:rPr>
        <w:t>Lydia Kopylova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lydia.kopylova@mineralstech.com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22" w:lineRule="auto"/>
        <w:rPr>
          <w:sz w:val="20"/>
          <w:szCs w:val="20"/>
          <w:color w:val="auto"/>
        </w:rPr>
      </w:pPr>
      <w:r>
        <w:rPr>
          <w:rFonts w:ascii="Arial" w:cs="Arial" w:eastAsia="Arial" w:hAnsi="Arial"/>
          <w:sz w:val="16"/>
          <w:szCs w:val="16"/>
          <w:color w:val="auto"/>
        </w:rPr>
        <w:t>Stephanie Heise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stephanie.heise@mineralstech.com</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sectPr>
      <w:pgSz w:w="11900" w:h="16838" w:orient="portrait"/>
      <w:cols w:equalWidth="0" w:num="1">
        <w:col w:w="11280"/>
      </w:cols>
      <w:pgMar w:left="300" w:top="4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2025-10-16T07:46:52Z</dcterms:created>
  <dcterms:modified xsi:type="dcterms:W3CDTF">2025-10-16T07:46:52Z</dcterms:modified>
</cp:coreProperties>
</file>