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-217170</wp:posOffset>
            </wp:positionV>
            <wp:extent cx="116840" cy="1168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-551815</wp:posOffset>
            </wp:positionV>
            <wp:extent cx="116840" cy="1168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14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5170805</wp:posOffset>
            </wp:positionH>
            <wp:positionV relativeFrom="paragraph">
              <wp:posOffset>-597535</wp:posOffset>
            </wp:positionV>
            <wp:extent cx="56515" cy="6108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3890010</wp:posOffset>
            </wp:positionH>
            <wp:positionV relativeFrom="paragraph">
              <wp:posOffset>-597535</wp:posOffset>
            </wp:positionV>
            <wp:extent cx="56515" cy="610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-1740535</wp:posOffset>
            </wp:positionH>
            <wp:positionV relativeFrom="paragraph">
              <wp:posOffset>633730</wp:posOffset>
            </wp:positionV>
            <wp:extent cx="6999605" cy="4125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9605" cy="4125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40"/>
            <w:col w:w="8360"/>
          </w:cols>
          <w:pgMar w:left="460" w:top="213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 w:line="226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7"/>
                </w:rPr>
                <w:t>CARMOLA JOHN J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</w:tcPr>
          <w:p>
            <w:pPr>
              <w:ind w:left="60"/>
              <w:spacing w:after="0" w:line="99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MINERALS TECHNOLOGIES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MTX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MINERALS TECHNOLOGIES INC.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05/20/2026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622 THIRD AVENUE, 38TH FLOOR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PHANTOM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1,908.146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05/20/2026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1,908.146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8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27,911.814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2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-1605280</wp:posOffset>
            </wp:positionV>
            <wp:extent cx="28575" cy="1610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10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phantom stock unit is the economic equivalent of one share of Minerals Technologies Inc. Common Stock.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460" w:hanging="5"/>
        <w:spacing w:after="0" w:line="272" w:lineRule="auto"/>
        <w:tabs>
          <w:tab w:leader="none" w:pos="16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phantom stock units were accrued under the Minerals Technologies Inc. Non-Funded Deferred Compensation and Unit Award Plan for Non-Employee Directors and are to be settled in cash upon the reporting person's termination of service as a director.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TIMOTHY JORDAN FOR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JOHN J CARMOLA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940" w:hanging="5"/>
        <w:spacing w:after="0" w:line="320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66115" TargetMode="External"/><Relationship Id="rId14" Type="http://schemas.openxmlformats.org/officeDocument/2006/relationships/hyperlink" Target="http://www.sec.gov/cgi-bin/browse-edgar?action=getcompany&amp;CIK=00008910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2026-05-21T14:52:27Z</dcterms:created>
  <dcterms:modified xsi:type="dcterms:W3CDTF">2026-05-21T14:52:27Z</dcterms:modified>
</cp:coreProperties>
</file>