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mtx-20260730.htm"/>
      <w:bookmarkStart w:id="1" w:name="ksmtx20260730"/>
      <w:bookmarkStart w:id="2" w:name="mtx-20260730.htm"/>
      <w:bookmarkStart w:id="3" w:name="ksmtx20260730"/>
      <w:bookmarkEnd w:id="2"/>
      <w:bookmarkEnd w:id="3"/>
    </w:p>
    <w:tbl>
      <w:tblPr>
        <w:tblW w:w="266" w:type="dxa"/>
        <w:jc w:val="left"/>
        <w:tblInd w:w="0" w:type="dxa"/>
        <w:tblLayout w:type="fixed"/>
        <w:tblCellMar>
          <w:top w:w="0" w:type="dxa"/>
          <w:left w:w="0" w:type="dxa"/>
          <w:bottom w:w="28" w:type="dxa"/>
          <w:right w:w="0" w:type="dxa"/>
        </w:tblCellMar>
      </w:tblPr>
      <w:tblGrid>
        <w:gridCol w:w="266"/>
      </w:tblGrid>
      <w:tr>
        <w:trPr/>
        <w:tc>
          <w:tcPr>
            <w:tcW w:w="266" w:type="dxa"/>
            <w:tcBorders>
              <w:bottom w:val="single" w:sz="24" w:space="0" w:color="000000"/>
            </w:tcBorders>
            <w:vAlign w:val="center"/>
          </w:tcPr>
          <w:p>
            <w:pPr>
              <w:pStyle w:val="TableContents"/>
              <w:bidi w:val="0"/>
              <w:spacing w:before="0" w:after="283"/>
              <w:jc w:val="left"/>
              <w:rPr/>
            </w:pPr>
            <w:r>
              <w:rPr/>
              <w:t xml:space="preserve">  </w:t>
            </w:r>
          </w:p>
        </w:tc>
      </w:tr>
      <w:tr>
        <w:trPr/>
        <w:tc>
          <w:tcPr>
            <w:tcW w:w="266" w:type="dxa"/>
            <w:tcBorders>
              <w:top w:val="single" w:sz="24" w:space="0" w:color="000000"/>
              <w:bottom w:val="single" w:sz="12" w:space="0" w:color="000000"/>
            </w:tcBorders>
            <w:tcMar>
              <w:top w:w="28" w:type="dxa"/>
            </w:tcMar>
            <w:vAlign w:val="center"/>
          </w:tcPr>
          <w:p>
            <w:pPr>
              <w:pStyle w:val="TableContents"/>
              <w:bidi w:val="0"/>
              <w:spacing w:before="0" w:after="0"/>
              <w:jc w:val="center"/>
              <w:rPr/>
            </w:pPr>
            <w:r>
              <w:rPr/>
              <w:t xml:space="preserve">  </w:t>
            </w:r>
          </w:p>
        </w:tc>
      </w:tr>
    </w:tbl>
    <w:p>
      <w:pPr>
        <w:pStyle w:val="TextBody"/>
        <w:bidi w:val="0"/>
        <w:spacing w:before="0" w:after="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sz w:val="24"/>
        </w:rPr>
        <w:t>UNITED STATES</w:t>
        <w:br/>
        <w:t>SECURITIES AND EXCHANGE COMMISSION</w:t>
        <w:br/>
        <w:t>Washington, D.C. 20549</w:t>
      </w:r>
      <w:r>
        <w:rPr>
          <w:rFonts w:ascii="Times New Roman" w:hAnsi="Times New Roman"/>
          <w:sz w:val="24"/>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sz w:val="32"/>
        </w:rPr>
        <w:t>FORM 8-K</w:t>
      </w:r>
      <w:r>
        <w:rPr>
          <w:rFonts w:ascii="Times New Roman" w:hAnsi="Times New Roman"/>
          <w:sz w:val="24"/>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sz w:val="24"/>
        </w:rPr>
        <w:t xml:space="preserve">CURRENT REPORT </w:t>
        <w:br/>
        <w:t>Pursuant To Section 13 OR 15(d) of The Securities Exchange Act of 1934</w:t>
      </w:r>
      <w:r>
        <w:rPr>
          <w:rFonts w:ascii="Times New Roman" w:hAnsi="Times New Roman"/>
          <w:sz w:val="24"/>
        </w:rPr>
        <w:t xml:space="preserve"> </w:t>
      </w:r>
    </w:p>
    <w:p>
      <w:pPr>
        <w:pStyle w:val="TextBody"/>
        <w:bidi w:val="0"/>
        <w:spacing w:before="0" w:after="0"/>
        <w:jc w:val="left"/>
        <w:rPr/>
      </w:pPr>
      <w:r>
        <w:rPr/>
        <w:t xml:space="preserve">  </w:t>
      </w:r>
    </w:p>
    <w:tbl>
      <w:tblPr>
        <w:tblW w:w="6136" w:type="dxa"/>
        <w:jc w:val="left"/>
        <w:tblInd w:w="0" w:type="dxa"/>
        <w:tblLayout w:type="fixed"/>
        <w:tblCellMar>
          <w:top w:w="0" w:type="dxa"/>
          <w:left w:w="0" w:type="dxa"/>
          <w:bottom w:w="0" w:type="dxa"/>
          <w:right w:w="0" w:type="dxa"/>
        </w:tblCellMar>
      </w:tblPr>
      <w:tblGrid>
        <w:gridCol w:w="6136"/>
      </w:tblGrid>
      <w:tr>
        <w:trPr/>
        <w:tc>
          <w:tcPr>
            <w:tcW w:w="6136" w:type="dxa"/>
            <w:tcBorders/>
            <w:vAlign w:val="center"/>
          </w:tcPr>
          <w:p>
            <w:pPr>
              <w:pStyle w:val="TableContents"/>
              <w:bidi w:val="0"/>
              <w:spacing w:before="0" w:after="0"/>
              <w:jc w:val="center"/>
              <w:rPr/>
            </w:pPr>
            <w:r>
              <w:rPr/>
              <w:t xml:space="preserve">Date of Report (Date of earliest event reported): </w:t>
            </w:r>
            <w:r>
              <w:rPr>
                <w:b/>
              </w:rPr>
              <w:t>July 30, 2026</w:t>
            </w:r>
            <w:r>
              <w:rPr/>
              <w:t xml:space="preserve"> </w:t>
            </w:r>
          </w:p>
        </w:tc>
      </w:tr>
    </w:tbl>
    <w:p>
      <w:pPr>
        <w:pStyle w:val="TextBody"/>
        <w:bidi w:val="0"/>
        <w:spacing w:before="0" w:after="0"/>
        <w:jc w:val="left"/>
        <w:rPr/>
      </w:pPr>
      <w:r>
        <w:rPr/>
        <w:t xml:space="preserve">  </w:t>
      </w:r>
    </w:p>
    <w:tbl>
      <w:tblPr>
        <w:tblW w:w="5266" w:type="dxa"/>
        <w:jc w:val="left"/>
        <w:tblInd w:w="0" w:type="dxa"/>
        <w:tblLayout w:type="fixed"/>
        <w:tblCellMar>
          <w:top w:w="0" w:type="dxa"/>
          <w:left w:w="0" w:type="dxa"/>
          <w:bottom w:w="0" w:type="dxa"/>
          <w:right w:w="0" w:type="dxa"/>
        </w:tblCellMar>
      </w:tblPr>
      <w:tblGrid>
        <w:gridCol w:w="5266"/>
      </w:tblGrid>
      <w:tr>
        <w:trPr/>
        <w:tc>
          <w:tcPr>
            <w:tcW w:w="5266" w:type="dxa"/>
            <w:tcBorders/>
            <w:vAlign w:val="center"/>
          </w:tcPr>
          <w:p>
            <w:pPr>
              <w:pStyle w:val="TableContents"/>
              <w:bidi w:val="0"/>
              <w:spacing w:before="0" w:after="0"/>
              <w:jc w:val="center"/>
              <w:rPr/>
            </w:pPr>
            <w:r>
              <w:rPr>
                <w:b/>
                <w:sz w:val="32"/>
              </w:rPr>
              <w:t>MINERALS TECHNOLOGIES INC.</w:t>
            </w:r>
            <w:r>
              <w:rPr/>
              <w:t xml:space="preserve"> </w:t>
            </w:r>
          </w:p>
        </w:tc>
      </w:tr>
      <w:tr>
        <w:trPr/>
        <w:tc>
          <w:tcPr>
            <w:tcW w:w="5266" w:type="dxa"/>
            <w:tcBorders/>
            <w:vAlign w:val="center"/>
          </w:tcPr>
          <w:p>
            <w:pPr>
              <w:pStyle w:val="TableContents"/>
              <w:bidi w:val="0"/>
              <w:spacing w:before="0" w:after="0"/>
              <w:jc w:val="center"/>
              <w:rPr/>
            </w:pPr>
            <w:r>
              <w:rPr/>
              <w:t xml:space="preserve">(Exact name of registrant as specified in its charter) </w:t>
            </w:r>
          </w:p>
        </w:tc>
      </w:tr>
    </w:tbl>
    <w:p>
      <w:pPr>
        <w:pStyle w:val="TextBody"/>
        <w:bidi w:val="0"/>
        <w:spacing w:before="0" w:after="0"/>
        <w:jc w:val="left"/>
        <w:rPr/>
      </w:pPr>
      <w:r>
        <w:rPr/>
        <w:t xml:space="preserve">  </w:t>
      </w:r>
    </w:p>
    <w:tbl>
      <w:tblPr>
        <w:tblW w:w="7075" w:type="dxa"/>
        <w:jc w:val="left"/>
        <w:tblInd w:w="0" w:type="dxa"/>
        <w:tblLayout w:type="fixed"/>
        <w:tblCellMar>
          <w:top w:w="0" w:type="dxa"/>
          <w:left w:w="0" w:type="dxa"/>
          <w:bottom w:w="28" w:type="dxa"/>
          <w:right w:w="0" w:type="dxa"/>
        </w:tblCellMar>
      </w:tblPr>
      <w:tblGrid>
        <w:gridCol w:w="2626"/>
        <w:gridCol w:w="326"/>
        <w:gridCol w:w="1846"/>
        <w:gridCol w:w="326"/>
        <w:gridCol w:w="1951"/>
      </w:tblGrid>
      <w:tr>
        <w:trPr/>
        <w:tc>
          <w:tcPr>
            <w:tcW w:w="2626" w:type="dxa"/>
            <w:tcBorders>
              <w:bottom w:val="single" w:sz="8" w:space="0" w:color="000000"/>
            </w:tcBorders>
            <w:vAlign w:val="center"/>
          </w:tcPr>
          <w:p>
            <w:pPr>
              <w:pStyle w:val="TableContents"/>
              <w:bidi w:val="0"/>
              <w:spacing w:before="0" w:after="0"/>
              <w:jc w:val="center"/>
              <w:rPr/>
            </w:pPr>
            <w:r>
              <w:rPr>
                <w:b/>
              </w:rPr>
              <w:t>Delaware</w:t>
            </w:r>
            <w:r>
              <w:rPr/>
              <w:t xml:space="preserve"> </w:t>
            </w:r>
          </w:p>
        </w:tc>
        <w:tc>
          <w:tcPr>
            <w:tcW w:w="326" w:type="dxa"/>
            <w:tcBorders/>
            <w:tcMar>
              <w:bottom w:w="0" w:type="dxa"/>
            </w:tcMar>
            <w:vAlign w:val="center"/>
          </w:tcPr>
          <w:p>
            <w:pPr>
              <w:pStyle w:val="TableContents"/>
              <w:bidi w:val="0"/>
              <w:spacing w:before="0" w:after="0"/>
              <w:jc w:val="center"/>
              <w:rPr/>
            </w:pPr>
            <w:r>
              <w:rPr/>
              <w:t xml:space="preserve">    </w:t>
            </w:r>
          </w:p>
        </w:tc>
        <w:tc>
          <w:tcPr>
            <w:tcW w:w="1846" w:type="dxa"/>
            <w:tcBorders>
              <w:bottom w:val="single" w:sz="8" w:space="0" w:color="000000"/>
            </w:tcBorders>
            <w:vAlign w:val="center"/>
          </w:tcPr>
          <w:p>
            <w:pPr>
              <w:pStyle w:val="TableContents"/>
              <w:bidi w:val="0"/>
              <w:spacing w:before="0" w:after="0"/>
              <w:jc w:val="center"/>
              <w:rPr/>
            </w:pPr>
            <w:r>
              <w:rPr/>
              <w:t>    </w:t>
            </w:r>
            <w:r>
              <w:rPr>
                <w:b/>
              </w:rPr>
              <w:t>1-11430</w:t>
            </w:r>
            <w:r>
              <w:rPr/>
              <w:t xml:space="preserve"> </w:t>
            </w:r>
          </w:p>
        </w:tc>
        <w:tc>
          <w:tcPr>
            <w:tcW w:w="326" w:type="dxa"/>
            <w:tcBorders/>
            <w:tcMar>
              <w:bottom w:w="0" w:type="dxa"/>
            </w:tcMar>
            <w:vAlign w:val="center"/>
          </w:tcPr>
          <w:p>
            <w:pPr>
              <w:pStyle w:val="TableContents"/>
              <w:bidi w:val="0"/>
              <w:spacing w:before="0" w:after="0"/>
              <w:jc w:val="center"/>
              <w:rPr/>
            </w:pPr>
            <w:r>
              <w:rPr/>
              <w:t xml:space="preserve">    </w:t>
            </w:r>
          </w:p>
        </w:tc>
        <w:tc>
          <w:tcPr>
            <w:tcW w:w="1951" w:type="dxa"/>
            <w:tcBorders>
              <w:bottom w:val="single" w:sz="8" w:space="0" w:color="000000"/>
            </w:tcBorders>
            <w:vAlign w:val="center"/>
          </w:tcPr>
          <w:p>
            <w:pPr>
              <w:pStyle w:val="TableContents"/>
              <w:bidi w:val="0"/>
              <w:spacing w:before="0" w:after="0"/>
              <w:jc w:val="center"/>
              <w:rPr/>
            </w:pPr>
            <w:r>
              <w:rPr>
                <w:b/>
              </w:rPr>
              <w:t>25-1190717</w:t>
            </w:r>
            <w:r>
              <w:rPr/>
              <w:t xml:space="preserve"> </w:t>
            </w:r>
          </w:p>
        </w:tc>
      </w:tr>
      <w:tr>
        <w:trPr/>
        <w:tc>
          <w:tcPr>
            <w:tcW w:w="2626" w:type="dxa"/>
            <w:tcBorders>
              <w:top w:val="single" w:sz="8" w:space="0" w:color="000000"/>
            </w:tcBorders>
            <w:tcMar>
              <w:top w:w="28" w:type="dxa"/>
              <w:bottom w:w="0" w:type="dxa"/>
            </w:tcMar>
            <w:vAlign w:val="center"/>
          </w:tcPr>
          <w:p>
            <w:pPr>
              <w:pStyle w:val="TableContents"/>
              <w:bidi w:val="0"/>
              <w:spacing w:before="0" w:after="0"/>
              <w:jc w:val="center"/>
              <w:rPr/>
            </w:pPr>
            <w:r>
              <w:rPr/>
              <w:t xml:space="preserve">(State or other jurisdiction </w:t>
              <w:br/>
              <w:t xml:space="preserve">of incorporation) </w:t>
            </w:r>
          </w:p>
        </w:tc>
        <w:tc>
          <w:tcPr>
            <w:tcW w:w="326" w:type="dxa"/>
            <w:tcBorders/>
            <w:tcMar>
              <w:bottom w:w="0" w:type="dxa"/>
            </w:tcMar>
            <w:vAlign w:val="center"/>
          </w:tcPr>
          <w:p>
            <w:pPr>
              <w:pStyle w:val="TableContents"/>
              <w:bidi w:val="0"/>
              <w:spacing w:before="0" w:after="283"/>
              <w:jc w:val="left"/>
              <w:rPr/>
            </w:pPr>
            <w:r>
              <w:rPr/>
              <w:t xml:space="preserve">  </w:t>
            </w:r>
          </w:p>
        </w:tc>
        <w:tc>
          <w:tcPr>
            <w:tcW w:w="1846" w:type="dxa"/>
            <w:tcBorders>
              <w:top w:val="single" w:sz="8" w:space="0" w:color="000000"/>
            </w:tcBorders>
            <w:tcMar>
              <w:top w:w="28" w:type="dxa"/>
              <w:bottom w:w="0" w:type="dxa"/>
            </w:tcMar>
            <w:vAlign w:val="center"/>
          </w:tcPr>
          <w:p>
            <w:pPr>
              <w:pStyle w:val="TableContents"/>
              <w:bidi w:val="0"/>
              <w:spacing w:before="0" w:after="0"/>
              <w:jc w:val="center"/>
              <w:rPr/>
            </w:pPr>
            <w:r>
              <w:rPr/>
              <w:t xml:space="preserve">(Commission File </w:t>
              <w:br/>
              <w:t xml:space="preserve">Number) </w:t>
            </w:r>
          </w:p>
        </w:tc>
        <w:tc>
          <w:tcPr>
            <w:tcW w:w="326" w:type="dxa"/>
            <w:tcBorders/>
            <w:tcMar>
              <w:bottom w:w="0" w:type="dxa"/>
            </w:tcMar>
            <w:vAlign w:val="center"/>
          </w:tcPr>
          <w:p>
            <w:pPr>
              <w:pStyle w:val="TableContents"/>
              <w:bidi w:val="0"/>
              <w:spacing w:before="0" w:after="283"/>
              <w:jc w:val="left"/>
              <w:rPr/>
            </w:pPr>
            <w:r>
              <w:rPr/>
              <w:t xml:space="preserve">  </w:t>
            </w:r>
          </w:p>
        </w:tc>
        <w:tc>
          <w:tcPr>
            <w:tcW w:w="1951" w:type="dxa"/>
            <w:tcBorders>
              <w:top w:val="single" w:sz="8" w:space="0" w:color="000000"/>
            </w:tcBorders>
            <w:tcMar>
              <w:top w:w="28" w:type="dxa"/>
              <w:bottom w:w="0" w:type="dxa"/>
            </w:tcMar>
            <w:vAlign w:val="center"/>
          </w:tcPr>
          <w:p>
            <w:pPr>
              <w:pStyle w:val="TableContents"/>
              <w:bidi w:val="0"/>
              <w:spacing w:before="0" w:after="0"/>
              <w:jc w:val="center"/>
              <w:rPr/>
            </w:pPr>
            <w:r>
              <w:rPr/>
              <w:t>(IRS Employer</w:t>
              <w:br/>
              <w:t xml:space="preserve">Identification No.) </w:t>
            </w:r>
          </w:p>
        </w:tc>
      </w:tr>
    </w:tbl>
    <w:p>
      <w:pPr>
        <w:pStyle w:val="TextBody"/>
        <w:bidi w:val="0"/>
        <w:spacing w:before="0" w:after="0"/>
        <w:jc w:val="left"/>
        <w:rPr/>
      </w:pPr>
      <w:r>
        <w:rPr/>
        <w:t xml:space="preserve">  </w:t>
      </w:r>
    </w:p>
    <w:tbl>
      <w:tblPr>
        <w:tblW w:w="6373" w:type="dxa"/>
        <w:jc w:val="left"/>
        <w:tblInd w:w="0" w:type="dxa"/>
        <w:tblLayout w:type="fixed"/>
        <w:tblCellMar>
          <w:top w:w="0" w:type="dxa"/>
          <w:left w:w="0" w:type="dxa"/>
          <w:bottom w:w="28" w:type="dxa"/>
          <w:right w:w="0" w:type="dxa"/>
        </w:tblCellMar>
      </w:tblPr>
      <w:tblGrid>
        <w:gridCol w:w="3901"/>
        <w:gridCol w:w="1106"/>
        <w:gridCol w:w="1366"/>
      </w:tblGrid>
      <w:tr>
        <w:trPr/>
        <w:tc>
          <w:tcPr>
            <w:tcW w:w="3901" w:type="dxa"/>
            <w:tcBorders>
              <w:bottom w:val="single" w:sz="8" w:space="0" w:color="000000"/>
            </w:tcBorders>
            <w:vAlign w:val="center"/>
          </w:tcPr>
          <w:p>
            <w:pPr>
              <w:pStyle w:val="TableContents"/>
              <w:bidi w:val="0"/>
              <w:spacing w:before="0" w:after="0"/>
              <w:jc w:val="center"/>
              <w:rPr/>
            </w:pPr>
            <w:r>
              <w:rPr/>
              <w:t>  </w:t>
            </w:r>
            <w:r>
              <w:rPr>
                <w:b/>
              </w:rPr>
              <w:t>622 Third Avenue, New York, NY</w:t>
            </w:r>
            <w:r>
              <w:rPr/>
              <w:t xml:space="preserve"> </w:t>
            </w:r>
          </w:p>
        </w:tc>
        <w:tc>
          <w:tcPr>
            <w:tcW w:w="1106" w:type="dxa"/>
            <w:tcBorders/>
            <w:tcMar>
              <w:bottom w:w="0" w:type="dxa"/>
            </w:tcMar>
            <w:vAlign w:val="center"/>
          </w:tcPr>
          <w:p>
            <w:pPr>
              <w:pStyle w:val="TableContents"/>
              <w:bidi w:val="0"/>
              <w:spacing w:before="0" w:after="0"/>
              <w:jc w:val="center"/>
              <w:rPr/>
            </w:pPr>
            <w:r>
              <w:rPr/>
              <w:t xml:space="preserve">                 </w:t>
            </w:r>
          </w:p>
        </w:tc>
        <w:tc>
          <w:tcPr>
            <w:tcW w:w="1366" w:type="dxa"/>
            <w:tcBorders>
              <w:bottom w:val="single" w:sz="8" w:space="0" w:color="000000"/>
            </w:tcBorders>
            <w:vAlign w:val="center"/>
          </w:tcPr>
          <w:p>
            <w:pPr>
              <w:pStyle w:val="TableContents"/>
              <w:bidi w:val="0"/>
              <w:spacing w:before="0" w:after="0"/>
              <w:jc w:val="center"/>
              <w:rPr/>
            </w:pPr>
            <w:r>
              <w:rPr>
                <w:b/>
              </w:rPr>
              <w:t>10017-6707</w:t>
            </w:r>
            <w:r>
              <w:rPr/>
              <w:t xml:space="preserve"> </w:t>
            </w:r>
          </w:p>
        </w:tc>
      </w:tr>
      <w:tr>
        <w:trPr/>
        <w:tc>
          <w:tcPr>
            <w:tcW w:w="3901" w:type="dxa"/>
            <w:tcBorders>
              <w:top w:val="single" w:sz="8" w:space="0" w:color="000000"/>
            </w:tcBorders>
            <w:tcMar>
              <w:top w:w="28" w:type="dxa"/>
              <w:bottom w:w="0" w:type="dxa"/>
            </w:tcMar>
            <w:vAlign w:val="center"/>
          </w:tcPr>
          <w:p>
            <w:pPr>
              <w:pStyle w:val="TableContents"/>
              <w:bidi w:val="0"/>
              <w:spacing w:before="0" w:after="0"/>
              <w:jc w:val="left"/>
              <w:rPr/>
            </w:pPr>
            <w:r>
              <w:rPr/>
              <w:t xml:space="preserve">(Address of principal executive offices) </w:t>
            </w:r>
          </w:p>
        </w:tc>
        <w:tc>
          <w:tcPr>
            <w:tcW w:w="1106" w:type="dxa"/>
            <w:tcBorders/>
            <w:tcMar>
              <w:bottom w:w="0" w:type="dxa"/>
            </w:tcMar>
            <w:vAlign w:val="center"/>
          </w:tcPr>
          <w:p>
            <w:pPr>
              <w:pStyle w:val="TableContents"/>
              <w:bidi w:val="0"/>
              <w:spacing w:before="0" w:after="283"/>
              <w:jc w:val="left"/>
              <w:rPr/>
            </w:pPr>
            <w:r>
              <w:rPr/>
              <w:t xml:space="preserve">  </w:t>
            </w:r>
          </w:p>
        </w:tc>
        <w:tc>
          <w:tcPr>
            <w:tcW w:w="1366" w:type="dxa"/>
            <w:tcBorders>
              <w:top w:val="single" w:sz="8" w:space="0" w:color="000000"/>
            </w:tcBorders>
            <w:tcMar>
              <w:top w:w="28" w:type="dxa"/>
              <w:bottom w:w="0" w:type="dxa"/>
            </w:tcMar>
            <w:vAlign w:val="center"/>
          </w:tcPr>
          <w:p>
            <w:pPr>
              <w:pStyle w:val="TableContents"/>
              <w:bidi w:val="0"/>
              <w:spacing w:before="0" w:after="0"/>
              <w:jc w:val="center"/>
              <w:rPr/>
            </w:pPr>
            <w:r>
              <w:rPr/>
              <w:t xml:space="preserve">(Zip Code) </w:t>
            </w:r>
          </w:p>
        </w:tc>
      </w:tr>
    </w:tbl>
    <w:p>
      <w:pPr>
        <w:pStyle w:val="TextBody"/>
        <w:bidi w:val="0"/>
        <w:spacing w:before="0" w:after="0"/>
        <w:jc w:val="left"/>
        <w:rPr/>
      </w:pPr>
      <w:r>
        <w:rPr/>
        <w:t xml:space="preserve">  </w:t>
      </w:r>
    </w:p>
    <w:tbl>
      <w:tblPr>
        <w:tblW w:w="5189" w:type="dxa"/>
        <w:jc w:val="left"/>
        <w:tblInd w:w="0" w:type="dxa"/>
        <w:tblLayout w:type="fixed"/>
        <w:tblCellMar>
          <w:top w:w="0" w:type="dxa"/>
          <w:left w:w="0" w:type="dxa"/>
          <w:bottom w:w="0" w:type="dxa"/>
          <w:right w:w="0" w:type="dxa"/>
        </w:tblCellMar>
      </w:tblPr>
      <w:tblGrid>
        <w:gridCol w:w="540"/>
        <w:gridCol w:w="4036"/>
        <w:gridCol w:w="613"/>
      </w:tblGrid>
      <w:tr>
        <w:trPr/>
        <w:tc>
          <w:tcPr>
            <w:tcW w:w="540" w:type="dxa"/>
            <w:tcBorders/>
            <w:vAlign w:val="center"/>
          </w:tcPr>
          <w:p>
            <w:pPr>
              <w:pStyle w:val="TableContents"/>
              <w:bidi w:val="0"/>
              <w:spacing w:before="0" w:after="283"/>
              <w:jc w:val="left"/>
              <w:rPr/>
            </w:pPr>
            <w:r>
              <w:rPr/>
              <w:t xml:space="preserve">  </w:t>
            </w:r>
          </w:p>
        </w:tc>
        <w:tc>
          <w:tcPr>
            <w:tcW w:w="4036" w:type="dxa"/>
            <w:tcBorders>
              <w:bottom w:val="single" w:sz="8" w:space="0" w:color="000000"/>
            </w:tcBorders>
            <w:tcMar>
              <w:bottom w:w="28" w:type="dxa"/>
            </w:tcMar>
            <w:vAlign w:val="center"/>
          </w:tcPr>
          <w:p>
            <w:pPr>
              <w:pStyle w:val="TableContents"/>
              <w:bidi w:val="0"/>
              <w:spacing w:before="0" w:after="0"/>
              <w:jc w:val="center"/>
              <w:rPr/>
            </w:pPr>
            <w:r>
              <w:rPr>
                <w:b/>
              </w:rPr>
              <w:t>(212) 878-1800</w:t>
            </w:r>
            <w:r>
              <w:rPr/>
              <w:t xml:space="preserve"> </w:t>
            </w:r>
          </w:p>
        </w:tc>
        <w:tc>
          <w:tcPr>
            <w:tcW w:w="613" w:type="dxa"/>
            <w:tcBorders/>
            <w:vAlign w:val="center"/>
          </w:tcPr>
          <w:p>
            <w:pPr>
              <w:pStyle w:val="TableContents"/>
              <w:bidi w:val="0"/>
              <w:spacing w:before="0" w:after="283"/>
              <w:jc w:val="left"/>
              <w:rPr/>
            </w:pPr>
            <w:r>
              <w:rPr/>
              <w:t xml:space="preserve">  </w:t>
            </w:r>
          </w:p>
        </w:tc>
      </w:tr>
      <w:tr>
        <w:trPr/>
        <w:tc>
          <w:tcPr>
            <w:tcW w:w="5189" w:type="dxa"/>
            <w:gridSpan w:val="3"/>
            <w:tcBorders/>
            <w:vAlign w:val="center"/>
          </w:tcPr>
          <w:p>
            <w:pPr>
              <w:pStyle w:val="TableContents"/>
              <w:bidi w:val="0"/>
              <w:spacing w:before="0" w:after="0"/>
              <w:jc w:val="center"/>
              <w:rPr/>
            </w:pPr>
            <w:r>
              <w:rPr/>
              <w:t xml:space="preserve">(Registrant's telephone number, including area code) </w:t>
            </w:r>
          </w:p>
        </w:tc>
      </w:tr>
    </w:tbl>
    <w:p>
      <w:pPr>
        <w:pStyle w:val="TextBody"/>
        <w:bidi w:val="0"/>
        <w:spacing w:before="0" w:after="0"/>
        <w:jc w:val="left"/>
        <w:rPr/>
      </w:pPr>
      <w:r>
        <w:rPr/>
        <w:t xml:space="preserve">  </w:t>
      </w:r>
    </w:p>
    <w:tbl>
      <w:tblPr>
        <w:tblW w:w="9370" w:type="dxa"/>
        <w:jc w:val="left"/>
        <w:tblInd w:w="0" w:type="dxa"/>
        <w:tblLayout w:type="fixed"/>
        <w:tblCellMar>
          <w:top w:w="0" w:type="dxa"/>
          <w:left w:w="0" w:type="dxa"/>
          <w:bottom w:w="28" w:type="dxa"/>
          <w:right w:w="0" w:type="dxa"/>
        </w:tblCellMar>
      </w:tblPr>
      <w:tblGrid>
        <w:gridCol w:w="3226"/>
        <w:gridCol w:w="206"/>
        <w:gridCol w:w="1741"/>
        <w:gridCol w:w="206"/>
        <w:gridCol w:w="3991"/>
      </w:tblGrid>
      <w:tr>
        <w:trPr/>
        <w:tc>
          <w:tcPr>
            <w:tcW w:w="3226" w:type="dxa"/>
            <w:tcBorders>
              <w:bottom w:val="single" w:sz="8" w:space="0" w:color="000000"/>
            </w:tcBorders>
            <w:vAlign w:val="center"/>
          </w:tcPr>
          <w:p>
            <w:pPr>
              <w:pStyle w:val="TableContents"/>
              <w:bidi w:val="0"/>
              <w:spacing w:before="0" w:after="0"/>
              <w:jc w:val="center"/>
              <w:rPr/>
            </w:pPr>
            <w:r>
              <w:rPr>
                <w:b/>
                <w:sz w:val="23"/>
              </w:rPr>
              <w:t>Title of each class</w:t>
            </w:r>
            <w:r>
              <w:rPr/>
              <w:t xml:space="preserve"> </w:t>
            </w:r>
          </w:p>
        </w:tc>
        <w:tc>
          <w:tcPr>
            <w:tcW w:w="206" w:type="dxa"/>
            <w:tcBorders/>
            <w:tcMar>
              <w:bottom w:w="0" w:type="dxa"/>
            </w:tcMar>
            <w:vAlign w:val="center"/>
          </w:tcPr>
          <w:p>
            <w:pPr>
              <w:pStyle w:val="TableContents"/>
              <w:bidi w:val="0"/>
              <w:spacing w:before="0" w:after="0"/>
              <w:jc w:val="center"/>
              <w:rPr/>
            </w:pPr>
            <w:r>
              <w:rPr/>
              <w:t xml:space="preserve">  </w:t>
            </w:r>
          </w:p>
        </w:tc>
        <w:tc>
          <w:tcPr>
            <w:tcW w:w="1741" w:type="dxa"/>
            <w:tcBorders>
              <w:bottom w:val="single" w:sz="8" w:space="0" w:color="000000"/>
            </w:tcBorders>
            <w:vAlign w:val="center"/>
          </w:tcPr>
          <w:p>
            <w:pPr>
              <w:pStyle w:val="TableContents"/>
              <w:bidi w:val="0"/>
              <w:spacing w:before="0" w:after="0"/>
              <w:jc w:val="center"/>
              <w:rPr/>
            </w:pPr>
            <w:r>
              <w:rPr>
                <w:b/>
                <w:sz w:val="23"/>
              </w:rPr>
              <w:t>Trading Symbol</w:t>
            </w:r>
            <w:r>
              <w:rPr/>
              <w:t xml:space="preserve"> </w:t>
            </w:r>
          </w:p>
        </w:tc>
        <w:tc>
          <w:tcPr>
            <w:tcW w:w="206" w:type="dxa"/>
            <w:tcBorders/>
            <w:tcMar>
              <w:bottom w:w="0" w:type="dxa"/>
            </w:tcMar>
            <w:vAlign w:val="center"/>
          </w:tcPr>
          <w:p>
            <w:pPr>
              <w:pStyle w:val="TableContents"/>
              <w:bidi w:val="0"/>
              <w:spacing w:before="0" w:after="0"/>
              <w:jc w:val="center"/>
              <w:rPr/>
            </w:pPr>
            <w:r>
              <w:rPr/>
              <w:t xml:space="preserve">  </w:t>
            </w:r>
          </w:p>
        </w:tc>
        <w:tc>
          <w:tcPr>
            <w:tcW w:w="3991" w:type="dxa"/>
            <w:tcBorders>
              <w:bottom w:val="single" w:sz="8" w:space="0" w:color="000000"/>
            </w:tcBorders>
            <w:vAlign w:val="center"/>
          </w:tcPr>
          <w:p>
            <w:pPr>
              <w:pStyle w:val="TableContents"/>
              <w:bidi w:val="0"/>
              <w:spacing w:before="0" w:after="0"/>
              <w:jc w:val="center"/>
              <w:rPr/>
            </w:pPr>
            <w:r>
              <w:rPr>
                <w:b/>
                <w:sz w:val="23"/>
              </w:rPr>
              <w:t>Name of exchange on which registered</w:t>
            </w:r>
            <w:r>
              <w:rPr/>
              <w:t xml:space="preserve"> </w:t>
            </w:r>
          </w:p>
        </w:tc>
      </w:tr>
      <w:tr>
        <w:trPr/>
        <w:tc>
          <w:tcPr>
            <w:tcW w:w="3226" w:type="dxa"/>
            <w:tcBorders>
              <w:top w:val="single" w:sz="8" w:space="0" w:color="000000"/>
            </w:tcBorders>
            <w:tcMar>
              <w:top w:w="28" w:type="dxa"/>
              <w:bottom w:w="0" w:type="dxa"/>
            </w:tcMar>
            <w:vAlign w:val="center"/>
          </w:tcPr>
          <w:p>
            <w:pPr>
              <w:pStyle w:val="TableContents"/>
              <w:bidi w:val="0"/>
              <w:spacing w:before="0" w:after="0"/>
              <w:jc w:val="center"/>
              <w:rPr/>
            </w:pPr>
            <w:r>
              <w:rPr>
                <w:sz w:val="23"/>
              </w:rPr>
              <w:t>Common Stock, $0.10 par value</w:t>
            </w:r>
            <w:r>
              <w:rPr/>
              <w:t xml:space="preserve"> </w:t>
            </w:r>
          </w:p>
        </w:tc>
        <w:tc>
          <w:tcPr>
            <w:tcW w:w="206" w:type="dxa"/>
            <w:tcBorders/>
            <w:tcMar>
              <w:bottom w:w="0" w:type="dxa"/>
            </w:tcMar>
            <w:vAlign w:val="center"/>
          </w:tcPr>
          <w:p>
            <w:pPr>
              <w:pStyle w:val="TableContents"/>
              <w:bidi w:val="0"/>
              <w:spacing w:before="0" w:after="0"/>
              <w:jc w:val="center"/>
              <w:rPr/>
            </w:pPr>
            <w:r>
              <w:rPr/>
              <w:t xml:space="preserve">  </w:t>
            </w:r>
          </w:p>
        </w:tc>
        <w:tc>
          <w:tcPr>
            <w:tcW w:w="1741" w:type="dxa"/>
            <w:tcBorders>
              <w:top w:val="single" w:sz="8" w:space="0" w:color="000000"/>
            </w:tcBorders>
            <w:tcMar>
              <w:top w:w="28" w:type="dxa"/>
              <w:bottom w:w="0" w:type="dxa"/>
            </w:tcMar>
            <w:vAlign w:val="center"/>
          </w:tcPr>
          <w:p>
            <w:pPr>
              <w:pStyle w:val="TableContents"/>
              <w:bidi w:val="0"/>
              <w:spacing w:before="0" w:after="0"/>
              <w:jc w:val="center"/>
              <w:rPr/>
            </w:pPr>
            <w:r>
              <w:rPr>
                <w:sz w:val="23"/>
              </w:rPr>
              <w:t>MTX</w:t>
            </w:r>
            <w:r>
              <w:rPr/>
              <w:t xml:space="preserve"> </w:t>
            </w:r>
          </w:p>
        </w:tc>
        <w:tc>
          <w:tcPr>
            <w:tcW w:w="206" w:type="dxa"/>
            <w:tcBorders/>
            <w:tcMar>
              <w:bottom w:w="0" w:type="dxa"/>
            </w:tcMar>
            <w:vAlign w:val="center"/>
          </w:tcPr>
          <w:p>
            <w:pPr>
              <w:pStyle w:val="TableContents"/>
              <w:bidi w:val="0"/>
              <w:spacing w:before="0" w:after="0"/>
              <w:jc w:val="center"/>
              <w:rPr/>
            </w:pPr>
            <w:r>
              <w:rPr/>
              <w:t xml:space="preserve">  </w:t>
            </w:r>
          </w:p>
        </w:tc>
        <w:tc>
          <w:tcPr>
            <w:tcW w:w="3991" w:type="dxa"/>
            <w:tcBorders>
              <w:top w:val="single" w:sz="8" w:space="0" w:color="000000"/>
            </w:tcBorders>
            <w:tcMar>
              <w:top w:w="28" w:type="dxa"/>
              <w:bottom w:w="0" w:type="dxa"/>
            </w:tcMar>
            <w:vAlign w:val="center"/>
          </w:tcPr>
          <w:p>
            <w:pPr>
              <w:pStyle w:val="TableContents"/>
              <w:bidi w:val="0"/>
              <w:spacing w:before="0" w:after="0"/>
              <w:jc w:val="center"/>
              <w:rPr/>
            </w:pPr>
            <w:r>
              <w:rPr>
                <w:sz w:val="23"/>
              </w:rPr>
              <w:t>New York Stock Exchange</w:t>
            </w:r>
            <w:r>
              <w:rPr/>
              <w:t xml:space="preserve"> </w:t>
            </w:r>
          </w:p>
        </w:tc>
      </w:tr>
    </w:tbl>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679"/>
        <w:gridCol w:w="9526"/>
      </w:tblGrid>
      <w:tr>
        <w:trPr/>
        <w:tc>
          <w:tcPr>
            <w:tcW w:w="679" w:type="dxa"/>
            <w:tcBorders/>
            <w:vAlign w:val="center"/>
          </w:tcPr>
          <w:p>
            <w:pPr>
              <w:pStyle w:val="TableContents"/>
              <w:bidi w:val="0"/>
              <w:spacing w:before="0" w:after="283"/>
              <w:jc w:val="left"/>
              <w:rPr/>
            </w:pPr>
            <w:r>
              <w:rPr/>
              <w:t> </w:t>
            </w:r>
          </w:p>
        </w:tc>
        <w:tc>
          <w:tcPr>
            <w:tcW w:w="9526" w:type="dxa"/>
            <w:tcBorders/>
            <w:vAlign w:val="center"/>
          </w:tcPr>
          <w:p>
            <w:pPr>
              <w:pStyle w:val="TableContents"/>
              <w:bidi w:val="0"/>
              <w:spacing w:before="0" w:after="283"/>
              <w:jc w:val="left"/>
              <w:rPr/>
            </w:pPr>
            <w:r>
              <w:rPr/>
              <w:t> </w:t>
            </w:r>
          </w:p>
        </w:tc>
      </w:tr>
      <w:tr>
        <w:trPr/>
        <w:tc>
          <w:tcPr>
            <w:tcW w:w="10205" w:type="dxa"/>
            <w:gridSpan w:val="2"/>
            <w:tcBorders/>
            <w:vAlign w:val="center"/>
          </w:tcPr>
          <w:p>
            <w:pPr>
              <w:pStyle w:val="TableContents"/>
              <w:bidi w:val="0"/>
              <w:spacing w:before="0" w:after="0"/>
              <w:jc w:val="left"/>
              <w:rPr/>
            </w:pPr>
            <w:r>
              <w:rPr>
                <w:sz w:val="23"/>
              </w:rPr>
              <w:t>Check the appropriate box below if the Form 8-K filing is intended to simultaneously satisfy the filing obligation of the registrant under any of the following provisions.</w:t>
            </w:r>
            <w:r>
              <w:rPr/>
              <w:t xml:space="preserve"> </w:t>
            </w:r>
          </w:p>
        </w:tc>
      </w:tr>
      <w:tr>
        <w:trPr/>
        <w:tc>
          <w:tcPr>
            <w:tcW w:w="10205" w:type="dxa"/>
            <w:gridSpan w:val="2"/>
            <w:tcBorders/>
            <w:vAlign w:val="center"/>
          </w:tcPr>
          <w:p>
            <w:pPr>
              <w:pStyle w:val="TableContents"/>
              <w:bidi w:val="0"/>
              <w:spacing w:before="0" w:after="0"/>
              <w:jc w:val="center"/>
              <w:rPr/>
            </w:pPr>
            <w:r>
              <w:rPr/>
              <w:t xml:space="preserve">  </w:t>
            </w:r>
          </w:p>
        </w:tc>
      </w:tr>
      <w:tr>
        <w:trPr/>
        <w:tc>
          <w:tcPr>
            <w:tcW w:w="679" w:type="dxa"/>
            <w:tcBorders/>
            <w:vAlign w:val="center"/>
          </w:tcPr>
          <w:p>
            <w:pPr>
              <w:pStyle w:val="TableContents"/>
              <w:bidi w:val="0"/>
              <w:spacing w:before="0" w:after="0"/>
              <w:jc w:val="left"/>
              <w:rPr/>
            </w:pPr>
            <w:r>
              <w:rPr>
                <w:sz w:val="23"/>
              </w:rPr>
              <w:t>[  ]  </w:t>
            </w:r>
            <w:r>
              <w:rPr/>
              <w:t xml:space="preserve"> </w:t>
            </w:r>
          </w:p>
        </w:tc>
        <w:tc>
          <w:tcPr>
            <w:tcW w:w="9526" w:type="dxa"/>
            <w:tcBorders/>
            <w:vAlign w:val="center"/>
          </w:tcPr>
          <w:p>
            <w:pPr>
              <w:pStyle w:val="TableContents"/>
              <w:bidi w:val="0"/>
              <w:spacing w:before="0" w:after="0"/>
              <w:jc w:val="left"/>
              <w:rPr/>
            </w:pPr>
            <w:r>
              <w:rPr>
                <w:sz w:val="23"/>
              </w:rPr>
              <w:t>Written communications pursuant to Rule 425 under the Securities Act (17 CFR 230.425)</w:t>
            </w:r>
            <w:r>
              <w:rPr/>
              <w:t xml:space="preserve"> </w:t>
            </w:r>
          </w:p>
        </w:tc>
      </w:tr>
      <w:tr>
        <w:trPr/>
        <w:tc>
          <w:tcPr>
            <w:tcW w:w="10205" w:type="dxa"/>
            <w:gridSpan w:val="2"/>
            <w:tcBorders/>
            <w:vAlign w:val="center"/>
          </w:tcPr>
          <w:p>
            <w:pPr>
              <w:pStyle w:val="TableContents"/>
              <w:bidi w:val="0"/>
              <w:spacing w:before="0" w:after="0"/>
              <w:jc w:val="center"/>
              <w:rPr/>
            </w:pPr>
            <w:r>
              <w:rPr/>
              <w:t xml:space="preserve">  </w:t>
            </w:r>
          </w:p>
        </w:tc>
      </w:tr>
      <w:tr>
        <w:trPr/>
        <w:tc>
          <w:tcPr>
            <w:tcW w:w="679" w:type="dxa"/>
            <w:tcBorders/>
            <w:vAlign w:val="center"/>
          </w:tcPr>
          <w:p>
            <w:pPr>
              <w:pStyle w:val="TableContents"/>
              <w:bidi w:val="0"/>
              <w:spacing w:before="0" w:after="0"/>
              <w:jc w:val="left"/>
              <w:rPr/>
            </w:pPr>
            <w:r>
              <w:rPr>
                <w:sz w:val="23"/>
              </w:rPr>
              <w:t>[  ]  </w:t>
            </w:r>
            <w:r>
              <w:rPr/>
              <w:t xml:space="preserve"> </w:t>
            </w:r>
          </w:p>
        </w:tc>
        <w:tc>
          <w:tcPr>
            <w:tcW w:w="9526" w:type="dxa"/>
            <w:tcBorders/>
            <w:vAlign w:val="center"/>
          </w:tcPr>
          <w:p>
            <w:pPr>
              <w:pStyle w:val="TableContents"/>
              <w:bidi w:val="0"/>
              <w:spacing w:before="0" w:after="0"/>
              <w:jc w:val="left"/>
              <w:rPr/>
            </w:pPr>
            <w:r>
              <w:rPr>
                <w:sz w:val="23"/>
              </w:rPr>
              <w:t>Soliciting material pursuant to Rule 14a-12 under the Exchange Act (17 CFR 240.14a-12)</w:t>
            </w:r>
            <w:r>
              <w:rPr/>
              <w:t xml:space="preserve"> </w:t>
            </w:r>
          </w:p>
        </w:tc>
      </w:tr>
      <w:tr>
        <w:trPr/>
        <w:tc>
          <w:tcPr>
            <w:tcW w:w="10205" w:type="dxa"/>
            <w:gridSpan w:val="2"/>
            <w:tcBorders/>
            <w:vAlign w:val="center"/>
          </w:tcPr>
          <w:p>
            <w:pPr>
              <w:pStyle w:val="TableContents"/>
              <w:bidi w:val="0"/>
              <w:spacing w:before="0" w:after="0"/>
              <w:jc w:val="center"/>
              <w:rPr/>
            </w:pPr>
            <w:r>
              <w:rPr/>
              <w:t xml:space="preserve">  </w:t>
            </w:r>
          </w:p>
        </w:tc>
      </w:tr>
      <w:tr>
        <w:trPr/>
        <w:tc>
          <w:tcPr>
            <w:tcW w:w="679" w:type="dxa"/>
            <w:tcBorders/>
            <w:vAlign w:val="center"/>
          </w:tcPr>
          <w:p>
            <w:pPr>
              <w:pStyle w:val="TableContents"/>
              <w:bidi w:val="0"/>
              <w:spacing w:before="0" w:after="0"/>
              <w:jc w:val="left"/>
              <w:rPr/>
            </w:pPr>
            <w:r>
              <w:rPr>
                <w:sz w:val="23"/>
              </w:rPr>
              <w:t>[  ]  </w:t>
            </w:r>
            <w:r>
              <w:rPr/>
              <w:t xml:space="preserve"> </w:t>
            </w:r>
          </w:p>
        </w:tc>
        <w:tc>
          <w:tcPr>
            <w:tcW w:w="9526" w:type="dxa"/>
            <w:tcBorders/>
            <w:vAlign w:val="center"/>
          </w:tcPr>
          <w:p>
            <w:pPr>
              <w:pStyle w:val="TableContents"/>
              <w:bidi w:val="0"/>
              <w:spacing w:before="0" w:after="0"/>
              <w:jc w:val="left"/>
              <w:rPr/>
            </w:pPr>
            <w:r>
              <w:rPr>
                <w:sz w:val="23"/>
              </w:rPr>
              <w:t>Pre-commencement communications pursuant to Rule 14d-2(b) under the Exchange Act (17 CFR 240.14d-2(b))</w:t>
            </w:r>
            <w:r>
              <w:rPr/>
              <w:t xml:space="preserve"> </w:t>
            </w:r>
          </w:p>
        </w:tc>
      </w:tr>
      <w:tr>
        <w:trPr/>
        <w:tc>
          <w:tcPr>
            <w:tcW w:w="10205" w:type="dxa"/>
            <w:gridSpan w:val="2"/>
            <w:tcBorders/>
            <w:vAlign w:val="center"/>
          </w:tcPr>
          <w:p>
            <w:pPr>
              <w:pStyle w:val="TableContents"/>
              <w:bidi w:val="0"/>
              <w:spacing w:before="0" w:after="0"/>
              <w:jc w:val="center"/>
              <w:rPr/>
            </w:pPr>
            <w:r>
              <w:rPr/>
              <w:t xml:space="preserve">  </w:t>
            </w:r>
          </w:p>
        </w:tc>
      </w:tr>
      <w:tr>
        <w:trPr/>
        <w:tc>
          <w:tcPr>
            <w:tcW w:w="679" w:type="dxa"/>
            <w:tcBorders/>
            <w:vAlign w:val="center"/>
          </w:tcPr>
          <w:p>
            <w:pPr>
              <w:pStyle w:val="TableContents"/>
              <w:bidi w:val="0"/>
              <w:spacing w:before="0" w:after="0"/>
              <w:jc w:val="left"/>
              <w:rPr/>
            </w:pPr>
            <w:r>
              <w:rPr>
                <w:sz w:val="23"/>
              </w:rPr>
              <w:t>[  ]  </w:t>
            </w:r>
            <w:r>
              <w:rPr/>
              <w:t xml:space="preserve"> </w:t>
            </w:r>
          </w:p>
        </w:tc>
        <w:tc>
          <w:tcPr>
            <w:tcW w:w="9526" w:type="dxa"/>
            <w:tcBorders/>
            <w:vAlign w:val="center"/>
          </w:tcPr>
          <w:p>
            <w:pPr>
              <w:pStyle w:val="TableContents"/>
              <w:bidi w:val="0"/>
              <w:spacing w:before="0" w:after="0"/>
              <w:jc w:val="left"/>
              <w:rPr/>
            </w:pPr>
            <w:r>
              <w:rPr>
                <w:sz w:val="23"/>
              </w:rPr>
              <w:t xml:space="preserve">Pre-commencement communications pursuant to Rule 13e-4(c) under the Exchange Act </w:t>
              <w:br/>
              <w:t>(17 CFR 240.13e-4(c))</w:t>
            </w:r>
            <w:r>
              <w:rPr/>
              <w:t xml:space="preserve"> </w:t>
            </w:r>
          </w:p>
        </w:tc>
      </w:tr>
    </w:tbl>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120" w:after="283"/>
              <w:jc w:val="left"/>
              <w:rPr/>
            </w:pPr>
            <w:r>
              <w:rPr>
                <w:color w:val="000000"/>
                <w:sz w:val="20"/>
              </w:rPr>
              <w:t>Indicate by check mark whether the registrant is an emerging growth company as defined in Rule 405 of the Securities Act of 1933 (17 CFR §230.405) or Rule 12b-2 of the Securities Exchange Act of 1934 (17 CFR §240.12b-2).</w:t>
            </w:r>
            <w:r>
              <w:rPr/>
              <w:t xml:space="preserve"> </w:t>
            </w:r>
          </w:p>
          <w:p>
            <w:pPr>
              <w:pStyle w:val="TableContents"/>
              <w:bidi w:val="0"/>
              <w:spacing w:before="0" w:after="0"/>
              <w:jc w:val="left"/>
              <w:rPr/>
            </w:pPr>
            <w:r>
              <w:rPr>
                <w:color w:val="000000"/>
                <w:sz w:val="20"/>
              </w:rPr>
              <w:t xml:space="preserve">Emerging growth company </w:t>
            </w:r>
            <w:r>
              <w:rPr>
                <w:rFonts w:ascii="MS Mincho" w:hAnsi="MS Mincho"/>
                <w:color w:val="000000"/>
                <w:sz w:val="20"/>
              </w:rPr>
              <w:t>[ ]</w:t>
            </w:r>
            <w:r>
              <w:rPr/>
              <w:t xml:space="preserve"> </w:t>
            </w:r>
          </w:p>
        </w:tc>
      </w:tr>
      <w:tr>
        <w:trPr/>
        <w:tc>
          <w:tcPr>
            <w:tcW w:w="10205" w:type="dxa"/>
            <w:tcBorders/>
            <w:vAlign w:val="center"/>
          </w:tcPr>
          <w:p>
            <w:pPr>
              <w:pStyle w:val="TableContents"/>
              <w:bidi w:val="0"/>
              <w:spacing w:before="0" w:after="283"/>
              <w:jc w:val="left"/>
              <w:rPr/>
            </w:pPr>
            <w:r>
              <w:rPr/>
              <w:t xml:space="preserve">  </w:t>
            </w:r>
          </w:p>
        </w:tc>
      </w:tr>
      <w:tr>
        <w:trPr/>
        <w:tc>
          <w:tcPr>
            <w:tcW w:w="10205" w:type="dxa"/>
            <w:tcBorders/>
            <w:vAlign w:val="center"/>
          </w:tcPr>
          <w:p>
            <w:pPr>
              <w:pStyle w:val="TableContents"/>
              <w:bidi w:val="0"/>
              <w:spacing w:before="0" w:after="0"/>
              <w:jc w:val="left"/>
              <w:rPr/>
            </w:pPr>
            <w:r>
              <w:rPr>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Mincho" w:hAnsi="MS Mincho"/>
                <w:color w:val="000000"/>
                <w:sz w:val="20"/>
              </w:rPr>
              <w:t>[ ]</w:t>
            </w:r>
            <w:r>
              <w:rPr/>
              <w:t xml:space="preserve"> </w:t>
            </w:r>
          </w:p>
        </w:tc>
      </w:tr>
      <w:tr>
        <w:trPr/>
        <w:tc>
          <w:tcPr>
            <w:tcW w:w="1020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xml:space="preserve">  </w:t>
            </w:r>
          </w:p>
        </w:tc>
      </w:tr>
      <w:tr>
        <w:trPr/>
        <w:tc>
          <w:tcPr>
            <w:tcW w:w="10205" w:type="dxa"/>
            <w:tcBorders>
              <w:top w:val="single" w:sz="12" w:space="0" w:color="000000"/>
              <w:bottom w:val="single" w:sz="24" w:space="0" w:color="000000"/>
            </w:tcBorders>
            <w:tcMar>
              <w:left w:w="0" w:type="dxa"/>
              <w:right w:w="0" w:type="dxa"/>
            </w:tcMar>
            <w:vAlign w:val="center"/>
          </w:tcPr>
          <w:p>
            <w:pPr>
              <w:pStyle w:val="TableContents"/>
              <w:bidi w:val="0"/>
              <w:spacing w:before="0" w:after="0"/>
              <w:jc w:val="center"/>
              <w:rPr/>
            </w:pPr>
            <w:r>
              <w:rPr/>
              <w:t xml:space="preserve">  </w:t>
            </w:r>
          </w:p>
        </w:tc>
      </w:tr>
    </w:tbl>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723"/>
        <w:gridCol w:w="161"/>
        <w:gridCol w:w="714"/>
        <w:gridCol w:w="1050"/>
        <w:gridCol w:w="7557"/>
      </w:tblGrid>
      <w:tr>
        <w:trPr/>
        <w:tc>
          <w:tcPr>
            <w:tcW w:w="723"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left"/>
              <w:rPr/>
            </w:pPr>
            <w:r>
              <w:rPr/>
              <w:t> </w:t>
            </w:r>
          </w:p>
        </w:tc>
        <w:tc>
          <w:tcPr>
            <w:tcW w:w="7557" w:type="dxa"/>
            <w:tcBorders/>
            <w:vAlign w:val="center"/>
          </w:tcPr>
          <w:p>
            <w:pPr>
              <w:pStyle w:val="TableContents"/>
              <w:bidi w:val="0"/>
              <w:spacing w:before="0" w:after="283"/>
              <w:jc w:val="left"/>
              <w:rPr/>
            </w:pPr>
            <w:r>
              <w:rPr/>
              <w:t> </w:t>
            </w:r>
          </w:p>
        </w:tc>
      </w:tr>
      <w:tr>
        <w:trPr/>
        <w:tc>
          <w:tcPr>
            <w:tcW w:w="723" w:type="dxa"/>
            <w:tcBorders/>
            <w:tcMar>
              <w:top w:w="0" w:type="dxa"/>
              <w:left w:w="0" w:type="dxa"/>
              <w:bottom w:w="0" w:type="dxa"/>
              <w:right w:w="0" w:type="dxa"/>
            </w:tcMar>
            <w:vAlign w:val="center"/>
          </w:tcPr>
          <w:p>
            <w:pPr>
              <w:pStyle w:val="TableContents"/>
              <w:bidi w:val="0"/>
              <w:spacing w:before="0" w:after="0"/>
              <w:jc w:val="left"/>
              <w:rPr>
                <w:b/>
              </w:rPr>
            </w:pPr>
            <w:r>
              <w:rPr>
                <w:b/>
              </w:rPr>
              <w:t xml:space="preserve">Item 2.02 </w:t>
            </w:r>
          </w:p>
        </w:tc>
        <w:tc>
          <w:tcPr>
            <w:tcW w:w="16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9321" w:type="dxa"/>
            <w:gridSpan w:val="3"/>
            <w:tcBorders/>
            <w:tcMar>
              <w:top w:w="0" w:type="dxa"/>
              <w:left w:w="0" w:type="dxa"/>
              <w:bottom w:w="0" w:type="dxa"/>
              <w:right w:w="0" w:type="dxa"/>
            </w:tcMar>
            <w:vAlign w:val="center"/>
          </w:tcPr>
          <w:p>
            <w:pPr>
              <w:pStyle w:val="TableContents"/>
              <w:bidi w:val="0"/>
              <w:spacing w:before="0" w:after="0"/>
              <w:jc w:val="left"/>
              <w:rPr/>
            </w:pPr>
            <w:r>
              <w:rPr>
                <w:b/>
              </w:rPr>
              <w:t>Other Events</w:t>
            </w:r>
            <w:r>
              <w:rPr/>
              <w:t xml:space="preserve"> </w:t>
            </w:r>
          </w:p>
        </w:tc>
      </w:tr>
      <w:tr>
        <w:trPr/>
        <w:tc>
          <w:tcPr>
            <w:tcW w:w="723"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6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9321" w:type="dxa"/>
            <w:gridSpan w:val="3"/>
            <w:tcBorders/>
            <w:tcMar>
              <w:top w:w="0" w:type="dxa"/>
              <w:left w:w="0" w:type="dxa"/>
              <w:bottom w:w="0" w:type="dxa"/>
              <w:right w:w="0" w:type="dxa"/>
            </w:tcMar>
            <w:vAlign w:val="center"/>
          </w:tcPr>
          <w:p>
            <w:pPr>
              <w:pStyle w:val="TableContents"/>
              <w:bidi w:val="0"/>
              <w:spacing w:before="0" w:after="0"/>
              <w:jc w:val="both"/>
              <w:rPr/>
            </w:pPr>
            <w:r>
              <w:rPr/>
              <w:t xml:space="preserve">  </w:t>
            </w:r>
          </w:p>
          <w:p>
            <w:pPr>
              <w:pStyle w:val="TableContents"/>
              <w:bidi w:val="0"/>
              <w:spacing w:lineRule="auto" w:line="295" w:before="0" w:after="160"/>
              <w:jc w:val="both"/>
              <w:rPr/>
            </w:pPr>
            <w:r>
              <w:rPr>
                <w:color w:val="000000"/>
              </w:rPr>
              <w:t>On July 30, 2026, Minerals Technologies Inc. issued a press release regarding its financial performance for the second quarter of 2026. A copy of the press release is attached hereto as Exhibit 99.1 and incorporated by reference herein.</w:t>
            </w:r>
            <w:r>
              <w:rPr/>
              <w:t xml:space="preserve"> </w:t>
            </w:r>
          </w:p>
          <w:p>
            <w:pPr>
              <w:pStyle w:val="TableContents"/>
              <w:bidi w:val="0"/>
              <w:spacing w:lineRule="auto" w:line="295" w:before="0" w:after="160"/>
              <w:jc w:val="both"/>
              <w:rPr/>
            </w:pPr>
            <w:r>
              <w:rPr>
                <w:color w:val="000000"/>
              </w:rPr>
              <w:t>The information in this Item 2.02 and Exhibit 99.1 shall not be deemed filed for the purposes of Section 18 of the Securities and Exchange Act of 1934, as amended, or incorporated by reference in any filing under the Securities Act of 1933, as amended, except as shall be expressly set forth by specific reference in such filing.</w:t>
            </w:r>
            <w:r>
              <w:rPr/>
              <w:t xml:space="preserve"> </w:t>
            </w:r>
          </w:p>
        </w:tc>
      </w:tr>
      <w:tr>
        <w:trPr/>
        <w:tc>
          <w:tcPr>
            <w:tcW w:w="723"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6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9321" w:type="dxa"/>
            <w:gridSpan w:val="3"/>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723" w:type="dxa"/>
            <w:tcBorders/>
            <w:tcMar>
              <w:top w:w="0" w:type="dxa"/>
              <w:left w:w="0" w:type="dxa"/>
              <w:bottom w:w="0" w:type="dxa"/>
              <w:right w:w="0" w:type="dxa"/>
            </w:tcMar>
            <w:vAlign w:val="center"/>
          </w:tcPr>
          <w:p>
            <w:pPr>
              <w:pStyle w:val="TableContents"/>
              <w:bidi w:val="0"/>
              <w:spacing w:before="0" w:after="0"/>
              <w:jc w:val="left"/>
              <w:rPr/>
            </w:pPr>
            <w:r>
              <w:rPr>
                <w:b/>
              </w:rPr>
              <w:t>Item 9.01</w:t>
            </w:r>
            <w:r>
              <w:rPr/>
              <w:t xml:space="preserve"> </w:t>
            </w:r>
          </w:p>
        </w:tc>
        <w:tc>
          <w:tcPr>
            <w:tcW w:w="161" w:type="dxa"/>
            <w:tcBorders/>
            <w:tcMar>
              <w:top w:w="0" w:type="dxa"/>
              <w:left w:w="0" w:type="dxa"/>
              <w:bottom w:w="0" w:type="dxa"/>
              <w:right w:w="0" w:type="dxa"/>
            </w:tcMar>
            <w:vAlign w:val="center"/>
          </w:tcPr>
          <w:p>
            <w:pPr>
              <w:pStyle w:val="TableContents"/>
              <w:bidi w:val="0"/>
              <w:spacing w:before="0" w:after="0"/>
              <w:jc w:val="both"/>
              <w:rPr/>
            </w:pPr>
            <w:r>
              <w:rPr/>
              <w:t xml:space="preserve">  </w:t>
            </w:r>
          </w:p>
        </w:tc>
        <w:tc>
          <w:tcPr>
            <w:tcW w:w="9321" w:type="dxa"/>
            <w:gridSpan w:val="3"/>
            <w:tcBorders/>
            <w:tcMar>
              <w:top w:w="0" w:type="dxa"/>
              <w:left w:w="0" w:type="dxa"/>
              <w:bottom w:w="0" w:type="dxa"/>
              <w:right w:w="0" w:type="dxa"/>
            </w:tcMar>
            <w:vAlign w:val="center"/>
          </w:tcPr>
          <w:p>
            <w:pPr>
              <w:pStyle w:val="TableContents"/>
              <w:bidi w:val="0"/>
              <w:spacing w:before="0" w:after="0"/>
              <w:jc w:val="left"/>
              <w:rPr>
                <w:b/>
              </w:rPr>
            </w:pPr>
            <w:r>
              <w:rPr>
                <w:b/>
              </w:rPr>
              <w:t xml:space="preserve">Financial Statements and Exhibits. </w:t>
            </w:r>
          </w:p>
          <w:p>
            <w:pPr>
              <w:pStyle w:val="TableContents"/>
              <w:bidi w:val="0"/>
              <w:spacing w:before="0" w:after="0"/>
              <w:jc w:val="left"/>
              <w:rPr/>
            </w:pPr>
            <w:r>
              <w:rPr/>
              <w:t xml:space="preserve">  </w:t>
            </w:r>
          </w:p>
        </w:tc>
      </w:tr>
      <w:tr>
        <w:trPr/>
        <w:tc>
          <w:tcPr>
            <w:tcW w:w="723"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6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714" w:type="dxa"/>
            <w:tcBorders/>
            <w:tcMar>
              <w:top w:w="0" w:type="dxa"/>
              <w:left w:w="0" w:type="dxa"/>
              <w:bottom w:w="0" w:type="dxa"/>
              <w:right w:w="0" w:type="dxa"/>
            </w:tcMar>
            <w:vAlign w:val="center"/>
          </w:tcPr>
          <w:p>
            <w:pPr>
              <w:pStyle w:val="TableContents"/>
              <w:bidi w:val="0"/>
              <w:spacing w:before="0" w:after="0"/>
              <w:jc w:val="both"/>
              <w:rPr/>
            </w:pPr>
            <w:r>
              <w:rPr/>
              <w:t xml:space="preserve">(d) </w:t>
            </w:r>
          </w:p>
        </w:tc>
        <w:tc>
          <w:tcPr>
            <w:tcW w:w="8607" w:type="dxa"/>
            <w:gridSpan w:val="2"/>
            <w:tcBorders/>
            <w:tcMar>
              <w:top w:w="0" w:type="dxa"/>
              <w:left w:w="0" w:type="dxa"/>
              <w:bottom w:w="0" w:type="dxa"/>
              <w:right w:w="0" w:type="dxa"/>
            </w:tcMar>
            <w:vAlign w:val="center"/>
          </w:tcPr>
          <w:p>
            <w:pPr>
              <w:pStyle w:val="TableContents"/>
              <w:bidi w:val="0"/>
              <w:spacing w:before="0" w:after="0"/>
              <w:jc w:val="left"/>
              <w:rPr/>
            </w:pPr>
            <w:r>
              <w:rPr/>
              <w:t xml:space="preserve">Exhibits </w:t>
            </w:r>
          </w:p>
        </w:tc>
      </w:tr>
      <w:tr>
        <w:trPr/>
        <w:tc>
          <w:tcPr>
            <w:tcW w:w="723"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6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714"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050" w:type="dxa"/>
            <w:tcBorders/>
            <w:tcMar>
              <w:top w:w="0" w:type="dxa"/>
              <w:left w:w="0" w:type="dxa"/>
              <w:bottom w:w="0" w:type="dxa"/>
              <w:right w:w="0" w:type="dxa"/>
            </w:tcMar>
            <w:vAlign w:val="center"/>
          </w:tcPr>
          <w:p>
            <w:pPr>
              <w:pStyle w:val="TableContents"/>
              <w:bidi w:val="0"/>
              <w:spacing w:before="0" w:after="0"/>
              <w:jc w:val="left"/>
              <w:rPr/>
            </w:pPr>
            <w:r>
              <w:rPr/>
              <w:t xml:space="preserve">99.1 </w:t>
            </w:r>
          </w:p>
        </w:tc>
        <w:tc>
          <w:tcPr>
            <w:tcW w:w="7557" w:type="dxa"/>
            <w:tcBorders/>
            <w:tcMar>
              <w:top w:w="0" w:type="dxa"/>
              <w:left w:w="0" w:type="dxa"/>
              <w:bottom w:w="0" w:type="dxa"/>
              <w:right w:w="0" w:type="dxa"/>
            </w:tcMar>
            <w:vAlign w:val="center"/>
          </w:tcPr>
          <w:p>
            <w:pPr>
              <w:pStyle w:val="TableContents"/>
              <w:bidi w:val="0"/>
              <w:spacing w:before="0" w:after="0"/>
              <w:jc w:val="left"/>
              <w:rPr/>
            </w:pPr>
            <w:hyperlink w:anchor="ex99_1.htm">
              <w:r>
                <w:rPr>
                  <w:rStyle w:val="InternetLink"/>
                </w:rPr>
                <w:t>Press Release dated July 30, 2026</w:t>
              </w:r>
            </w:hyperlink>
            <w:r>
              <w:rPr/>
              <w:t xml:space="preserve"> </w:t>
            </w:r>
          </w:p>
        </w:tc>
      </w:tr>
      <w:tr>
        <w:trPr/>
        <w:tc>
          <w:tcPr>
            <w:tcW w:w="723"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6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714"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050" w:type="dxa"/>
            <w:tcBorders/>
            <w:tcMar>
              <w:top w:w="0" w:type="dxa"/>
              <w:left w:w="0" w:type="dxa"/>
              <w:bottom w:w="0" w:type="dxa"/>
              <w:right w:w="0" w:type="dxa"/>
            </w:tcMar>
            <w:vAlign w:val="center"/>
          </w:tcPr>
          <w:p>
            <w:pPr>
              <w:pStyle w:val="TableContents"/>
              <w:bidi w:val="0"/>
              <w:spacing w:before="0" w:after="0"/>
              <w:jc w:val="left"/>
              <w:rPr/>
            </w:pPr>
            <w:r>
              <w:rPr/>
              <w:t xml:space="preserve">104 </w:t>
            </w:r>
          </w:p>
        </w:tc>
        <w:tc>
          <w:tcPr>
            <w:tcW w:w="7557" w:type="dxa"/>
            <w:tcBorders/>
            <w:tcMar>
              <w:top w:w="0" w:type="dxa"/>
              <w:left w:w="0" w:type="dxa"/>
              <w:bottom w:w="0" w:type="dxa"/>
              <w:right w:w="0" w:type="dxa"/>
            </w:tcMar>
            <w:vAlign w:val="center"/>
          </w:tcPr>
          <w:p>
            <w:pPr>
              <w:pStyle w:val="TableContents"/>
              <w:bidi w:val="0"/>
              <w:spacing w:before="0" w:after="0"/>
              <w:jc w:val="left"/>
              <w:rPr/>
            </w:pPr>
            <w:r>
              <w:rPr/>
              <w:t xml:space="preserve">Cover Page Interactive Data File (formatted as inline XBRL) </w:t>
            </w:r>
          </w:p>
          <w:p>
            <w:pPr>
              <w:pStyle w:val="TableContents"/>
              <w:bidi w:val="0"/>
              <w:spacing w:before="0" w:after="0"/>
              <w:jc w:val="left"/>
              <w:rPr/>
            </w:pPr>
            <w:r>
              <w:rPr/>
              <w:t xml:space="preserve">  </w:t>
            </w:r>
          </w:p>
        </w:tc>
      </w:tr>
    </w:tbl>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jc w:val="center"/>
              <w:rPr/>
            </w:pPr>
            <w:r>
              <w:rPr>
                <w:b/>
              </w:rPr>
              <w:t>SIGNATURES</w:t>
            </w:r>
            <w:r>
              <w:rPr/>
              <w:t xml:space="preserve"> </w:t>
            </w:r>
          </w:p>
          <w:p>
            <w:pPr>
              <w:pStyle w:val="TableContents"/>
              <w:bidi w:val="0"/>
              <w:spacing w:before="0" w:after="0"/>
              <w:jc w:val="center"/>
              <w:rPr/>
            </w:pPr>
            <w:r>
              <w:rPr/>
              <w:t xml:space="preserve">  </w:t>
            </w:r>
          </w:p>
          <w:p>
            <w:pPr>
              <w:pStyle w:val="TableContents"/>
              <w:bidi w:val="0"/>
              <w:spacing w:before="0" w:after="0"/>
              <w:jc w:val="center"/>
              <w:rPr/>
            </w:pPr>
            <w:r>
              <w:rPr/>
              <w:t xml:space="preserve">  </w:t>
            </w:r>
          </w:p>
        </w:tc>
      </w:tr>
      <w:tr>
        <w:trPr/>
        <w:tc>
          <w:tcPr>
            <w:tcW w:w="10205" w:type="dxa"/>
            <w:tcBorders/>
            <w:vAlign w:val="center"/>
          </w:tcPr>
          <w:p>
            <w:pPr>
              <w:pStyle w:val="TableContents"/>
              <w:bidi w:val="0"/>
              <w:spacing w:before="0" w:after="0"/>
              <w:jc w:val="left"/>
              <w:rPr/>
            </w:pPr>
            <w:r>
              <w:rPr/>
              <w:t xml:space="preserve">Pursuant to the requirements of the Securities Exchange Act of 1934, the Registrant has duly caused this report to be signed on its behalf by the undersigned hereunto duly authorized. </w:t>
            </w:r>
          </w:p>
        </w:tc>
      </w:tr>
    </w:tbl>
    <w:p>
      <w:pPr>
        <w:pStyle w:val="TextBody"/>
        <w:bidi w:val="0"/>
        <w:spacing w:before="0" w:after="0"/>
        <w:jc w:val="both"/>
        <w:rPr/>
      </w:pPr>
      <w:r>
        <w:rPr/>
        <w:t xml:space="preserve">  </w:t>
      </w:r>
    </w:p>
    <w:p>
      <w:pPr>
        <w:pStyle w:val="TextBody"/>
        <w:bidi w:val="0"/>
        <w:spacing w:before="0" w:after="0"/>
        <w:jc w:val="both"/>
        <w:rPr/>
      </w:pPr>
      <w:r>
        <w:rPr/>
        <w:t xml:space="preserve">  </w:t>
      </w:r>
    </w:p>
    <w:p>
      <w:pPr>
        <w:pStyle w:val="TextBody"/>
        <w:bidi w:val="0"/>
        <w:spacing w:before="0" w:after="0"/>
        <w:jc w:val="both"/>
        <w:rPr/>
      </w:pPr>
      <w:r>
        <w:rPr/>
        <w:t xml:space="preserve">  </w:t>
      </w:r>
    </w:p>
    <w:tbl>
      <w:tblPr>
        <w:tblW w:w="10205" w:type="dxa"/>
        <w:jc w:val="left"/>
        <w:tblInd w:w="0" w:type="dxa"/>
        <w:tblLayout w:type="fixed"/>
        <w:tblCellMar>
          <w:top w:w="28" w:type="dxa"/>
          <w:left w:w="28" w:type="dxa"/>
          <w:bottom w:w="28" w:type="dxa"/>
          <w:right w:w="28" w:type="dxa"/>
        </w:tblCellMar>
      </w:tblPr>
      <w:tblGrid>
        <w:gridCol w:w="2650"/>
        <w:gridCol w:w="2515"/>
        <w:gridCol w:w="781"/>
        <w:gridCol w:w="4259"/>
      </w:tblGrid>
      <w:tr>
        <w:trPr/>
        <w:tc>
          <w:tcPr>
            <w:tcW w:w="2650" w:type="dxa"/>
            <w:tcBorders/>
            <w:vAlign w:val="center"/>
          </w:tcPr>
          <w:p>
            <w:pPr>
              <w:pStyle w:val="TableContents"/>
              <w:bidi w:val="0"/>
              <w:spacing w:before="0" w:after="283"/>
              <w:jc w:val="left"/>
              <w:rPr/>
            </w:pPr>
            <w:r>
              <w:rPr/>
              <w:t> </w:t>
            </w:r>
          </w:p>
        </w:tc>
        <w:tc>
          <w:tcPr>
            <w:tcW w:w="2515"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left"/>
              <w:rPr/>
            </w:pPr>
            <w:r>
              <w:rPr/>
              <w:t> </w:t>
            </w:r>
          </w:p>
        </w:tc>
        <w:tc>
          <w:tcPr>
            <w:tcW w:w="4259" w:type="dxa"/>
            <w:tcBorders/>
            <w:vAlign w:val="center"/>
          </w:tcPr>
          <w:p>
            <w:pPr>
              <w:pStyle w:val="TableContents"/>
              <w:bidi w:val="0"/>
              <w:spacing w:before="0" w:after="283"/>
              <w:jc w:val="left"/>
              <w:rPr/>
            </w:pPr>
            <w:r>
              <w:rPr/>
              <w:t> </w:t>
            </w:r>
          </w:p>
        </w:tc>
      </w:tr>
      <w:tr>
        <w:trPr/>
        <w:tc>
          <w:tcPr>
            <w:tcW w:w="2650" w:type="dxa"/>
            <w:tcBorders/>
            <w:vAlign w:val="center"/>
          </w:tcPr>
          <w:p>
            <w:pPr>
              <w:pStyle w:val="TableContents"/>
              <w:bidi w:val="0"/>
              <w:spacing w:before="0" w:after="0"/>
              <w:jc w:val="left"/>
              <w:rPr/>
            </w:pPr>
            <w:r>
              <w:rPr/>
              <w:t xml:space="preserve">                                           </w:t>
            </w:r>
          </w:p>
        </w:tc>
        <w:tc>
          <w:tcPr>
            <w:tcW w:w="2515" w:type="dxa"/>
            <w:tcBorders/>
            <w:vAlign w:val="center"/>
          </w:tcPr>
          <w:p>
            <w:pPr>
              <w:pStyle w:val="TableContents"/>
              <w:bidi w:val="0"/>
              <w:spacing w:before="0" w:after="0"/>
              <w:jc w:val="both"/>
              <w:rPr/>
            </w:pPr>
            <w:r>
              <w:rPr/>
              <w:t xml:space="preserve">                                         </w:t>
            </w:r>
          </w:p>
        </w:tc>
        <w:tc>
          <w:tcPr>
            <w:tcW w:w="5040" w:type="dxa"/>
            <w:gridSpan w:val="2"/>
            <w:tcBorders/>
            <w:vAlign w:val="center"/>
          </w:tcPr>
          <w:p>
            <w:pPr>
              <w:pStyle w:val="TableContents"/>
              <w:bidi w:val="0"/>
              <w:spacing w:before="0" w:after="0"/>
              <w:jc w:val="left"/>
              <w:rPr>
                <w:b/>
                <w:caps/>
              </w:rPr>
            </w:pPr>
            <w:r>
              <w:rPr>
                <w:b/>
                <w:caps/>
              </w:rPr>
              <w:t xml:space="preserve">MINERALS TECHNOLOGIES INC. </w:t>
            </w:r>
          </w:p>
        </w:tc>
      </w:tr>
      <w:tr>
        <w:trPr/>
        <w:tc>
          <w:tcPr>
            <w:tcW w:w="2650" w:type="dxa"/>
            <w:tcBorders/>
            <w:vAlign w:val="center"/>
          </w:tcPr>
          <w:p>
            <w:pPr>
              <w:pStyle w:val="TableContents"/>
              <w:bidi w:val="0"/>
              <w:spacing w:before="0" w:after="0"/>
              <w:jc w:val="left"/>
              <w:rPr/>
            </w:pPr>
            <w:r>
              <w:rPr/>
              <w:t xml:space="preserve">  </w:t>
            </w:r>
          </w:p>
        </w:tc>
        <w:tc>
          <w:tcPr>
            <w:tcW w:w="2515" w:type="dxa"/>
            <w:tcBorders/>
            <w:vAlign w:val="center"/>
          </w:tcPr>
          <w:p>
            <w:pPr>
              <w:pStyle w:val="TableContents"/>
              <w:bidi w:val="0"/>
              <w:spacing w:before="0" w:after="0"/>
              <w:jc w:val="both"/>
              <w:rPr/>
            </w:pPr>
            <w:r>
              <w:rPr/>
              <w:t xml:space="preserve">  </w:t>
            </w:r>
          </w:p>
        </w:tc>
        <w:tc>
          <w:tcPr>
            <w:tcW w:w="5040" w:type="dxa"/>
            <w:gridSpan w:val="2"/>
            <w:tcBorders/>
            <w:vAlign w:val="center"/>
          </w:tcPr>
          <w:p>
            <w:pPr>
              <w:pStyle w:val="TableContents"/>
              <w:bidi w:val="0"/>
              <w:spacing w:before="0" w:after="0"/>
              <w:jc w:val="left"/>
              <w:rPr/>
            </w:pPr>
            <w:r>
              <w:rPr/>
              <w:t xml:space="preserve">(Registrant) </w:t>
            </w:r>
          </w:p>
        </w:tc>
      </w:tr>
      <w:tr>
        <w:trPr/>
        <w:tc>
          <w:tcPr>
            <w:tcW w:w="2650" w:type="dxa"/>
            <w:tcBorders/>
            <w:vAlign w:val="center"/>
          </w:tcPr>
          <w:p>
            <w:pPr>
              <w:pStyle w:val="TableContents"/>
              <w:bidi w:val="0"/>
              <w:spacing w:before="0" w:after="0"/>
              <w:jc w:val="left"/>
              <w:rPr/>
            </w:pPr>
            <w:r>
              <w:rPr/>
              <w:t xml:space="preserve">  </w:t>
            </w:r>
          </w:p>
        </w:tc>
        <w:tc>
          <w:tcPr>
            <w:tcW w:w="2515" w:type="dxa"/>
            <w:tcBorders/>
            <w:vAlign w:val="center"/>
          </w:tcPr>
          <w:p>
            <w:pPr>
              <w:pStyle w:val="TableContents"/>
              <w:bidi w:val="0"/>
              <w:spacing w:before="0" w:after="0"/>
              <w:jc w:val="both"/>
              <w:rPr/>
            </w:pPr>
            <w:r>
              <w:rPr/>
              <w:t xml:space="preserve">  </w:t>
            </w:r>
          </w:p>
        </w:tc>
        <w:tc>
          <w:tcPr>
            <w:tcW w:w="781" w:type="dxa"/>
            <w:tcBorders/>
            <w:vAlign w:val="center"/>
          </w:tcPr>
          <w:p>
            <w:pPr>
              <w:pStyle w:val="TableContents"/>
              <w:bidi w:val="0"/>
              <w:spacing w:before="0" w:after="0"/>
              <w:jc w:val="both"/>
              <w:rPr/>
            </w:pPr>
            <w:r>
              <w:rPr/>
              <w:t xml:space="preserve">  </w:t>
            </w:r>
          </w:p>
        </w:tc>
        <w:tc>
          <w:tcPr>
            <w:tcW w:w="4259" w:type="dxa"/>
            <w:tcBorders/>
            <w:vAlign w:val="center"/>
          </w:tcPr>
          <w:p>
            <w:pPr>
              <w:pStyle w:val="TableContents"/>
              <w:bidi w:val="0"/>
              <w:spacing w:before="0" w:after="0"/>
              <w:jc w:val="both"/>
              <w:rPr/>
            </w:pPr>
            <w:r>
              <w:rPr/>
              <w:t xml:space="preserve">  </w:t>
            </w:r>
          </w:p>
        </w:tc>
      </w:tr>
      <w:tr>
        <w:trPr/>
        <w:tc>
          <w:tcPr>
            <w:tcW w:w="2650" w:type="dxa"/>
            <w:tcBorders/>
            <w:vAlign w:val="center"/>
          </w:tcPr>
          <w:p>
            <w:pPr>
              <w:pStyle w:val="TableContents"/>
              <w:bidi w:val="0"/>
              <w:spacing w:before="0" w:after="0"/>
              <w:jc w:val="left"/>
              <w:rPr/>
            </w:pPr>
            <w:r>
              <w:rPr/>
              <w:t xml:space="preserve">  </w:t>
            </w:r>
          </w:p>
        </w:tc>
        <w:tc>
          <w:tcPr>
            <w:tcW w:w="2515" w:type="dxa"/>
            <w:tcBorders/>
            <w:vAlign w:val="center"/>
          </w:tcPr>
          <w:p>
            <w:pPr>
              <w:pStyle w:val="TableContents"/>
              <w:bidi w:val="0"/>
              <w:spacing w:before="0" w:after="0"/>
              <w:jc w:val="both"/>
              <w:rPr/>
            </w:pPr>
            <w:r>
              <w:rPr/>
              <w:t xml:space="preserve">  </w:t>
            </w:r>
          </w:p>
        </w:tc>
        <w:tc>
          <w:tcPr>
            <w:tcW w:w="781" w:type="dxa"/>
            <w:tcBorders/>
            <w:vAlign w:val="center"/>
          </w:tcPr>
          <w:p>
            <w:pPr>
              <w:pStyle w:val="TableContents"/>
              <w:bidi w:val="0"/>
              <w:spacing w:before="0" w:after="0"/>
              <w:jc w:val="both"/>
              <w:rPr/>
            </w:pPr>
            <w:r>
              <w:rPr/>
              <w:t xml:space="preserve">  </w:t>
            </w:r>
          </w:p>
        </w:tc>
        <w:tc>
          <w:tcPr>
            <w:tcW w:w="4259" w:type="dxa"/>
            <w:tcBorders/>
            <w:vAlign w:val="center"/>
          </w:tcPr>
          <w:p>
            <w:pPr>
              <w:pStyle w:val="TableContents"/>
              <w:bidi w:val="0"/>
              <w:spacing w:before="0" w:after="0"/>
              <w:jc w:val="both"/>
              <w:rPr/>
            </w:pPr>
            <w:r>
              <w:rPr/>
              <w:t xml:space="preserve">  </w:t>
            </w:r>
          </w:p>
        </w:tc>
      </w:tr>
      <w:tr>
        <w:trPr/>
        <w:tc>
          <w:tcPr>
            <w:tcW w:w="2650" w:type="dxa"/>
            <w:tcBorders/>
            <w:vAlign w:val="center"/>
          </w:tcPr>
          <w:p>
            <w:pPr>
              <w:pStyle w:val="TableContents"/>
              <w:bidi w:val="0"/>
              <w:spacing w:before="0" w:after="283"/>
              <w:jc w:val="left"/>
              <w:rPr/>
            </w:pPr>
            <w:r>
              <w:rPr/>
              <w:t xml:space="preserve">  </w:t>
            </w:r>
          </w:p>
        </w:tc>
        <w:tc>
          <w:tcPr>
            <w:tcW w:w="2515" w:type="dxa"/>
            <w:tcBorders/>
            <w:vAlign w:val="center"/>
          </w:tcPr>
          <w:p>
            <w:pPr>
              <w:pStyle w:val="TableContents"/>
              <w:bidi w:val="0"/>
              <w:spacing w:before="0" w:after="283"/>
              <w:jc w:val="left"/>
              <w:rPr/>
            </w:pPr>
            <w:r>
              <w:rPr/>
              <w:t xml:space="preserve">  </w:t>
            </w:r>
          </w:p>
        </w:tc>
        <w:tc>
          <w:tcPr>
            <w:tcW w:w="781" w:type="dxa"/>
            <w:tcBorders/>
            <w:vAlign w:val="center"/>
          </w:tcPr>
          <w:p>
            <w:pPr>
              <w:pStyle w:val="TableContents"/>
              <w:bidi w:val="0"/>
              <w:spacing w:before="0" w:after="0"/>
              <w:jc w:val="left"/>
              <w:rPr>
                <w:sz w:val="20"/>
              </w:rPr>
            </w:pPr>
            <w:r>
              <w:rPr>
                <w:sz w:val="24"/>
              </w:rPr>
              <w:t>By:</w:t>
            </w:r>
            <w:r>
              <w:rPr>
                <w:sz w:val="20"/>
              </w:rPr>
              <w:t xml:space="preserve"> </w:t>
            </w:r>
          </w:p>
        </w:tc>
        <w:tc>
          <w:tcPr>
            <w:tcW w:w="4259" w:type="dxa"/>
            <w:tcBorders>
              <w:bottom w:val="single" w:sz="8" w:space="0" w:color="000000"/>
            </w:tcBorders>
            <w:tcMar>
              <w:top w:w="0" w:type="dxa"/>
              <w:left w:w="0" w:type="dxa"/>
              <w:right w:w="0" w:type="dxa"/>
            </w:tcMar>
            <w:vAlign w:val="center"/>
          </w:tcPr>
          <w:p>
            <w:pPr>
              <w:pStyle w:val="TableContents"/>
              <w:bidi w:val="0"/>
              <w:spacing w:before="0" w:after="0"/>
              <w:jc w:val="both"/>
              <w:rPr/>
            </w:pPr>
            <w:r>
              <w:rPr/>
              <w:t xml:space="preserve">/s/ Timothy J. Jordan </w:t>
            </w:r>
          </w:p>
        </w:tc>
      </w:tr>
      <w:tr>
        <w:trPr/>
        <w:tc>
          <w:tcPr>
            <w:tcW w:w="2650" w:type="dxa"/>
            <w:tcBorders/>
            <w:vAlign w:val="center"/>
          </w:tcPr>
          <w:p>
            <w:pPr>
              <w:pStyle w:val="TableContents"/>
              <w:bidi w:val="0"/>
              <w:spacing w:before="0" w:after="0"/>
              <w:jc w:val="left"/>
              <w:rPr/>
            </w:pPr>
            <w:r>
              <w:rPr/>
              <w:t xml:space="preserve">  </w:t>
            </w:r>
          </w:p>
        </w:tc>
        <w:tc>
          <w:tcPr>
            <w:tcW w:w="2515" w:type="dxa"/>
            <w:tcBorders/>
            <w:vAlign w:val="center"/>
          </w:tcPr>
          <w:p>
            <w:pPr>
              <w:pStyle w:val="TableContents"/>
              <w:bidi w:val="0"/>
              <w:spacing w:before="0" w:after="0"/>
              <w:jc w:val="both"/>
              <w:rPr/>
            </w:pPr>
            <w:r>
              <w:rPr/>
              <w:t xml:space="preserve">  </w:t>
            </w:r>
          </w:p>
        </w:tc>
        <w:tc>
          <w:tcPr>
            <w:tcW w:w="781" w:type="dxa"/>
            <w:tcBorders/>
            <w:vAlign w:val="center"/>
          </w:tcPr>
          <w:p>
            <w:pPr>
              <w:pStyle w:val="TableContents"/>
              <w:bidi w:val="0"/>
              <w:spacing w:before="0" w:after="0"/>
              <w:jc w:val="both"/>
              <w:rPr>
                <w:sz w:val="20"/>
              </w:rPr>
            </w:pPr>
            <w:r>
              <w:rPr>
                <w:sz w:val="24"/>
              </w:rPr>
              <w:t>Name:</w:t>
            </w:r>
            <w:r>
              <w:rPr>
                <w:sz w:val="20"/>
              </w:rPr>
              <w:t xml:space="preserve"> </w:t>
            </w:r>
          </w:p>
        </w:tc>
        <w:tc>
          <w:tcPr>
            <w:tcW w:w="4259" w:type="dxa"/>
            <w:tcBorders>
              <w:top w:val="single" w:sz="8" w:space="0" w:color="000000"/>
            </w:tcBorders>
            <w:tcMar>
              <w:left w:w="0" w:type="dxa"/>
              <w:bottom w:w="0" w:type="dxa"/>
              <w:right w:w="0" w:type="dxa"/>
            </w:tcMar>
            <w:vAlign w:val="center"/>
          </w:tcPr>
          <w:p>
            <w:pPr>
              <w:pStyle w:val="TableContents"/>
              <w:bidi w:val="0"/>
              <w:spacing w:before="0" w:after="0"/>
              <w:jc w:val="left"/>
              <w:rPr/>
            </w:pPr>
            <w:r>
              <w:rPr/>
              <w:t xml:space="preserve">Timothy J. Jordan </w:t>
            </w:r>
          </w:p>
        </w:tc>
      </w:tr>
      <w:tr>
        <w:trPr/>
        <w:tc>
          <w:tcPr>
            <w:tcW w:w="2650" w:type="dxa"/>
            <w:tcBorders/>
            <w:vAlign w:val="center"/>
          </w:tcPr>
          <w:p>
            <w:pPr>
              <w:pStyle w:val="TableContents"/>
              <w:bidi w:val="0"/>
              <w:spacing w:before="0" w:after="283"/>
              <w:jc w:val="left"/>
              <w:rPr/>
            </w:pPr>
            <w:r>
              <w:rPr/>
              <w:t xml:space="preserve">  </w:t>
            </w:r>
          </w:p>
        </w:tc>
        <w:tc>
          <w:tcPr>
            <w:tcW w:w="2515" w:type="dxa"/>
            <w:tcBorders/>
            <w:vAlign w:val="center"/>
          </w:tcPr>
          <w:p>
            <w:pPr>
              <w:pStyle w:val="TableContents"/>
              <w:bidi w:val="0"/>
              <w:spacing w:before="0" w:after="283"/>
              <w:jc w:val="left"/>
              <w:rPr/>
            </w:pPr>
            <w:r>
              <w:rPr/>
              <w:t xml:space="preserve">  </w:t>
            </w:r>
          </w:p>
        </w:tc>
        <w:tc>
          <w:tcPr>
            <w:tcW w:w="781" w:type="dxa"/>
            <w:tcBorders/>
            <w:vAlign w:val="center"/>
          </w:tcPr>
          <w:p>
            <w:pPr>
              <w:pStyle w:val="TableContents"/>
              <w:bidi w:val="0"/>
              <w:spacing w:before="0" w:after="0"/>
              <w:jc w:val="both"/>
              <w:rPr>
                <w:sz w:val="20"/>
              </w:rPr>
            </w:pPr>
            <w:r>
              <w:rPr>
                <w:sz w:val="24"/>
              </w:rPr>
              <w:t>Title:</w:t>
            </w:r>
            <w:r>
              <w:rPr>
                <w:sz w:val="20"/>
              </w:rPr>
              <w:t xml:space="preserve"> </w:t>
            </w:r>
          </w:p>
          <w:p>
            <w:pPr>
              <w:pStyle w:val="TableContents"/>
              <w:bidi w:val="0"/>
              <w:spacing w:before="0" w:after="0"/>
              <w:jc w:val="both"/>
              <w:rPr/>
            </w:pPr>
            <w:r>
              <w:rPr/>
              <w:t xml:space="preserve">  </w:t>
            </w:r>
          </w:p>
        </w:tc>
        <w:tc>
          <w:tcPr>
            <w:tcW w:w="4259" w:type="dxa"/>
            <w:tcBorders/>
            <w:vAlign w:val="center"/>
          </w:tcPr>
          <w:p>
            <w:pPr>
              <w:pStyle w:val="TableContents"/>
              <w:bidi w:val="0"/>
              <w:spacing w:before="0" w:after="0"/>
              <w:jc w:val="left"/>
              <w:rPr/>
            </w:pPr>
            <w:r>
              <w:rPr/>
              <w:t xml:space="preserve">Vice President, General Counsel, Secretary and Chief Compliance Officer </w:t>
            </w:r>
          </w:p>
        </w:tc>
      </w:tr>
      <w:tr>
        <w:trPr/>
        <w:tc>
          <w:tcPr>
            <w:tcW w:w="5165" w:type="dxa"/>
            <w:gridSpan w:val="2"/>
            <w:tcBorders/>
            <w:vAlign w:val="center"/>
          </w:tcPr>
          <w:p>
            <w:pPr>
              <w:pStyle w:val="TableContents"/>
              <w:bidi w:val="0"/>
              <w:spacing w:before="0" w:after="283"/>
              <w:jc w:val="left"/>
              <w:rPr/>
            </w:pPr>
            <w:r>
              <w:rPr/>
              <w:t xml:space="preserve">  </w:t>
            </w:r>
          </w:p>
        </w:tc>
        <w:tc>
          <w:tcPr>
            <w:tcW w:w="781" w:type="dxa"/>
            <w:tcBorders/>
            <w:vAlign w:val="center"/>
          </w:tcPr>
          <w:p>
            <w:pPr>
              <w:pStyle w:val="TableContents"/>
              <w:bidi w:val="0"/>
              <w:spacing w:before="0" w:after="0"/>
              <w:jc w:val="both"/>
              <w:rPr/>
            </w:pPr>
            <w:r>
              <w:rPr/>
              <w:t xml:space="preserve">  </w:t>
            </w:r>
          </w:p>
        </w:tc>
        <w:tc>
          <w:tcPr>
            <w:tcW w:w="4259" w:type="dxa"/>
            <w:tcBorders/>
            <w:vAlign w:val="center"/>
          </w:tcPr>
          <w:p>
            <w:pPr>
              <w:pStyle w:val="TableContents"/>
              <w:bidi w:val="0"/>
              <w:spacing w:before="0" w:after="283"/>
              <w:jc w:val="left"/>
              <w:rPr/>
            </w:pPr>
            <w:r>
              <w:rPr/>
              <w:t xml:space="preserve">  </w:t>
            </w:r>
          </w:p>
        </w:tc>
      </w:tr>
      <w:tr>
        <w:trPr/>
        <w:tc>
          <w:tcPr>
            <w:tcW w:w="5165" w:type="dxa"/>
            <w:gridSpan w:val="2"/>
            <w:tcBorders/>
            <w:vAlign w:val="center"/>
          </w:tcPr>
          <w:p>
            <w:pPr>
              <w:pStyle w:val="TableContents"/>
              <w:bidi w:val="0"/>
              <w:spacing w:before="0" w:after="0"/>
              <w:jc w:val="left"/>
              <w:rPr/>
            </w:pPr>
            <w:r>
              <w:rPr/>
              <w:t>  </w:t>
            </w:r>
            <w:r>
              <w:rPr/>
              <w:t xml:space="preserve">Date:  July 30, 2026 </w:t>
            </w:r>
          </w:p>
        </w:tc>
        <w:tc>
          <w:tcPr>
            <w:tcW w:w="781" w:type="dxa"/>
            <w:tcBorders/>
            <w:vAlign w:val="center"/>
          </w:tcPr>
          <w:p>
            <w:pPr>
              <w:pStyle w:val="TableContents"/>
              <w:bidi w:val="0"/>
              <w:spacing w:before="0" w:after="0"/>
              <w:jc w:val="both"/>
              <w:rPr/>
            </w:pPr>
            <w:r>
              <w:rPr/>
              <w:t xml:space="preserve">  </w:t>
            </w:r>
          </w:p>
        </w:tc>
        <w:tc>
          <w:tcPr>
            <w:tcW w:w="4259" w:type="dxa"/>
            <w:tcBorders/>
            <w:vAlign w:val="center"/>
          </w:tcPr>
          <w:p>
            <w:pPr>
              <w:pStyle w:val="TableContents"/>
              <w:bidi w:val="0"/>
              <w:spacing w:before="0" w:after="0"/>
              <w:jc w:val="both"/>
              <w:rPr/>
            </w:pPr>
            <w:r>
              <w:rPr/>
              <w:t xml:space="preserve">  </w:t>
            </w:r>
          </w:p>
        </w:tc>
      </w:tr>
    </w:tbl>
    <w:p>
      <w:pPr>
        <w:pStyle w:val="TextBody"/>
        <w:bidi w:val="0"/>
        <w:spacing w:before="0" w:after="0"/>
        <w:jc w:val="both"/>
        <w:rPr/>
      </w:pPr>
      <w:r>
        <w:rPr/>
        <w:t xml:space="preserve">  </w:t>
      </w:r>
    </w:p>
    <w:p>
      <w:pPr>
        <w:pStyle w:val="TextBody"/>
        <w:bidi w:val="0"/>
        <w:spacing w:before="0" w:after="0"/>
        <w:jc w:val="both"/>
        <w:rPr/>
      </w:pPr>
      <w:r>
        <w:rPr/>
        <w:t xml:space="preserve">  </w:t>
      </w:r>
    </w:p>
    <w:p>
      <w:pPr>
        <w:pStyle w:val="TextBody"/>
        <w:bidi w:val="0"/>
        <w:jc w:val="both"/>
        <w:rPr/>
      </w:pPr>
      <w:r>
        <w:rPr/>
        <w:t xml:space="preserve">  </w:t>
      </w:r>
    </w:p>
    <w:p>
      <w:pPr>
        <w:pStyle w:val="TextBody"/>
        <w:bidi w:val="0"/>
        <w:spacing w:before="0" w:after="0"/>
        <w:jc w:val="left"/>
        <w:rPr/>
      </w:pPr>
      <w:bookmarkStart w:id="4" w:name="ex99_1.htm"/>
      <w:bookmarkStart w:id="5" w:name="ksex99_1"/>
      <w:bookmarkEnd w:id="4"/>
      <w:bookmarkEnd w:id="5"/>
      <w:r>
        <w:rPr/>
        <w:t> </w:t>
      </w:r>
      <w:r>
        <w:br w:type="page"/>
      </w:r>
    </w:p>
    <w:p>
      <w:pPr>
        <w:pStyle w:val="TextBody"/>
        <w:bidi w:val="0"/>
        <w:spacing w:before="0" w:after="0"/>
        <w:jc w:val="left"/>
        <w:rPr/>
      </w:pPr>
      <w:r>
        <w:rPr/>
        <w:t> </w:t>
      </w:r>
    </w:p>
    <w:p>
      <w:pPr>
        <w:pStyle w:val="TextBody"/>
        <w:bidi w:val="0"/>
        <w:spacing w:before="0" w:after="0"/>
        <w:jc w:val="left"/>
        <w:rPr/>
      </w:pPr>
      <w:r>
        <w:rPr/>
        <w:t> </w:t>
      </w:r>
    </w:p>
    <w:tbl>
      <w:tblPr>
        <w:tblW w:w="20967" w:type="dxa"/>
        <w:jc w:val="left"/>
        <w:tblInd w:w="0" w:type="dxa"/>
        <w:tblLayout w:type="fixed"/>
        <w:tblCellMar>
          <w:top w:w="28" w:type="dxa"/>
          <w:left w:w="28" w:type="dxa"/>
          <w:bottom w:w="28" w:type="dxa"/>
          <w:right w:w="28" w:type="dxa"/>
        </w:tblCellMar>
      </w:tblPr>
      <w:tblGrid>
        <w:gridCol w:w="18671"/>
        <w:gridCol w:w="2296"/>
      </w:tblGrid>
      <w:tr>
        <w:trPr/>
        <w:tc>
          <w:tcPr>
            <w:tcW w:w="18671" w:type="dxa"/>
            <w:tcBorders/>
            <w:vAlign w:val="center"/>
          </w:tcPr>
          <w:p>
            <w:pPr>
              <w:pStyle w:val="TableContents"/>
              <w:bidi w:val="0"/>
              <w:spacing w:before="0" w:after="283"/>
              <w:jc w:val="left"/>
              <w:rPr/>
            </w:pPr>
            <w:r>
              <w:rPr/>
              <w:t> </w:t>
            </w:r>
          </w:p>
        </w:tc>
        <w:tc>
          <w:tcPr>
            <w:tcW w:w="2296" w:type="dxa"/>
            <w:tcBorders/>
            <w:vAlign w:val="center"/>
          </w:tcPr>
          <w:p>
            <w:pPr>
              <w:pStyle w:val="TableContents"/>
              <w:bidi w:val="0"/>
              <w:spacing w:before="0" w:after="283"/>
              <w:jc w:val="right"/>
              <w:rPr>
                <w:b/>
                <w:sz w:val="32"/>
              </w:rPr>
            </w:pPr>
            <w:r>
              <w:rPr>
                <w:b/>
                <w:sz w:val="32"/>
              </w:rPr>
              <w:t>EXHIBIT 99.1</w:t>
            </w:r>
          </w:p>
        </w:tc>
      </w:tr>
      <w:tr>
        <w:trPr/>
        <w:tc>
          <w:tcPr>
            <w:tcW w:w="18671" w:type="dxa"/>
            <w:tcBorders/>
            <w:vAlign w:val="center"/>
          </w:tcPr>
          <w:p>
            <w:pPr>
              <w:pStyle w:val="TableContents"/>
              <w:bidi w:val="0"/>
              <w:spacing w:before="0" w:after="283"/>
              <w:jc w:val="left"/>
              <w:rPr/>
            </w:pPr>
            <w:r>
              <w:rPr/>
              <w:drawing>
                <wp:inline distT="0" distB="0" distL="0" distR="0">
                  <wp:extent cx="11791950" cy="889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791950" cy="889000"/>
                          </a:xfrm>
                          <a:prstGeom prst="rect">
                            <a:avLst/>
                          </a:prstGeom>
                        </pic:spPr>
                      </pic:pic>
                    </a:graphicData>
                  </a:graphic>
                </wp:inline>
              </w:drawing>
            </w:r>
          </w:p>
        </w:tc>
        <w:tc>
          <w:tcPr>
            <w:tcW w:w="2296" w:type="dxa"/>
            <w:tcBorders/>
            <w:vAlign w:val="center"/>
          </w:tcPr>
          <w:p>
            <w:pPr>
              <w:pStyle w:val="TableContents"/>
              <w:bidi w:val="0"/>
              <w:spacing w:before="0" w:after="283"/>
              <w:jc w:val="left"/>
              <w:rPr>
                <w:b/>
                <w:sz w:val="66"/>
              </w:rPr>
            </w:pPr>
            <w:r>
              <w:rPr>
                <w:b/>
                <w:sz w:val="66"/>
              </w:rPr>
              <w:t>News Release</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b/>
          <w:color w:val="000000"/>
          <w:sz w:val="22"/>
        </w:rPr>
      </w:pPr>
      <w:r>
        <w:rPr>
          <w:rFonts w:ascii="Arial" w:hAnsi="Arial"/>
          <w:b/>
          <w:color w:val="000000"/>
          <w:sz w:val="22"/>
        </w:rPr>
        <w:t>Minerals Technologies Inc. Announces 2026 Second Quarter Financial Results</w:t>
      </w:r>
    </w:p>
    <w:p>
      <w:pPr>
        <w:pStyle w:val="TextBody"/>
        <w:bidi w:val="0"/>
        <w:spacing w:before="0" w:after="0"/>
        <w:ind w:left="720" w:right="0" w:hanging="360"/>
        <w:jc w:val="center"/>
        <w:rPr/>
      </w:pPr>
      <w:r>
        <w:rPr/>
        <w:t> </w:t>
      </w:r>
    </w:p>
    <w:p>
      <w:pPr>
        <w:pStyle w:val="TextBody"/>
        <w:bidi w:val="0"/>
        <w:spacing w:before="0" w:after="0"/>
        <w:ind w:left="720" w:right="0" w:hanging="360"/>
        <w:jc w:val="left"/>
        <w:rPr/>
      </w:pPr>
      <w:r>
        <w:rPr/>
        <w:t>●</w:t>
      </w:r>
      <w:r>
        <w:rPr>
          <w:caps w:val="false"/>
          <w:smallCaps w:val="false"/>
        </w:rPr>
        <w:t xml:space="preserve">       </w:t>
      </w:r>
      <w:r>
        <w:rPr>
          <w:rFonts w:ascii="Arial" w:hAnsi="Arial"/>
          <w:sz w:val="22"/>
        </w:rPr>
        <w:t>Sales up 4 percent versus prior year and up 7 percent year-to-date; on track for mid-single digit growth for full year</w:t>
      </w:r>
    </w:p>
    <w:p>
      <w:pPr>
        <w:pStyle w:val="TextBody"/>
        <w:bidi w:val="0"/>
        <w:spacing w:before="0" w:after="0"/>
        <w:ind w:left="720" w:right="0" w:hanging="360"/>
        <w:jc w:val="left"/>
        <w:rPr/>
      </w:pPr>
      <w:r>
        <w:rPr/>
        <w:t>●</w:t>
      </w:r>
      <w:r>
        <w:rPr>
          <w:caps w:val="false"/>
          <w:smallCaps w:val="false"/>
        </w:rPr>
        <w:t xml:space="preserve">       </w:t>
      </w:r>
      <w:r>
        <w:rPr>
          <w:rFonts w:ascii="Arial" w:hAnsi="Arial"/>
          <w:sz w:val="22"/>
        </w:rPr>
        <w:t>Strong cash flow generation, up significantly year-to-date versus prior year</w:t>
      </w:r>
    </w:p>
    <w:p>
      <w:pPr>
        <w:pStyle w:val="TextBody"/>
        <w:bidi w:val="0"/>
        <w:spacing w:before="0" w:after="0"/>
        <w:ind w:left="720" w:right="0" w:hanging="360"/>
        <w:jc w:val="left"/>
        <w:rPr/>
      </w:pPr>
      <w:r>
        <w:rPr/>
        <w:t>●</w:t>
      </w:r>
      <w:r>
        <w:rPr>
          <w:caps w:val="false"/>
          <w:smallCaps w:val="false"/>
        </w:rPr>
        <w:t xml:space="preserve">       </w:t>
      </w:r>
      <w:r>
        <w:rPr>
          <w:rFonts w:ascii="Arial" w:hAnsi="Arial"/>
          <w:sz w:val="22"/>
        </w:rPr>
        <w:t>Balance sheet remains solid, adjusted net leverage ratio at 1.6x</w:t>
      </w:r>
    </w:p>
    <w:p>
      <w:pPr>
        <w:pStyle w:val="TextBody"/>
        <w:bidi w:val="0"/>
        <w:spacing w:before="0" w:after="0"/>
        <w:ind w:left="720" w:right="0" w:hanging="360"/>
        <w:jc w:val="left"/>
        <w:rPr/>
      </w:pPr>
      <w:r>
        <w:rPr/>
        <w:t>●</w:t>
      </w:r>
      <w:r>
        <w:rPr>
          <w:caps w:val="false"/>
          <w:smallCaps w:val="false"/>
        </w:rPr>
        <w:t xml:space="preserve">       </w:t>
      </w:r>
      <w:r>
        <w:rPr>
          <w:rFonts w:ascii="Arial" w:hAnsi="Arial"/>
          <w:sz w:val="22"/>
        </w:rPr>
        <w:t>Published 18</w:t>
      </w:r>
      <w:r>
        <w:rPr>
          <w:rFonts w:ascii="Arial" w:hAnsi="Arial"/>
          <w:position w:val="7"/>
          <w:sz w:val="18"/>
          <w:sz w:val="22"/>
        </w:rPr>
        <w:t>th</w:t>
      </w:r>
      <w:r>
        <w:rPr>
          <w:rFonts w:ascii="Arial" w:hAnsi="Arial"/>
          <w:sz w:val="22"/>
        </w:rPr>
        <w:t xml:space="preserve"> Sustainability Report and established new 10-year environmental targets</w:t>
      </w:r>
    </w:p>
    <w:p>
      <w:pPr>
        <w:pStyle w:val="TextBody"/>
        <w:bidi w:val="0"/>
        <w:spacing w:before="0" w:after="0"/>
        <w:ind w:left="720" w:right="0" w:hanging="360"/>
        <w:jc w:val="left"/>
        <w:rPr/>
      </w:pPr>
      <w:r>
        <w:rPr/>
        <w:t>●</w:t>
      </w:r>
      <w:r>
        <w:rPr>
          <w:caps w:val="false"/>
          <w:smallCaps w:val="false"/>
        </w:rPr>
        <w:t xml:space="preserve">       </w:t>
      </w:r>
      <w:r>
        <w:rPr>
          <w:rFonts w:ascii="Arial" w:hAnsi="Arial"/>
          <w:sz w:val="22"/>
        </w:rPr>
        <w:t>Company will host Investor Day event on September 22, 2026</w:t>
      </w:r>
    </w:p>
    <w:p>
      <w:pPr>
        <w:pStyle w:val="TextBody"/>
        <w:bidi w:val="0"/>
        <w:spacing w:before="0" w:after="0"/>
        <w:jc w:val="left"/>
        <w:rPr/>
      </w:pPr>
      <w:r>
        <w:rPr/>
        <w:t> </w:t>
      </w:r>
    </w:p>
    <w:p>
      <w:pPr>
        <w:pStyle w:val="TextBody"/>
        <w:bidi w:val="0"/>
        <w:spacing w:before="0" w:after="0"/>
        <w:ind w:left="0" w:right="0" w:hanging="0"/>
        <w:jc w:val="left"/>
        <w:rPr>
          <w:rFonts w:ascii="Arial" w:hAnsi="Arial"/>
          <w:sz w:val="22"/>
        </w:rPr>
      </w:pPr>
      <w:r>
        <w:rPr>
          <w:rFonts w:ascii="Arial" w:hAnsi="Arial"/>
          <w:sz w:val="22"/>
        </w:rPr>
        <w:t>NEW YORK, July 30, 2026 (GLOBE NEWSWIRE) -- Minerals Technologies Inc. (NYSE: MTX) (“MTI”), a leading, technology-driven specialty minerals company, today reported a loss per share for the second quarter ended July 5, 2026, of $5.90, or earnings per share of $1.60 excluding special items, representing a 3 percent increase over the prior year.</w:t>
      </w:r>
    </w:p>
    <w:p>
      <w:pPr>
        <w:pStyle w:val="TextBody"/>
        <w:bidi w:val="0"/>
        <w:spacing w:before="0" w:after="0"/>
        <w:jc w:val="left"/>
        <w:rPr/>
      </w:pPr>
      <w:r>
        <w:rPr/>
        <w:t> </w:t>
      </w:r>
    </w:p>
    <w:p>
      <w:pPr>
        <w:pStyle w:val="TextBody"/>
        <w:bidi w:val="0"/>
        <w:spacing w:before="0" w:after="0"/>
        <w:jc w:val="left"/>
        <w:rPr/>
      </w:pPr>
      <w:r>
        <w:rPr/>
        <w:t>“</w:t>
      </w:r>
      <w:r>
        <w:rPr>
          <w:rFonts w:ascii="Arial" w:hAnsi="Arial"/>
          <w:sz w:val="22"/>
        </w:rPr>
        <w:t>Our sales momentum continued in the second quarter, resulting in 7 percent growth in the first half of the year. This trend is being driven by our growth initiatives and strong market conditions, and we are on track to hit our full year revenue targets,” said Douglas T. Dietrich, Chairman and Chief Executive Officer. “We absorbed significant inflationary cost increases that temporarily impacted margins, primarily in the Consumer &amp; Specialties segment, but have pricing actions into place to restore them through the back half of the year.”</w:t>
      </w:r>
      <w:r>
        <w:rPr/>
        <w:t xml:space="preserve"> </w:t>
      </w:r>
    </w:p>
    <w:p>
      <w:pPr>
        <w:pStyle w:val="TextBody"/>
        <w:bidi w:val="0"/>
        <w:spacing w:before="0" w:after="0"/>
        <w:jc w:val="left"/>
        <w:rPr/>
      </w:pPr>
      <w:r>
        <w:rPr/>
        <w:t xml:space="preserve">  </w:t>
      </w:r>
    </w:p>
    <w:p>
      <w:pPr>
        <w:pStyle w:val="TextBody"/>
        <w:bidi w:val="0"/>
        <w:spacing w:before="0" w:after="0"/>
        <w:jc w:val="left"/>
        <w:rPr/>
      </w:pPr>
      <w:r>
        <w:rPr>
          <w:rFonts w:ascii="Arial" w:hAnsi="Arial"/>
          <w:b/>
          <w:color w:val="000000"/>
          <w:sz w:val="22"/>
        </w:rPr>
        <w:t>Consolidated Results</w:t>
      </w:r>
      <w:r>
        <w:rPr/>
        <w:t xml:space="preserve"> </w:t>
      </w:r>
    </w:p>
    <w:p>
      <w:pPr>
        <w:pStyle w:val="TextBody"/>
        <w:bidi w:val="0"/>
        <w:spacing w:before="0" w:after="0"/>
        <w:jc w:val="left"/>
        <w:rPr/>
      </w:pPr>
      <w:r>
        <w:rPr/>
        <w:t xml:space="preserve">  </w:t>
      </w:r>
    </w:p>
    <w:p>
      <w:pPr>
        <w:pStyle w:val="TextBody"/>
        <w:bidi w:val="0"/>
        <w:spacing w:before="0" w:after="0"/>
        <w:jc w:val="left"/>
        <w:rPr>
          <w:rFonts w:ascii="Arial" w:hAnsi="Arial"/>
          <w:sz w:val="22"/>
        </w:rPr>
      </w:pPr>
      <w:r>
        <w:rPr>
          <w:rFonts w:ascii="Arial" w:hAnsi="Arial"/>
          <w:sz w:val="22"/>
        </w:rPr>
        <w:t xml:space="preserve">In the second quarter, MTI’s worldwide net sales were $548 million, up 4 percent over the prior year. Foreign exchange had a favorable impact of $7 million on sales. For the first half of 2026, consolidated sales were $1.1 billion, up 7 percent over prior year. </w:t>
      </w:r>
    </w:p>
    <w:p>
      <w:pPr>
        <w:pStyle w:val="TextBody"/>
        <w:bidi w:val="0"/>
        <w:spacing w:before="0" w:after="0"/>
        <w:jc w:val="left"/>
        <w:rPr/>
      </w:pPr>
      <w:r>
        <w:rPr/>
        <w:t xml:space="preserve">  </w:t>
      </w:r>
    </w:p>
    <w:p>
      <w:pPr>
        <w:pStyle w:val="TextBody"/>
        <w:bidi w:val="0"/>
        <w:spacing w:before="0" w:after="0"/>
        <w:jc w:val="left"/>
        <w:rPr/>
      </w:pPr>
      <w:r>
        <w:rPr>
          <w:rFonts w:ascii="Arial" w:hAnsi="Arial"/>
          <w:sz w:val="22"/>
        </w:rPr>
        <w:t>Reported operating loss in the second quarter was $220 million, or operating income of $75 million excluding special items. The special items include a $290 million charge to increase the company’s reserve for estimated costs to fund a trust to resolve all current and future talc-related claims as well as fund the Chapter 11 cases of its subsidiary BMI OldCo Inc. and affiliated debtors and related litigation costs.</w:t>
      </w:r>
      <w:r>
        <w:rPr/>
        <w:t xml:space="preserve"> </w:t>
      </w:r>
    </w:p>
    <w:p>
      <w:pPr>
        <w:pStyle w:val="TextBody"/>
        <w:bidi w:val="0"/>
        <w:spacing w:before="0" w:after="0"/>
        <w:jc w:val="left"/>
        <w:rPr/>
      </w:pPr>
      <w:r>
        <w:rPr/>
        <w:t xml:space="preserve">  </w:t>
      </w:r>
    </w:p>
    <w:p>
      <w:pPr>
        <w:pStyle w:val="TextBody"/>
        <w:bidi w:val="0"/>
        <w:spacing w:before="0" w:after="0"/>
        <w:jc w:val="left"/>
        <w:rPr/>
      </w:pPr>
      <w:r>
        <w:rPr>
          <w:rFonts w:ascii="Arial" w:hAnsi="Arial"/>
          <w:b/>
          <w:color w:val="000000"/>
          <w:sz w:val="22"/>
        </w:rPr>
        <w:t>Second Quarter 2026 Segment Results</w:t>
      </w:r>
      <w:r>
        <w:rPr/>
        <w:t xml:space="preserve"> </w:t>
      </w:r>
    </w:p>
    <w:p>
      <w:pPr>
        <w:pStyle w:val="TextBody"/>
        <w:bidi w:val="0"/>
        <w:spacing w:before="0" w:after="0"/>
        <w:jc w:val="left"/>
        <w:rPr/>
      </w:pPr>
      <w:r>
        <w:rPr/>
        <w:t xml:space="preserve">  </w:t>
      </w:r>
    </w:p>
    <w:p>
      <w:pPr>
        <w:pStyle w:val="TextBody"/>
        <w:bidi w:val="0"/>
        <w:spacing w:before="0" w:after="0"/>
        <w:jc w:val="left"/>
        <w:rPr>
          <w:rFonts w:ascii="Arial" w:hAnsi="Arial"/>
          <w:sz w:val="22"/>
        </w:rPr>
      </w:pPr>
      <w:r>
        <w:rPr>
          <w:rFonts w:ascii="Arial" w:hAnsi="Arial"/>
          <w:b/>
          <w:sz w:val="22"/>
        </w:rPr>
        <w:t>Consumer &amp; Specialties </w:t>
      </w:r>
      <w:r>
        <w:rPr>
          <w:rFonts w:ascii="Arial" w:hAnsi="Arial"/>
          <w:sz w:val="22"/>
        </w:rPr>
        <w:t>segment sales were $275 million, down 1 percent from the prior year. Sales in the Household &amp; Personal Care product line were $123 million, down 3 percent from the prior year due to lower sales in high-margin consumer specialty products. Sales in the Specialty Additives product line were $151 million, up 1 percent over the prior year, primarily driven by higher sales to paper and packaging customers.</w:t>
      </w:r>
    </w:p>
    <w:p>
      <w:pPr>
        <w:pStyle w:val="TextBody"/>
        <w:bidi w:val="0"/>
        <w:spacing w:before="0" w:after="0"/>
        <w:jc w:val="left"/>
        <w:rPr/>
      </w:pPr>
      <w:r>
        <w:rPr/>
        <w:t xml:space="preserve">  </w:t>
      </w:r>
    </w:p>
    <w:p>
      <w:pPr>
        <w:pStyle w:val="TextBody"/>
        <w:bidi w:val="0"/>
        <w:spacing w:before="0" w:after="0"/>
        <w:jc w:val="left"/>
        <w:rPr/>
      </w:pPr>
      <w:r>
        <w:rPr>
          <w:rFonts w:ascii="Arial" w:hAnsi="Arial"/>
          <w:sz w:val="22"/>
        </w:rPr>
        <w:t>Segment reported operating income was $29 million, down 21 percent excluding special items, due to unfavorable volume mix as well as higher energy, transportation, and raw material costs that were not fully recovered within the quarter due to the timing of contractual pricing adjustments.</w:t>
      </w:r>
      <w:r>
        <w:rPr/>
        <w:t xml:space="preserve"> </w:t>
      </w:r>
    </w:p>
    <w:p>
      <w:pPr>
        <w:pStyle w:val="TextBody"/>
        <w:bidi w:val="0"/>
        <w:spacing w:before="0" w:after="0"/>
        <w:jc w:val="left"/>
        <w:rPr/>
      </w:pPr>
      <w:r>
        <w:rPr/>
        <w:t xml:space="preserve">  </w:t>
      </w:r>
    </w:p>
    <w:p>
      <w:pPr>
        <w:pStyle w:val="TextBody"/>
        <w:bidi w:val="0"/>
        <w:spacing w:before="0" w:after="0"/>
        <w:jc w:val="left"/>
        <w:rPr>
          <w:rFonts w:ascii="Arial" w:hAnsi="Arial"/>
          <w:sz w:val="22"/>
        </w:rPr>
      </w:pPr>
      <w:r>
        <w:rPr>
          <w:rFonts w:ascii="Arial" w:hAnsi="Arial"/>
          <w:sz w:val="22"/>
        </w:rPr>
        <w:t xml:space="preserve">MTI’s Consumer &amp; Specialties segment provides functional components that become part of a variety of consumer and industrial products and touch millions of lives every day. It includes two product lines: Household &amp; Personal Care, which delivers mineral-to-market products for improved performance and enhanced consumer experiences in end markets including cat litter, household and personal care, edible oil and renewable fuel purification, animal health, and agriculture; and Specialty Additives, which offers mineral-based technologies for improved functionality in end markets including paper and packaging, food and pharmaceuticals, sealants and adhesives, paints and coatings, and residential construction. </w:t>
      </w:r>
    </w:p>
    <w:p>
      <w:pPr>
        <w:pStyle w:val="TextBody"/>
        <w:bidi w:val="0"/>
        <w:spacing w:lineRule="auto" w:line="302" w:before="0" w:after="0"/>
        <w:jc w:val="left"/>
        <w:rPr/>
      </w:pPr>
      <w:r>
        <w:rPr/>
        <w:t xml:space="preserve">  </w:t>
      </w:r>
    </w:p>
    <w:p>
      <w:pPr>
        <w:pStyle w:val="TextBody"/>
        <w:bidi w:val="0"/>
        <w:spacing w:before="0" w:after="0"/>
        <w:jc w:val="left"/>
        <w:rPr/>
      </w:pPr>
      <w:r>
        <w:rPr>
          <w:rFonts w:ascii="Arial" w:hAnsi="Arial"/>
          <w:b/>
          <w:sz w:val="22"/>
        </w:rPr>
        <w:t>Engineered Solutions</w:t>
      </w:r>
      <w:r>
        <w:rPr/>
        <w:t xml:space="preserve"> </w:t>
      </w:r>
      <w:r>
        <w:rPr>
          <w:rFonts w:ascii="Arial" w:hAnsi="Arial"/>
          <w:sz w:val="22"/>
        </w:rPr>
        <w:t xml:space="preserve">segment sales were $274 million, up 9 percent over the prior year. Sales in the High-Temperature Technologies product line were $190 million, up 7 percent over the prior year, driven by continued higher sales to steel customers in the U.S. and foundry businesses in Asia. In the Environmental &amp; Infrastructure product line, sales were $84 million, up 15 percent over the prior year, driven by stronger sales related to building materials, large-scale project activity, and infrastructure drilling. </w:t>
      </w:r>
    </w:p>
    <w:p>
      <w:pPr>
        <w:pStyle w:val="TextBody"/>
        <w:bidi w:val="0"/>
        <w:spacing w:lineRule="auto" w:line="302" w:before="0" w:after="0"/>
        <w:jc w:val="left"/>
        <w:rPr/>
      </w:pPr>
      <w:r>
        <w:rPr/>
        <w:t xml:space="preserve">  </w:t>
      </w:r>
    </w:p>
    <w:p>
      <w:pPr>
        <w:pStyle w:val="TextBody"/>
        <w:bidi w:val="0"/>
        <w:spacing w:lineRule="auto" w:line="302" w:before="0" w:after="0"/>
        <w:jc w:val="left"/>
        <w:rPr>
          <w:rFonts w:ascii="Arial" w:hAnsi="Arial"/>
          <w:sz w:val="22"/>
        </w:rPr>
      </w:pPr>
      <w:r>
        <w:rPr>
          <w:rFonts w:ascii="Arial" w:hAnsi="Arial"/>
          <w:sz w:val="22"/>
        </w:rPr>
        <w:t xml:space="preserve">Segment reported operating income was $49 million, up 12 percent excluding special items, representing a record operating margin of 17.8 percent of sales. </w:t>
      </w:r>
    </w:p>
    <w:p>
      <w:pPr>
        <w:pStyle w:val="TextBody"/>
        <w:bidi w:val="0"/>
        <w:spacing w:lineRule="auto" w:line="302" w:before="0" w:after="0"/>
        <w:jc w:val="left"/>
        <w:rPr/>
      </w:pPr>
      <w:r>
        <w:rPr/>
        <w:t xml:space="preserve">  </w:t>
      </w:r>
    </w:p>
    <w:p>
      <w:pPr>
        <w:pStyle w:val="TextBody"/>
        <w:bidi w:val="0"/>
        <w:spacing w:lineRule="auto" w:line="302" w:before="0" w:after="0"/>
        <w:jc w:val="left"/>
        <w:rPr/>
      </w:pPr>
      <w:r>
        <w:rPr>
          <w:rFonts w:ascii="Arial" w:hAnsi="Arial"/>
          <w:sz w:val="22"/>
        </w:rPr>
        <w:t xml:space="preserve">MTI’s Engineered Solutions segment provides advanced technologies and solutions designed to improve customers’ manufacturing processes and projects. It includes two product lines: High-Temperature Technologies, which delivers mineral-based blends, technologies, and systems that solve complex challenges in the foundry, steel, and other high-temperature processing industries; and Environmental &amp; Infrastructure, which offers solutions for water treatment, fluid management, building materials, and environmental, remediation, and infrastructure-related projects. </w:t>
      </w:r>
      <w:r>
        <w:rPr/>
        <w:t xml:space="preserve">   </w:t>
      </w:r>
    </w:p>
    <w:p>
      <w:pPr>
        <w:pStyle w:val="TextBody"/>
        <w:bidi w:val="0"/>
        <w:spacing w:lineRule="auto" w:line="302" w:before="0" w:after="0"/>
        <w:jc w:val="left"/>
        <w:rPr/>
      </w:pPr>
      <w:r>
        <w:rPr/>
        <w:t xml:space="preserve">  </w:t>
      </w:r>
    </w:p>
    <w:p>
      <w:pPr>
        <w:pStyle w:val="TextBody"/>
        <w:bidi w:val="0"/>
        <w:spacing w:before="0" w:after="0"/>
        <w:jc w:val="left"/>
        <w:rPr/>
      </w:pPr>
      <w:r>
        <w:rPr>
          <w:rFonts w:ascii="Arial" w:hAnsi="Arial"/>
          <w:b/>
          <w:sz w:val="22"/>
        </w:rPr>
        <w:t>Publication of the 18</w:t>
      </w:r>
      <w:r>
        <w:rPr>
          <w:rFonts w:ascii="Arial" w:hAnsi="Arial"/>
          <w:b/>
          <w:position w:val="7"/>
          <w:sz w:val="18"/>
          <w:sz w:val="22"/>
        </w:rPr>
        <w:t>th</w:t>
      </w:r>
      <w:r>
        <w:rPr>
          <w:rFonts w:ascii="Arial" w:hAnsi="Arial"/>
          <w:b/>
          <w:sz w:val="22"/>
        </w:rPr>
        <w:t> Annual Sustainability Report</w:t>
      </w:r>
      <w:r>
        <w:rPr/>
        <w:t xml:space="preserve"> </w:t>
      </w:r>
    </w:p>
    <w:p>
      <w:pPr>
        <w:pStyle w:val="TextBody"/>
        <w:bidi w:val="0"/>
        <w:spacing w:before="0" w:after="0"/>
        <w:jc w:val="left"/>
        <w:rPr/>
      </w:pPr>
      <w:r>
        <w:rPr/>
        <w:t xml:space="preserve">  </w:t>
      </w:r>
    </w:p>
    <w:p>
      <w:pPr>
        <w:pStyle w:val="TextBody"/>
        <w:bidi w:val="0"/>
        <w:spacing w:before="0" w:after="0"/>
        <w:jc w:val="left"/>
        <w:rPr/>
      </w:pPr>
      <w:r>
        <w:rPr>
          <w:rFonts w:ascii="Arial" w:hAnsi="Arial"/>
          <w:sz w:val="22"/>
        </w:rPr>
        <w:t>MTI published the 18</w:t>
      </w:r>
      <w:r>
        <w:rPr>
          <w:rFonts w:ascii="Arial" w:hAnsi="Arial"/>
          <w:position w:val="7"/>
          <w:sz w:val="18"/>
          <w:sz w:val="22"/>
        </w:rPr>
        <w:t>th</w:t>
      </w:r>
      <w:r>
        <w:rPr>
          <w:rFonts w:ascii="Arial" w:hAnsi="Arial"/>
          <w:sz w:val="22"/>
        </w:rPr>
        <w:t xml:space="preserve"> edition of its annual Sustainability Report, highlighting the company's environmental, safety, and community achievements and establishing a new set of 10-year environmental targets through 2035. It also shared that by 2025, the company had successfully achieved all 12 environmental targets it established in 2018. Key accomplishments included a 34 percent reduction in Scope 1 emissions, a 42 percent reduction in Scope 2 emissions, a 31 percent reduction in water withdrawals, a 56 percent reduction in water discharge, and a 44 percent reduction in landfill waste.  </w:t>
      </w:r>
      <w:r>
        <w:rPr/>
        <w:t xml:space="preserve"> </w:t>
      </w:r>
    </w:p>
    <w:p>
      <w:pPr>
        <w:pStyle w:val="TextBody"/>
        <w:bidi w:val="0"/>
        <w:spacing w:before="0" w:after="0"/>
        <w:jc w:val="left"/>
        <w:rPr/>
      </w:pPr>
      <w:r>
        <w:rPr>
          <w:color w:val="000000"/>
        </w:rPr>
        <w:t> </w:t>
      </w:r>
      <w:r>
        <w:rPr/>
        <w:t xml:space="preserve"> </w:t>
      </w:r>
    </w:p>
    <w:p>
      <w:pPr>
        <w:pStyle w:val="TextBody"/>
        <w:bidi w:val="0"/>
        <w:spacing w:before="0" w:after="0"/>
        <w:jc w:val="left"/>
        <w:rPr>
          <w:rFonts w:ascii="Arial" w:hAnsi="Arial"/>
          <w:sz w:val="22"/>
        </w:rPr>
      </w:pPr>
      <w:r>
        <w:rPr>
          <w:rFonts w:ascii="Arial" w:hAnsi="Arial"/>
          <w:sz w:val="22"/>
        </w:rPr>
        <w:t xml:space="preserve">MTI continues to support its customers' sustainability objectives through innovative solutions that help reduce emissions and waste, improve resource efficiency, and address environmental challenges such as PFAS remediation. In 2025, 67 percent of the company’s products commercialized during the previous five years had a sustainable profile. </w:t>
      </w:r>
    </w:p>
    <w:p>
      <w:pPr>
        <w:pStyle w:val="TextBody"/>
        <w:bidi w:val="0"/>
        <w:spacing w:before="0" w:after="0"/>
        <w:jc w:val="left"/>
        <w:rPr/>
      </w:pPr>
      <w:r>
        <w:rPr/>
        <w:t xml:space="preserve">  </w:t>
      </w:r>
    </w:p>
    <w:p>
      <w:pPr>
        <w:pStyle w:val="TextBody"/>
        <w:bidi w:val="0"/>
        <w:spacing w:before="0" w:after="0"/>
        <w:jc w:val="left"/>
        <w:rPr>
          <w:rFonts w:ascii="Arial" w:hAnsi="Arial"/>
          <w:sz w:val="22"/>
        </w:rPr>
      </w:pPr>
      <w:r>
        <w:rPr>
          <w:rFonts w:ascii="Arial" w:hAnsi="Arial"/>
          <w:sz w:val="22"/>
        </w:rPr>
        <w:t xml:space="preserve">The Sustainability Report is available at www.mineralstech.com/sustainability. </w:t>
      </w:r>
    </w:p>
    <w:p>
      <w:pPr>
        <w:pStyle w:val="TextBody"/>
        <w:bidi w:val="0"/>
        <w:spacing w:before="0" w:after="0"/>
        <w:jc w:val="left"/>
        <w:rPr/>
      </w:pPr>
      <w:r>
        <w:rPr/>
        <w:t xml:space="preserve">  </w:t>
      </w:r>
    </w:p>
    <w:p>
      <w:pPr>
        <w:pStyle w:val="TextBody"/>
        <w:bidi w:val="0"/>
        <w:spacing w:before="0" w:after="0"/>
        <w:jc w:val="left"/>
        <w:rPr>
          <w:rFonts w:ascii="Arial" w:hAnsi="Arial"/>
          <w:sz w:val="22"/>
        </w:rPr>
      </w:pPr>
      <w:r>
        <w:rPr>
          <w:rFonts w:ascii="Arial" w:hAnsi="Arial"/>
          <w:b/>
          <w:spacing w:val="0"/>
          <w:sz w:val="22"/>
        </w:rPr>
        <w:t>Company to Host 2026 Investor Day Event</w:t>
      </w:r>
      <w:r>
        <w:rPr>
          <w:rFonts w:ascii="Arial" w:hAnsi="Arial"/>
          <w:sz w:val="22"/>
        </w:rPr>
        <w:t xml:space="preserve"> </w:t>
      </w:r>
    </w:p>
    <w:p>
      <w:pPr>
        <w:pStyle w:val="TextBody"/>
        <w:bidi w:val="0"/>
        <w:spacing w:before="0" w:after="0"/>
        <w:jc w:val="left"/>
        <w:rPr/>
      </w:pPr>
      <w:r>
        <w:rPr/>
        <w:t xml:space="preserve">  </w:t>
      </w:r>
    </w:p>
    <w:p>
      <w:pPr>
        <w:pStyle w:val="TextBody"/>
        <w:bidi w:val="0"/>
        <w:spacing w:before="0" w:after="0"/>
        <w:jc w:val="left"/>
        <w:rPr/>
      </w:pPr>
      <w:r>
        <w:rPr>
          <w:rFonts w:ascii="Arial" w:hAnsi="Arial"/>
          <w:sz w:val="22"/>
        </w:rPr>
        <w:t>MTI will host an Investor Day event on September 22, 2026, starting at 1 p.m. Eastern Time (EST) at its Bethlehem, Pennsylvania R&amp;D facility. A live webcast with management will be followed by a tour for in-person attendees of the R&amp;D facility, with a focus on the company’s Crystal Engineering and Engineered Blends technologies.</w:t>
      </w:r>
      <w:r>
        <w:rPr/>
        <w:t xml:space="preserve"> </w:t>
      </w:r>
    </w:p>
    <w:p>
      <w:pPr>
        <w:pStyle w:val="TextBody"/>
        <w:bidi w:val="0"/>
        <w:spacing w:before="0" w:after="0"/>
        <w:jc w:val="left"/>
        <w:rPr/>
      </w:pPr>
      <w:r>
        <w:rPr/>
        <w:t> </w:t>
      </w:r>
    </w:p>
    <w:p>
      <w:pPr>
        <w:pStyle w:val="TextBody"/>
        <w:bidi w:val="0"/>
        <w:spacing w:before="0" w:after="0"/>
        <w:jc w:val="left"/>
        <w:rPr/>
      </w:pPr>
      <w:r>
        <w:rPr/>
        <w:t>“</w:t>
      </w:r>
      <w:r>
        <w:rPr>
          <w:rFonts w:ascii="Arial" w:hAnsi="Arial"/>
          <w:sz w:val="22"/>
        </w:rPr>
        <w:t>We are excited to welcome investors to our 2026 Investor Day, where we will provide an update on the strategic growth initiatives driving MTI’s performance today and discuss the opportunities that will shape our future,” said Dietrich. “Our team will showcase MTI’s unique combination of mineral resources, technologies, and application expertise and highlight how we develop innovative solutions that align with emerging customer and market trends. We will also preview some of the new applications that we believe will open up new markets in the next few years and continue to create long-term shareholder value.”</w:t>
      </w:r>
    </w:p>
    <w:p>
      <w:pPr>
        <w:pStyle w:val="TextBody"/>
        <w:bidi w:val="0"/>
        <w:spacing w:before="0" w:after="0"/>
        <w:jc w:val="left"/>
        <w:rPr/>
      </w:pPr>
      <w:r>
        <w:rPr/>
        <w:t> </w:t>
      </w:r>
    </w:p>
    <w:p>
      <w:pPr>
        <w:pStyle w:val="TextBody"/>
        <w:bidi w:val="0"/>
        <w:spacing w:before="0" w:after="0"/>
        <w:jc w:val="left"/>
        <w:rPr>
          <w:rFonts w:ascii="Arial" w:hAnsi="Arial"/>
          <w:b/>
          <w:sz w:val="22"/>
        </w:rPr>
      </w:pPr>
      <w:r>
        <w:rPr>
          <w:rFonts w:ascii="Arial" w:hAnsi="Arial"/>
          <w:b/>
          <w:sz w:val="22"/>
        </w:rPr>
        <w:t>Conference Call</w:t>
      </w:r>
    </w:p>
    <w:p>
      <w:pPr>
        <w:pStyle w:val="TextBody"/>
        <w:bidi w:val="0"/>
        <w:spacing w:before="0" w:after="0"/>
        <w:jc w:val="left"/>
        <w:rPr/>
      </w:pPr>
      <w:r>
        <w:rPr/>
        <w:t> </w:t>
      </w:r>
    </w:p>
    <w:p>
      <w:pPr>
        <w:pStyle w:val="TextBody"/>
        <w:bidi w:val="0"/>
        <w:spacing w:before="0" w:after="0"/>
        <w:jc w:val="left"/>
        <w:rPr/>
      </w:pPr>
      <w:r>
        <w:rPr>
          <w:rFonts w:ascii="Arial" w:hAnsi="Arial"/>
          <w:sz w:val="22"/>
        </w:rPr>
        <w:t>MTI will host a conference call tomorrow, July 31, 2026, at 11 a.m. Eastern Time. The live earnings webcast can be accessed at https://investors.mineralstech.com/quarterly-results-conference-calls. A presentation for the call will be available at the same location at approximately 10:30 a.m. Eastern Time on July 31, 2026.</w:t>
      </w:r>
      <w:r>
        <w:rPr/>
        <w:t xml:space="preserve"> </w:t>
      </w:r>
    </w:p>
    <w:p>
      <w:pPr>
        <w:pStyle w:val="TextBody"/>
        <w:bidi w:val="0"/>
        <w:spacing w:before="0" w:after="0"/>
        <w:jc w:val="left"/>
        <w:rPr/>
      </w:pPr>
      <w:r>
        <w:rPr/>
        <w:t xml:space="preserve">  </w:t>
      </w:r>
    </w:p>
    <w:p>
      <w:pPr>
        <w:pStyle w:val="TextBody"/>
        <w:bidi w:val="0"/>
        <w:spacing w:before="0" w:after="0"/>
        <w:jc w:val="left"/>
        <w:rPr/>
      </w:pPr>
      <w:r>
        <w:rPr>
          <w:rFonts w:ascii="Arial" w:hAnsi="Arial"/>
          <w:i/>
          <w:sz w:val="22"/>
        </w:rPr>
        <w:t>FORWARD-LOOKING STATEMENTS</w:t>
      </w:r>
      <w:r>
        <w:rPr/>
        <w:t xml:space="preserve"> </w:t>
      </w:r>
    </w:p>
    <w:p>
      <w:pPr>
        <w:pStyle w:val="TextBody"/>
        <w:bidi w:val="0"/>
        <w:spacing w:before="0" w:after="0"/>
        <w:jc w:val="center"/>
        <w:rPr/>
      </w:pPr>
      <w:r>
        <w:rPr/>
        <w:t xml:space="preserve">  </w:t>
      </w:r>
    </w:p>
    <w:p>
      <w:pPr>
        <w:pStyle w:val="TextBody"/>
        <w:bidi w:val="0"/>
        <w:spacing w:before="0" w:after="0"/>
        <w:jc w:val="left"/>
        <w:rPr/>
      </w:pPr>
      <w:r>
        <w:rPr>
          <w:rFonts w:ascii="Arial" w:hAnsi="Arial"/>
          <w:i/>
          <w:sz w:val="22"/>
        </w:rPr>
        <w:t>This press release may contain "forward</w:t>
      </w:r>
      <w:r>
        <w:rPr>
          <w:i/>
        </w:rPr>
        <w:t>‐</w:t>
      </w:r>
      <w:r>
        <w:rPr>
          <w:rFonts w:ascii="Arial" w:hAnsi="Arial"/>
          <w:i/>
          <w:sz w:val="22"/>
        </w:rPr>
        <w:t>looking statements" within the meaning of the Private Securities Litigation Reform Act of 1995. Forward-looking statements provide current expectations and forecasts of future events such as new products, revenues, and financial performance, and are not limited to describing historical or current facts. They can be identified by the use of words such as “believes,” “expects,” “plans,” “intends,” “anticipates,” and other words and phrases of similar meaning. Forward-looking statements are necessarily based on assumptions, estimates, and limited information available at the time they are made. A broad variety of risks and uncertainties, both known and unknown, as well as the inaccuracy of assumptions and estimates, can affect the realization of the expectations or forecasts in these statements. Actual future results may vary materially. Significant factors that could affect the expectations and forecasts include worldwide general economic, business, and industry conditions; the cyclicality of our customers’ businesses and their changing regional demands; our ability to compete in very competitive industries; consolidation in customer industries, principally paper, foundry, and steel; our ability to renew or extend long term sales contracts for our satellite operations; our ability to generate cash to service our debt; our ability to comply with the covenants in the agreements governing our debt; our ability to effectively achieve and implement our growth initiatives or consummate the transactions described in the statements; our ability to successfully develop new products; our ability to defend our intellectual property; the increased risks of doing business abroad; the availability of raw materials and access to ore reserves at our mining operations, or increases in costs of raw materials, energy, or shipping; compliance with or changes to regulation in the areas of environmental, health and safety, and tax; risks and uncertainties related to the voluntary petitions for relief under Chapter 11 of the U.S. Bankruptcy Code filed by our subsidiaries BMI OldCo Inc. (f/k/a Barretts Minerals Inc.) and Barretts Ventures Texas LLC; claims for legal, environmental, and tax matters or product stewardship issues; operating risks and capacity limitations affecting our production facilities; seasonality of some of our businesses; cybersecurity and other threats relating to our information technology systems; and other risk factors and cautionary statements in our 2025 Annual Report on Form 10</w:t>
      </w:r>
      <w:r>
        <w:rPr>
          <w:i/>
        </w:rPr>
        <w:t>‐</w:t>
      </w:r>
      <w:r>
        <w:rPr>
          <w:rFonts w:ascii="Arial" w:hAnsi="Arial"/>
          <w:i/>
          <w:sz w:val="22"/>
        </w:rPr>
        <w:t>K, Quarterly Reports on Form 10-Q, Current Reports on Form 8-K, and other reports filed with the Securities and Exchange Commission. The Company undertakes no obligation to publicly update any forward</w:t>
      </w:r>
      <w:r>
        <w:rPr>
          <w:i/>
        </w:rPr>
        <w:t>‐</w:t>
      </w:r>
      <w:r>
        <w:rPr>
          <w:rFonts w:ascii="Arial" w:hAnsi="Arial"/>
          <w:i/>
          <w:sz w:val="22"/>
        </w:rPr>
        <w:t>looking statement, whether as a result of new information, future events, or otherwise.</w:t>
      </w:r>
      <w:r>
        <w:rPr/>
        <w:t xml:space="preserve"> </w:t>
      </w:r>
    </w:p>
    <w:p>
      <w:pPr>
        <w:pStyle w:val="TextBody"/>
        <w:bidi w:val="0"/>
        <w:spacing w:before="0" w:after="0"/>
        <w:jc w:val="left"/>
        <w:rPr/>
      </w:pPr>
      <w:r>
        <w:rPr/>
        <w:t xml:space="preserve">  </w:t>
      </w:r>
    </w:p>
    <w:p>
      <w:pPr>
        <w:pStyle w:val="TextBody"/>
        <w:bidi w:val="0"/>
        <w:spacing w:before="0" w:after="0"/>
        <w:jc w:val="left"/>
        <w:rPr/>
      </w:pPr>
      <w:r>
        <w:rPr>
          <w:rFonts w:ascii="Arial" w:hAnsi="Arial"/>
          <w:b/>
          <w:sz w:val="22"/>
        </w:rPr>
        <w:t xml:space="preserve">About </w:t>
      </w:r>
      <w:r>
        <w:rPr>
          <w:rFonts w:ascii="Arial" w:hAnsi="Arial"/>
          <w:b/>
          <w:color w:val="000000"/>
          <w:sz w:val="22"/>
        </w:rPr>
        <w:t>Minerals Technologies Inc.</w:t>
      </w:r>
      <w:r>
        <w:rPr/>
        <w:t xml:space="preserve"> </w:t>
      </w:r>
    </w:p>
    <w:p>
      <w:pPr>
        <w:pStyle w:val="TextBody"/>
        <w:bidi w:val="0"/>
        <w:spacing w:before="0" w:after="0"/>
        <w:jc w:val="left"/>
        <w:rPr/>
      </w:pPr>
      <w:r>
        <w:rPr>
          <w:rFonts w:ascii="Arial" w:hAnsi="Arial"/>
          <w:sz w:val="22"/>
        </w:rPr>
        <w:t>Minerals Technologies Inc. (NYSE:MTX) is a global, technology-driven specialty minerals company that sources, manufactures, sells, and distributes a wide range of minerals and mineral-based products and services. We utilize our global mineral reserves, combined with our core technologies and applications, to deliver innovative products that are an essential part of everyday life. We serve customers in consumer and industrial markets worldwide, have 4,000 employees in 34 countries, and reported global sales of $2.1 billion in 2025. For further information, visit www.mineralstech.com.</w:t>
      </w:r>
      <w:r>
        <w:rPr/>
        <w:t xml:space="preserve"> </w:t>
      </w:r>
    </w:p>
    <w:p>
      <w:pPr>
        <w:pStyle w:val="TextBody"/>
        <w:bidi w:val="0"/>
        <w:spacing w:before="0" w:after="0"/>
        <w:jc w:val="left"/>
        <w:rPr/>
      </w:pPr>
      <w:r>
        <w:rPr/>
        <w:t xml:space="preserve">  </w:t>
      </w:r>
    </w:p>
    <w:tbl>
      <w:tblPr>
        <w:tblW w:w="3016" w:type="dxa"/>
        <w:jc w:val="left"/>
        <w:tblInd w:w="0" w:type="dxa"/>
        <w:tblLayout w:type="fixed"/>
        <w:tblCellMar>
          <w:top w:w="28" w:type="dxa"/>
          <w:left w:w="28" w:type="dxa"/>
          <w:bottom w:w="28" w:type="dxa"/>
          <w:right w:w="28" w:type="dxa"/>
        </w:tblCellMar>
      </w:tblPr>
      <w:tblGrid>
        <w:gridCol w:w="3016"/>
      </w:tblGrid>
      <w:tr>
        <w:trPr/>
        <w:tc>
          <w:tcPr>
            <w:tcW w:w="3016" w:type="dxa"/>
            <w:tcBorders/>
            <w:vAlign w:val="center"/>
          </w:tcPr>
          <w:p>
            <w:pPr>
              <w:pStyle w:val="TableContents"/>
              <w:bidi w:val="0"/>
              <w:spacing w:before="0" w:after="283"/>
              <w:jc w:val="left"/>
              <w:rPr/>
            </w:pPr>
            <w:r>
              <w:rPr>
                <w:rFonts w:ascii="Arial" w:hAnsi="Arial"/>
                <w:b/>
                <w:sz w:val="22"/>
              </w:rPr>
              <w:t>Investor Relations Contact</w:t>
            </w:r>
            <w:r>
              <w:rPr/>
              <w:t xml:space="preserve"> </w:t>
            </w:r>
          </w:p>
        </w:tc>
      </w:tr>
    </w:tbl>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283"/>
              <w:jc w:val="left"/>
              <w:rPr/>
            </w:pPr>
            <w:r>
              <w:rPr>
                <w:rFonts w:ascii="Arial" w:hAnsi="Arial"/>
                <w:sz w:val="22"/>
              </w:rPr>
              <w:t>Lydia Kopylova</w:t>
            </w:r>
            <w:r>
              <w:rPr/>
              <w:t xml:space="preserve"> </w:t>
            </w:r>
          </w:p>
        </w:tc>
      </w:tr>
    </w:tbl>
    <w:tbl>
      <w:tblPr>
        <w:tblW w:w="3571" w:type="dxa"/>
        <w:jc w:val="left"/>
        <w:tblInd w:w="0" w:type="dxa"/>
        <w:tblLayout w:type="fixed"/>
        <w:tblCellMar>
          <w:top w:w="28" w:type="dxa"/>
          <w:left w:w="28" w:type="dxa"/>
          <w:bottom w:w="28" w:type="dxa"/>
          <w:right w:w="28" w:type="dxa"/>
        </w:tblCellMar>
      </w:tblPr>
      <w:tblGrid>
        <w:gridCol w:w="3571"/>
      </w:tblGrid>
      <w:tr>
        <w:trPr/>
        <w:tc>
          <w:tcPr>
            <w:tcW w:w="3571" w:type="dxa"/>
            <w:tcBorders/>
            <w:vAlign w:val="center"/>
          </w:tcPr>
          <w:p>
            <w:pPr>
              <w:pStyle w:val="TableContents"/>
              <w:bidi w:val="0"/>
              <w:spacing w:before="0" w:after="283"/>
              <w:jc w:val="left"/>
              <w:rPr/>
            </w:pPr>
            <w:r>
              <w:rPr>
                <w:rFonts w:ascii="Arial" w:hAnsi="Arial"/>
                <w:sz w:val="22"/>
              </w:rPr>
              <w:t>lydia.kopylova@mineralstech.com</w:t>
            </w:r>
            <w:r>
              <w:rPr/>
              <w:t xml:space="preserve"> </w:t>
            </w:r>
          </w:p>
        </w:tc>
      </w:tr>
    </w:tbl>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vAlign w:val="center"/>
          </w:tcPr>
          <w:p>
            <w:pPr>
              <w:pStyle w:val="TableContents"/>
              <w:bidi w:val="0"/>
              <w:spacing w:before="0" w:after="283"/>
              <w:jc w:val="left"/>
              <w:rPr/>
            </w:pPr>
            <w:r>
              <w:rPr/>
              <w:t xml:space="preserve">  </w:t>
            </w:r>
          </w:p>
        </w:tc>
      </w:tr>
    </w:tbl>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283"/>
              <w:jc w:val="left"/>
              <w:rPr/>
            </w:pPr>
            <w:r>
              <w:rPr>
                <w:rFonts w:ascii="Arial" w:hAnsi="Arial"/>
                <w:b/>
                <w:sz w:val="22"/>
              </w:rPr>
              <w:t>Media Contact</w:t>
            </w:r>
            <w:r>
              <w:rPr/>
              <w:t xml:space="preserve"> </w:t>
            </w:r>
          </w:p>
        </w:tc>
      </w:tr>
    </w:tbl>
    <w:tbl>
      <w:tblPr>
        <w:tblW w:w="1831" w:type="dxa"/>
        <w:jc w:val="left"/>
        <w:tblInd w:w="0" w:type="dxa"/>
        <w:tblLayout w:type="fixed"/>
        <w:tblCellMar>
          <w:top w:w="28" w:type="dxa"/>
          <w:left w:w="28" w:type="dxa"/>
          <w:bottom w:w="28" w:type="dxa"/>
          <w:right w:w="28" w:type="dxa"/>
        </w:tblCellMar>
      </w:tblPr>
      <w:tblGrid>
        <w:gridCol w:w="1831"/>
      </w:tblGrid>
      <w:tr>
        <w:trPr/>
        <w:tc>
          <w:tcPr>
            <w:tcW w:w="1831" w:type="dxa"/>
            <w:tcBorders/>
            <w:vAlign w:val="center"/>
          </w:tcPr>
          <w:p>
            <w:pPr>
              <w:pStyle w:val="TableContents"/>
              <w:bidi w:val="0"/>
              <w:spacing w:before="0" w:after="283"/>
              <w:jc w:val="left"/>
              <w:rPr/>
            </w:pPr>
            <w:r>
              <w:rPr>
                <w:rFonts w:ascii="Arial" w:hAnsi="Arial"/>
                <w:sz w:val="22"/>
              </w:rPr>
              <w:t>Stephanie Heise</w:t>
            </w:r>
            <w:r>
              <w:rPr/>
              <w:t xml:space="preserve"> </w:t>
            </w:r>
          </w:p>
        </w:tc>
      </w:tr>
    </w:tbl>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283"/>
              <w:jc w:val="left"/>
              <w:rPr/>
            </w:pPr>
            <w:r>
              <w:rPr>
                <w:rFonts w:ascii="Arial" w:hAnsi="Arial"/>
                <w:sz w:val="22"/>
              </w:rPr>
              <w:t>stephanie.heise@mineralstech.com</w:t>
            </w:r>
            <w:r>
              <w:rPr/>
              <w:t xml:space="preserve"> </w:t>
            </w:r>
          </w:p>
        </w:tc>
      </w:tr>
    </w:tbl>
    <w:p>
      <w:pPr>
        <w:pStyle w:val="TextBody"/>
        <w:bidi w:val="0"/>
        <w:spacing w:before="0" w:after="0"/>
        <w:jc w:val="left"/>
        <w:rPr/>
      </w:pPr>
      <w:r>
        <w:rPr/>
        <w:t xml:space="preserve">  </w:t>
      </w:r>
    </w:p>
    <w:p>
      <w:pPr>
        <w:pStyle w:val="TextBody"/>
        <w:bidi w:val="0"/>
        <w:spacing w:before="0" w:after="0"/>
        <w:jc w:val="center"/>
        <w:rPr/>
      </w:pPr>
      <w:r>
        <w:rPr>
          <w:rFonts w:ascii="Arial" w:hAnsi="Arial"/>
          <w:color w:val="000000"/>
          <w:sz w:val="22"/>
        </w:rPr>
        <w:t>###</w:t>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pPr>
      <w:r>
        <w:rPr/>
        <w:t> </w:t>
      </w:r>
    </w:p>
    <w:p>
      <w:pPr>
        <w:pStyle w:val="TextBody"/>
        <w:bidi w:val="0"/>
        <w:spacing w:before="0" w:after="0"/>
        <w:jc w:val="center"/>
        <w:rPr>
          <w:b/>
          <w:spacing w:val="0"/>
        </w:rPr>
      </w:pPr>
      <w:r>
        <w:rPr>
          <w:b/>
          <w:spacing w:val="0"/>
        </w:rPr>
        <w:t>MINERALS TECHNOLOGIES INC. AND SUBSIDIARY COMPANIES</w:t>
      </w:r>
    </w:p>
    <w:p>
      <w:pPr>
        <w:pStyle w:val="TextBody"/>
        <w:bidi w:val="0"/>
        <w:spacing w:before="0" w:after="0"/>
        <w:jc w:val="center"/>
        <w:rPr>
          <w:b/>
          <w:spacing w:val="0"/>
        </w:rPr>
      </w:pPr>
      <w:r>
        <w:rPr>
          <w:b/>
          <w:spacing w:val="0"/>
        </w:rPr>
        <w:t>CONDENSED CONSOLIDATED STATEMENTS OF INCOME (LOSS)</w:t>
      </w:r>
    </w:p>
    <w:p>
      <w:pPr>
        <w:pStyle w:val="TextBody"/>
        <w:bidi w:val="0"/>
        <w:spacing w:before="0" w:after="0"/>
        <w:jc w:val="center"/>
        <w:rPr>
          <w:b/>
          <w:spacing w:val="0"/>
          <w:sz w:val="20"/>
        </w:rPr>
      </w:pPr>
      <w:r>
        <w:rPr>
          <w:b/>
          <w:spacing w:val="0"/>
          <w:sz w:val="20"/>
        </w:rPr>
        <w:t>(in milli</w:t>
      </w:r>
      <w:r>
        <w:rPr>
          <w:b/>
          <w:spacing w:val="0"/>
          <w:sz w:val="20"/>
        </w:rPr>
        <w:t>o</w:t>
      </w:r>
      <w:r>
        <w:rPr>
          <w:b/>
          <w:spacing w:val="0"/>
          <w:sz w:val="20"/>
        </w:rPr>
        <w:t>ns of dollars, except per share data)</w:t>
      </w:r>
    </w:p>
    <w:p>
      <w:pPr>
        <w:pStyle w:val="TextBody"/>
        <w:bidi w:val="0"/>
        <w:spacing w:before="0" w:after="0"/>
        <w:jc w:val="center"/>
        <w:rPr>
          <w:b/>
          <w:spacing w:val="0"/>
          <w:sz w:val="20"/>
        </w:rPr>
      </w:pPr>
      <w:r>
        <w:rPr>
          <w:b/>
          <w:spacing w:val="0"/>
          <w:sz w:val="20"/>
        </w:rPr>
        <w:t>(unaudited)</w:t>
      </w:r>
    </w:p>
    <w:p>
      <w:pPr>
        <w:pStyle w:val="TextBody"/>
        <w:bidi w:val="0"/>
        <w:spacing w:before="0" w:after="0"/>
        <w:jc w:val="left"/>
        <w:rPr/>
      </w:pPr>
      <w:r>
        <w:rPr/>
        <w:t> </w:t>
      </w:r>
    </w:p>
    <w:tbl>
      <w:tblPr>
        <w:tblW w:w="12477" w:type="dxa"/>
        <w:jc w:val="left"/>
        <w:tblInd w:w="0" w:type="dxa"/>
        <w:tblLayout w:type="fixed"/>
        <w:tblCellMar>
          <w:top w:w="28" w:type="dxa"/>
          <w:left w:w="28" w:type="dxa"/>
          <w:bottom w:w="28" w:type="dxa"/>
          <w:right w:w="28" w:type="dxa"/>
        </w:tblCellMar>
      </w:tblPr>
      <w:tblGrid>
        <w:gridCol w:w="1576"/>
        <w:gridCol w:w="226"/>
        <w:gridCol w:w="721"/>
        <w:gridCol w:w="241"/>
        <w:gridCol w:w="146"/>
        <w:gridCol w:w="226"/>
        <w:gridCol w:w="646"/>
        <w:gridCol w:w="241"/>
        <w:gridCol w:w="146"/>
        <w:gridCol w:w="226"/>
        <w:gridCol w:w="646"/>
        <w:gridCol w:w="241"/>
        <w:gridCol w:w="146"/>
        <w:gridCol w:w="146"/>
        <w:gridCol w:w="646"/>
        <w:gridCol w:w="301"/>
        <w:gridCol w:w="146"/>
        <w:gridCol w:w="146"/>
        <w:gridCol w:w="646"/>
        <w:gridCol w:w="301"/>
        <w:gridCol w:w="146"/>
        <w:gridCol w:w="226"/>
        <w:gridCol w:w="826"/>
        <w:gridCol w:w="241"/>
        <w:gridCol w:w="146"/>
        <w:gridCol w:w="226"/>
        <w:gridCol w:w="826"/>
        <w:gridCol w:w="241"/>
        <w:gridCol w:w="146"/>
        <w:gridCol w:w="146"/>
        <w:gridCol w:w="1201"/>
        <w:gridCol w:w="346"/>
      </w:tblGrid>
      <w:tr>
        <w:trPr/>
        <w:tc>
          <w:tcPr>
            <w:tcW w:w="15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576" w:type="dxa"/>
            <w:tcBorders/>
            <w:vAlign w:val="center"/>
          </w:tcPr>
          <w:p>
            <w:pPr>
              <w:pStyle w:val="TableContents"/>
              <w:bidi w:val="0"/>
              <w:spacing w:before="0" w:after="283"/>
              <w:jc w:val="left"/>
              <w:rPr/>
            </w:pPr>
            <w:r>
              <w:rPr/>
              <w:t> </w:t>
            </w:r>
          </w:p>
        </w:tc>
        <w:tc>
          <w:tcPr>
            <w:tcW w:w="3706" w:type="dxa"/>
            <w:gridSpan w:val="11"/>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Quarter Ended</w:t>
            </w:r>
          </w:p>
        </w:tc>
        <w:tc>
          <w:tcPr>
            <w:tcW w:w="146" w:type="dxa"/>
            <w:tcBorders/>
            <w:vAlign w:val="center"/>
          </w:tcPr>
          <w:p>
            <w:pPr>
              <w:pStyle w:val="TableContents"/>
              <w:bidi w:val="0"/>
              <w:spacing w:before="0" w:after="283"/>
              <w:jc w:val="left"/>
              <w:rPr/>
            </w:pPr>
            <w:r>
              <w:rPr/>
              <w:t> </w:t>
            </w:r>
          </w:p>
        </w:tc>
        <w:tc>
          <w:tcPr>
            <w:tcW w:w="2332" w:type="dxa"/>
            <w:gridSpan w:val="7"/>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 Growth</w:t>
            </w:r>
          </w:p>
        </w:tc>
        <w:tc>
          <w:tcPr>
            <w:tcW w:w="146" w:type="dxa"/>
            <w:tcBorders/>
            <w:vAlign w:val="center"/>
          </w:tcPr>
          <w:p>
            <w:pPr>
              <w:pStyle w:val="TableContents"/>
              <w:bidi w:val="0"/>
              <w:spacing w:before="0" w:after="283"/>
              <w:jc w:val="left"/>
              <w:rPr/>
            </w:pPr>
            <w:r>
              <w:rPr/>
              <w:t> </w:t>
            </w:r>
          </w:p>
        </w:tc>
        <w:tc>
          <w:tcPr>
            <w:tcW w:w="2732" w:type="dxa"/>
            <w:gridSpan w:val="7"/>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Six Months Ended</w:t>
            </w:r>
          </w:p>
        </w:tc>
        <w:tc>
          <w:tcPr>
            <w:tcW w:w="146" w:type="dxa"/>
            <w:tcBorders/>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 Growth</w:t>
            </w:r>
          </w:p>
        </w:tc>
        <w:tc>
          <w:tcPr>
            <w:tcW w:w="3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57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center"/>
              <w:rPr>
                <w:b/>
              </w:rPr>
            </w:pPr>
            <w:r>
              <w:rPr>
                <w:b/>
              </w:rPr>
              <w:t>Jul. 5,</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center"/>
              <w:rPr>
                <w:b/>
              </w:rPr>
            </w:pPr>
            <w:r>
              <w:rPr>
                <w:b/>
              </w:rPr>
              <w:t>Apr. 5,</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center"/>
              <w:rPr>
                <w:b/>
              </w:rPr>
            </w:pPr>
            <w:r>
              <w:rPr>
                <w:b/>
              </w:rPr>
              <w:t>Jun. 29,</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center"/>
              <w:rPr>
                <w:b/>
              </w:rPr>
            </w:pPr>
            <w:r>
              <w:rPr>
                <w:b/>
              </w:rPr>
              <w:t>Prior</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center"/>
              <w:rPr>
                <w:b/>
              </w:rPr>
            </w:pPr>
            <w:r>
              <w:rPr>
                <w:b/>
              </w:rPr>
              <w:t>Prior</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center"/>
              <w:rPr>
                <w:b/>
              </w:rPr>
            </w:pPr>
            <w:r>
              <w:rPr>
                <w:b/>
              </w:rPr>
              <w:t>Jul. 5,</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center"/>
              <w:rPr>
                <w:b/>
              </w:rPr>
            </w:pPr>
            <w:r>
              <w:rPr>
                <w:b/>
              </w:rPr>
              <w:t>Jun. 29,</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01" w:type="dxa"/>
            <w:tcBorders/>
            <w:vAlign w:val="center"/>
          </w:tcPr>
          <w:p>
            <w:pPr>
              <w:pStyle w:val="TableContents"/>
              <w:bidi w:val="0"/>
              <w:spacing w:before="0" w:after="283"/>
              <w:jc w:val="center"/>
              <w:rPr>
                <w:b/>
              </w:rPr>
            </w:pPr>
            <w:r>
              <w:rPr>
                <w:b/>
              </w:rPr>
              <w:t>Prior</w:t>
            </w:r>
          </w:p>
        </w:tc>
        <w:tc>
          <w:tcPr>
            <w:tcW w:w="346" w:type="dxa"/>
            <w:tcBorders/>
            <w:vAlign w:val="center"/>
          </w:tcPr>
          <w:p>
            <w:pPr>
              <w:pStyle w:val="TableContents"/>
              <w:bidi w:val="0"/>
              <w:spacing w:before="0" w:after="283"/>
              <w:jc w:val="left"/>
              <w:rPr/>
            </w:pPr>
            <w:r>
              <w:rPr/>
              <w:t> </w:t>
            </w:r>
          </w:p>
        </w:tc>
      </w:tr>
      <w:tr>
        <w:trPr/>
        <w:tc>
          <w:tcPr>
            <w:tcW w:w="157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2026</w:t>
            </w:r>
          </w:p>
        </w:tc>
        <w:tc>
          <w:tcPr>
            <w:tcW w:w="24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2026</w:t>
            </w:r>
          </w:p>
        </w:tc>
        <w:tc>
          <w:tcPr>
            <w:tcW w:w="24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2025</w:t>
            </w:r>
          </w:p>
        </w:tc>
        <w:tc>
          <w:tcPr>
            <w:tcW w:w="24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Qtr.</w:t>
            </w:r>
          </w:p>
        </w:tc>
        <w:tc>
          <w:tcPr>
            <w:tcW w:w="30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Year</w:t>
            </w:r>
          </w:p>
        </w:tc>
        <w:tc>
          <w:tcPr>
            <w:tcW w:w="30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2026</w:t>
            </w:r>
          </w:p>
        </w:tc>
        <w:tc>
          <w:tcPr>
            <w:tcW w:w="24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2025</w:t>
            </w:r>
          </w:p>
        </w:tc>
        <w:tc>
          <w:tcPr>
            <w:tcW w:w="24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Year</w:t>
            </w:r>
          </w:p>
        </w:tc>
        <w:tc>
          <w:tcPr>
            <w:tcW w:w="3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57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0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r>
      <w:tr>
        <w:trPr/>
        <w:tc>
          <w:tcPr>
            <w:tcW w:w="157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0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r>
      <w:tr>
        <w:trPr/>
        <w:tc>
          <w:tcPr>
            <w:tcW w:w="1576" w:type="dxa"/>
            <w:tcBorders/>
            <w:shd w:fill="CCEEFF" w:val="clear"/>
            <w:vAlign w:val="center"/>
          </w:tcPr>
          <w:p>
            <w:pPr>
              <w:pStyle w:val="TableContents"/>
              <w:bidi w:val="0"/>
              <w:spacing w:before="0" w:after="283"/>
              <w:jc w:val="left"/>
              <w:rPr/>
            </w:pPr>
            <w:r>
              <w:rPr/>
              <w:t>Net sales</w:t>
            </w:r>
          </w:p>
        </w:tc>
        <w:tc>
          <w:tcPr>
            <w:tcW w:w="226" w:type="dxa"/>
            <w:tcBorders/>
            <w:shd w:fill="CCEEFF" w:val="clear"/>
            <w:vAlign w:val="center"/>
          </w:tcPr>
          <w:p>
            <w:pPr>
              <w:pStyle w:val="TableContents"/>
              <w:bidi w:val="0"/>
              <w:spacing w:before="0" w:after="283"/>
              <w:jc w:val="left"/>
              <w:rPr/>
            </w:pPr>
            <w:r>
              <w:rPr/>
              <w:t>$</w:t>
            </w:r>
          </w:p>
        </w:tc>
        <w:tc>
          <w:tcPr>
            <w:tcW w:w="721" w:type="dxa"/>
            <w:tcBorders/>
            <w:shd w:fill="CCEEFF" w:val="clear"/>
            <w:vAlign w:val="center"/>
          </w:tcPr>
          <w:p>
            <w:pPr>
              <w:pStyle w:val="TableContents"/>
              <w:bidi w:val="0"/>
              <w:spacing w:before="0" w:after="283"/>
              <w:jc w:val="right"/>
              <w:rPr/>
            </w:pPr>
            <w:r>
              <w:rPr/>
              <w:t>548.4</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646" w:type="dxa"/>
            <w:tcBorders/>
            <w:shd w:fill="CCEEFF" w:val="clear"/>
            <w:vAlign w:val="center"/>
          </w:tcPr>
          <w:p>
            <w:pPr>
              <w:pStyle w:val="TableContents"/>
              <w:bidi w:val="0"/>
              <w:spacing w:before="0" w:after="283"/>
              <w:jc w:val="right"/>
              <w:rPr/>
            </w:pPr>
            <w:r>
              <w:rPr/>
              <w:t>546.9</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646" w:type="dxa"/>
            <w:tcBorders/>
            <w:shd w:fill="CCEEFF" w:val="clear"/>
            <w:vAlign w:val="center"/>
          </w:tcPr>
          <w:p>
            <w:pPr>
              <w:pStyle w:val="TableContents"/>
              <w:bidi w:val="0"/>
              <w:spacing w:before="0" w:after="283"/>
              <w:jc w:val="right"/>
              <w:rPr/>
            </w:pPr>
            <w:r>
              <w:rPr/>
              <w:t>528.9</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0</w:t>
            </w:r>
          </w:p>
        </w:tc>
        <w:tc>
          <w:tcPr>
            <w:tcW w:w="301" w:type="dxa"/>
            <w:tcBorders/>
            <w:shd w:fill="CCEEFF" w:val="clear"/>
            <w:vAlign w:val="center"/>
          </w:tcPr>
          <w:p>
            <w:pPr>
              <w:pStyle w:val="TableContents"/>
              <w:bidi w:val="0"/>
              <w:spacing w:before="0" w:after="283"/>
              <w:jc w:val="left"/>
              <w:rPr/>
            </w:pPr>
            <w:r>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4</w:t>
            </w:r>
          </w:p>
        </w:tc>
        <w:tc>
          <w:tcPr>
            <w:tcW w:w="301" w:type="dxa"/>
            <w:tcBorders/>
            <w:shd w:fill="CCEEFF" w:val="clear"/>
            <w:vAlign w:val="center"/>
          </w:tcPr>
          <w:p>
            <w:pPr>
              <w:pStyle w:val="TableContents"/>
              <w:bidi w:val="0"/>
              <w:spacing w:before="0" w:after="283"/>
              <w:jc w:val="left"/>
              <w:rPr/>
            </w:pPr>
            <w:r>
              <w:rPr/>
              <w:t>%</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826" w:type="dxa"/>
            <w:tcBorders/>
            <w:shd w:fill="CCEEFF" w:val="clear"/>
            <w:vAlign w:val="center"/>
          </w:tcPr>
          <w:p>
            <w:pPr>
              <w:pStyle w:val="TableContents"/>
              <w:bidi w:val="0"/>
              <w:spacing w:before="0" w:after="283"/>
              <w:jc w:val="right"/>
              <w:rPr/>
            </w:pPr>
            <w:r>
              <w:rPr/>
              <w:t>1,095.3</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826" w:type="dxa"/>
            <w:tcBorders/>
            <w:shd w:fill="CCEEFF" w:val="clear"/>
            <w:vAlign w:val="center"/>
          </w:tcPr>
          <w:p>
            <w:pPr>
              <w:pStyle w:val="TableContents"/>
              <w:bidi w:val="0"/>
              <w:spacing w:before="0" w:after="283"/>
              <w:jc w:val="right"/>
              <w:rPr/>
            </w:pPr>
            <w:r>
              <w:rPr/>
              <w:t>1,020.7</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7</w:t>
            </w:r>
          </w:p>
        </w:tc>
        <w:tc>
          <w:tcPr>
            <w:tcW w:w="346" w:type="dxa"/>
            <w:tcBorders/>
            <w:shd w:fill="CCEEFF" w:val="clear"/>
            <w:vAlign w:val="center"/>
          </w:tcPr>
          <w:p>
            <w:pPr>
              <w:pStyle w:val="TableContents"/>
              <w:bidi w:val="0"/>
              <w:spacing w:before="0" w:after="283"/>
              <w:jc w:val="left"/>
              <w:rPr/>
            </w:pPr>
            <w:r>
              <w:rPr/>
              <w:t>%</w:t>
            </w:r>
          </w:p>
        </w:tc>
      </w:tr>
      <w:tr>
        <w:trPr/>
        <w:tc>
          <w:tcPr>
            <w:tcW w:w="157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0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r>
      <w:tr>
        <w:trPr/>
        <w:tc>
          <w:tcPr>
            <w:tcW w:w="1576" w:type="dxa"/>
            <w:tcBorders/>
            <w:shd w:fill="CCEEFF" w:val="clear"/>
            <w:vAlign w:val="center"/>
          </w:tcPr>
          <w:p>
            <w:pPr>
              <w:pStyle w:val="TableContents"/>
              <w:bidi w:val="0"/>
              <w:spacing w:before="0" w:after="283"/>
              <w:jc w:val="left"/>
              <w:rPr/>
            </w:pPr>
            <w:r>
              <w:rPr/>
              <w:t>Cost of goods sold</w:t>
            </w:r>
          </w:p>
        </w:tc>
        <w:tc>
          <w:tcPr>
            <w:tcW w:w="22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right"/>
              <w:rPr/>
            </w:pPr>
            <w:r>
              <w:rPr/>
              <w:t>414.6</w:t>
            </w:r>
          </w:p>
        </w:tc>
        <w:tc>
          <w:tcPr>
            <w:tcW w:w="241"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right"/>
              <w:rPr/>
            </w:pPr>
            <w:r>
              <w:rPr/>
              <w:t>415.8</w:t>
            </w:r>
          </w:p>
        </w:tc>
        <w:tc>
          <w:tcPr>
            <w:tcW w:w="241"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right"/>
              <w:rPr/>
            </w:pPr>
            <w:r>
              <w:rPr/>
              <w:t>392.0</w:t>
            </w:r>
          </w:p>
        </w:tc>
        <w:tc>
          <w:tcPr>
            <w:tcW w:w="241"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right"/>
              <w:rPr/>
            </w:pPr>
            <w:r>
              <w:rPr/>
              <w:t>0</w:t>
            </w:r>
          </w:p>
        </w:tc>
        <w:tc>
          <w:tcPr>
            <w:tcW w:w="301"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right"/>
              <w:rPr/>
            </w:pPr>
            <w:r>
              <w:rPr/>
              <w:t>6</w:t>
            </w:r>
          </w:p>
        </w:tc>
        <w:tc>
          <w:tcPr>
            <w:tcW w:w="301"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right"/>
              <w:rPr/>
            </w:pPr>
            <w:r>
              <w:rPr/>
              <w:t>830.4</w:t>
            </w:r>
          </w:p>
        </w:tc>
        <w:tc>
          <w:tcPr>
            <w:tcW w:w="241"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right"/>
              <w:rPr/>
            </w:pPr>
            <w:r>
              <w:rPr/>
              <w:t>764.2</w:t>
            </w:r>
          </w:p>
        </w:tc>
        <w:tc>
          <w:tcPr>
            <w:tcW w:w="241"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right"/>
              <w:rPr/>
            </w:pPr>
            <w:r>
              <w:rPr/>
              <w:t>9</w:t>
            </w:r>
          </w:p>
        </w:tc>
        <w:tc>
          <w:tcPr>
            <w:tcW w:w="34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r>
      <w:tr>
        <w:trPr/>
        <w:tc>
          <w:tcPr>
            <w:tcW w:w="157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0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r>
      <w:tr>
        <w:trPr/>
        <w:tc>
          <w:tcPr>
            <w:tcW w:w="1576" w:type="dxa"/>
            <w:tcBorders/>
            <w:shd w:fill="CCEEFF" w:val="clear"/>
            <w:tcMar>
              <w:top w:w="0" w:type="dxa"/>
              <w:left w:w="0" w:type="dxa"/>
              <w:bottom w:w="0" w:type="dxa"/>
              <w:right w:w="0" w:type="dxa"/>
            </w:tcMar>
            <w:vAlign w:val="center"/>
          </w:tcPr>
          <w:p>
            <w:pPr>
              <w:pStyle w:val="TableContents"/>
              <w:bidi w:val="0"/>
              <w:spacing w:before="0" w:after="283"/>
              <w:jc w:val="left"/>
              <w:rPr/>
            </w:pPr>
            <w:r>
              <w:rPr/>
              <w:t>Production margin</w:t>
            </w:r>
          </w:p>
        </w:tc>
        <w:tc>
          <w:tcPr>
            <w:tcW w:w="22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133.8</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131.1</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136.9</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2</w:t>
            </w:r>
          </w:p>
        </w:tc>
        <w:tc>
          <w:tcPr>
            <w:tcW w:w="301" w:type="dxa"/>
            <w:tcBorders/>
            <w:shd w:fill="CCEEFF" w:val="clear"/>
            <w:vAlign w:val="center"/>
          </w:tcPr>
          <w:p>
            <w:pPr>
              <w:pStyle w:val="TableContents"/>
              <w:bidi w:val="0"/>
              <w:spacing w:before="0" w:after="283"/>
              <w:jc w:val="left"/>
              <w:rPr/>
            </w:pPr>
            <w:r>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(2</w:t>
            </w:r>
          </w:p>
        </w:tc>
        <w:tc>
          <w:tcPr>
            <w:tcW w:w="301" w:type="dxa"/>
            <w:tcBorders/>
            <w:shd w:fill="CCEEFF" w:val="clear"/>
            <w:vAlign w:val="center"/>
          </w:tcPr>
          <w:p>
            <w:pPr>
              <w:pStyle w:val="TableContents"/>
              <w:bidi w:val="0"/>
              <w:spacing w:before="0" w:after="283"/>
              <w:jc w:val="left"/>
              <w:rPr/>
            </w:pPr>
            <w:r>
              <w:rPr/>
              <w:t>)%</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264.9</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256.5</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3</w:t>
            </w:r>
          </w:p>
        </w:tc>
        <w:tc>
          <w:tcPr>
            <w:tcW w:w="346" w:type="dxa"/>
            <w:tcBorders/>
            <w:shd w:fill="CCEEFF" w:val="clear"/>
            <w:vAlign w:val="center"/>
          </w:tcPr>
          <w:p>
            <w:pPr>
              <w:pStyle w:val="TableContents"/>
              <w:bidi w:val="0"/>
              <w:spacing w:before="0" w:after="283"/>
              <w:jc w:val="left"/>
              <w:rPr/>
            </w:pPr>
            <w:r>
              <w:rPr/>
              <w:t>%</w:t>
            </w:r>
          </w:p>
        </w:tc>
      </w:tr>
      <w:tr>
        <w:trPr/>
        <w:tc>
          <w:tcPr>
            <w:tcW w:w="157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0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r>
      <w:tr>
        <w:trPr/>
        <w:tc>
          <w:tcPr>
            <w:tcW w:w="1576" w:type="dxa"/>
            <w:tcBorders/>
            <w:shd w:fill="CCEEFF" w:val="clear"/>
            <w:vAlign w:val="center"/>
          </w:tcPr>
          <w:p>
            <w:pPr>
              <w:pStyle w:val="TableContents"/>
              <w:bidi w:val="0"/>
              <w:spacing w:before="0" w:after="283"/>
              <w:jc w:val="left"/>
              <w:rPr/>
            </w:pPr>
            <w:r>
              <w:rPr/>
              <w:t>Marketing and administrative expenses</w:t>
            </w:r>
          </w:p>
        </w:tc>
        <w:tc>
          <w:tcPr>
            <w:tcW w:w="22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53.3</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57.5</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52.2</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(7</w:t>
            </w:r>
          </w:p>
        </w:tc>
        <w:tc>
          <w:tcPr>
            <w:tcW w:w="301" w:type="dxa"/>
            <w:tcBorders/>
            <w:shd w:fill="CCEEFF" w:val="clear"/>
            <w:vAlign w:val="center"/>
          </w:tcPr>
          <w:p>
            <w:pPr>
              <w:pStyle w:val="TableContents"/>
              <w:bidi w:val="0"/>
              <w:spacing w:before="0" w:after="283"/>
              <w:jc w:val="left"/>
              <w:rPr/>
            </w:pPr>
            <w:r>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2</w:t>
            </w:r>
          </w:p>
        </w:tc>
        <w:tc>
          <w:tcPr>
            <w:tcW w:w="301" w:type="dxa"/>
            <w:tcBorders/>
            <w:shd w:fill="CCEEFF" w:val="clear"/>
            <w:vAlign w:val="center"/>
          </w:tcPr>
          <w:p>
            <w:pPr>
              <w:pStyle w:val="TableContents"/>
              <w:bidi w:val="0"/>
              <w:spacing w:before="0" w:after="283"/>
              <w:jc w:val="left"/>
              <w:rPr/>
            </w:pPr>
            <w:r>
              <w:rPr/>
              <w:t>%</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110.8</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102.8</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8</w:t>
            </w:r>
          </w:p>
        </w:tc>
        <w:tc>
          <w:tcPr>
            <w:tcW w:w="346" w:type="dxa"/>
            <w:tcBorders/>
            <w:shd w:fill="CCEEFF" w:val="clear"/>
            <w:vAlign w:val="center"/>
          </w:tcPr>
          <w:p>
            <w:pPr>
              <w:pStyle w:val="TableContents"/>
              <w:bidi w:val="0"/>
              <w:spacing w:before="0" w:after="283"/>
              <w:jc w:val="left"/>
              <w:rPr/>
            </w:pPr>
            <w:r>
              <w:rPr/>
              <w:t>%</w:t>
            </w:r>
          </w:p>
        </w:tc>
      </w:tr>
      <w:tr>
        <w:trPr/>
        <w:tc>
          <w:tcPr>
            <w:tcW w:w="1576" w:type="dxa"/>
            <w:tcBorders/>
            <w:vAlign w:val="center"/>
          </w:tcPr>
          <w:p>
            <w:pPr>
              <w:pStyle w:val="TableContents"/>
              <w:bidi w:val="0"/>
              <w:spacing w:before="0" w:after="283"/>
              <w:jc w:val="left"/>
              <w:rPr/>
            </w:pPr>
            <w:r>
              <w:rPr/>
              <w:t>Research and development expenses</w:t>
            </w:r>
          </w:p>
        </w:tc>
        <w:tc>
          <w:tcPr>
            <w:tcW w:w="22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right"/>
              <w:rPr/>
            </w:pPr>
            <w:r>
              <w:rPr/>
              <w:t>5.9</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6.1</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5.7</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(3</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4</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12.0</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11.5</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01" w:type="dxa"/>
            <w:tcBorders/>
            <w:vAlign w:val="center"/>
          </w:tcPr>
          <w:p>
            <w:pPr>
              <w:pStyle w:val="TableContents"/>
              <w:bidi w:val="0"/>
              <w:spacing w:before="0" w:after="283"/>
              <w:jc w:val="right"/>
              <w:rPr/>
            </w:pPr>
            <w:r>
              <w:rPr/>
              <w:t>4</w:t>
            </w:r>
          </w:p>
        </w:tc>
        <w:tc>
          <w:tcPr>
            <w:tcW w:w="346" w:type="dxa"/>
            <w:tcBorders/>
            <w:vAlign w:val="center"/>
          </w:tcPr>
          <w:p>
            <w:pPr>
              <w:pStyle w:val="TableContents"/>
              <w:bidi w:val="0"/>
              <w:spacing w:before="0" w:after="283"/>
              <w:ind w:left="0" w:right="0" w:hanging="150"/>
              <w:jc w:val="left"/>
              <w:rPr/>
            </w:pPr>
            <w:r>
              <w:rPr/>
              <w:t>%</w:t>
            </w:r>
          </w:p>
        </w:tc>
      </w:tr>
      <w:tr>
        <w:trPr/>
        <w:tc>
          <w:tcPr>
            <w:tcW w:w="1576" w:type="dxa"/>
            <w:tcBorders/>
            <w:shd w:fill="CCEEFF" w:val="clear"/>
            <w:tcMar>
              <w:top w:w="0" w:type="dxa"/>
              <w:left w:w="0" w:type="dxa"/>
              <w:bottom w:w="0" w:type="dxa"/>
              <w:right w:w="0" w:type="dxa"/>
            </w:tcMar>
            <w:vAlign w:val="center"/>
          </w:tcPr>
          <w:p>
            <w:pPr>
              <w:pStyle w:val="TableContents"/>
              <w:bidi w:val="0"/>
              <w:spacing w:before="0" w:after="283"/>
              <w:jc w:val="left"/>
              <w:rPr/>
            </w:pPr>
            <w:r>
              <w:rPr/>
              <w:t>Provision for litigation accrual and credit losses</w:t>
            </w:r>
          </w:p>
        </w:tc>
        <w:tc>
          <w:tcPr>
            <w:tcW w:w="22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290.0</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0.0</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0.0</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290.0</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215.0</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w:t>
            </w:r>
          </w:p>
        </w:tc>
        <w:tc>
          <w:tcPr>
            <w:tcW w:w="346" w:type="dxa"/>
            <w:tcBorders/>
            <w:shd w:fill="CCEEFF" w:val="clear"/>
            <w:vAlign w:val="center"/>
          </w:tcPr>
          <w:p>
            <w:pPr>
              <w:pStyle w:val="TableContents"/>
              <w:bidi w:val="0"/>
              <w:spacing w:before="0" w:after="283"/>
              <w:jc w:val="left"/>
              <w:rPr/>
            </w:pPr>
            <w:r>
              <w:rPr/>
              <w:t> </w:t>
            </w:r>
          </w:p>
        </w:tc>
      </w:tr>
      <w:tr>
        <w:trPr/>
        <w:tc>
          <w:tcPr>
            <w:tcW w:w="1576" w:type="dxa"/>
            <w:tcBorders/>
            <w:vAlign w:val="center"/>
          </w:tcPr>
          <w:p>
            <w:pPr>
              <w:pStyle w:val="TableContents"/>
              <w:bidi w:val="0"/>
              <w:spacing w:before="0" w:after="283"/>
              <w:jc w:val="left"/>
              <w:rPr/>
            </w:pPr>
            <w:r>
              <w:rPr/>
              <w:t>Restructuring and other items</w:t>
            </w:r>
          </w:p>
        </w:tc>
        <w:tc>
          <w:tcPr>
            <w:tcW w:w="22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right"/>
              <w:rPr/>
            </w:pPr>
            <w:r>
              <w:rPr/>
              <w:t>0.0</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0.0</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5.8</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0.0</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11.3</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01" w:type="dxa"/>
            <w:tcBorders/>
            <w:vAlign w:val="center"/>
          </w:tcPr>
          <w:p>
            <w:pPr>
              <w:pStyle w:val="TableContents"/>
              <w:bidi w:val="0"/>
              <w:spacing w:before="0" w:after="283"/>
              <w:jc w:val="right"/>
              <w:rPr/>
            </w:pPr>
            <w:r>
              <w:rPr/>
              <w:t>*</w:t>
            </w:r>
          </w:p>
        </w:tc>
        <w:tc>
          <w:tcPr>
            <w:tcW w:w="346" w:type="dxa"/>
            <w:tcBorders/>
            <w:vAlign w:val="center"/>
          </w:tcPr>
          <w:p>
            <w:pPr>
              <w:pStyle w:val="TableContents"/>
              <w:bidi w:val="0"/>
              <w:spacing w:before="0" w:after="283"/>
              <w:jc w:val="left"/>
              <w:rPr/>
            </w:pPr>
            <w:r>
              <w:rPr/>
              <w:t> </w:t>
            </w:r>
          </w:p>
        </w:tc>
      </w:tr>
      <w:tr>
        <w:trPr/>
        <w:tc>
          <w:tcPr>
            <w:tcW w:w="1576" w:type="dxa"/>
            <w:tcBorders/>
            <w:shd w:fill="CCEEFF" w:val="clear"/>
            <w:vAlign w:val="center"/>
          </w:tcPr>
          <w:p>
            <w:pPr>
              <w:pStyle w:val="TableContents"/>
              <w:bidi w:val="0"/>
              <w:spacing w:before="0" w:after="283"/>
              <w:jc w:val="left"/>
              <w:rPr/>
            </w:pPr>
            <w:r>
              <w:rPr/>
              <w:t>Gain on sale of assets, net</w:t>
            </w:r>
          </w:p>
        </w:tc>
        <w:tc>
          <w:tcPr>
            <w:tcW w:w="22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0.0</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0.0</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(5.6</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0.0</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(5.6</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w:t>
            </w:r>
          </w:p>
        </w:tc>
        <w:tc>
          <w:tcPr>
            <w:tcW w:w="346" w:type="dxa"/>
            <w:tcBorders/>
            <w:shd w:fill="CCEEFF" w:val="clear"/>
            <w:vAlign w:val="center"/>
          </w:tcPr>
          <w:p>
            <w:pPr>
              <w:pStyle w:val="TableContents"/>
              <w:bidi w:val="0"/>
              <w:spacing w:before="0" w:after="283"/>
              <w:jc w:val="left"/>
              <w:rPr/>
            </w:pPr>
            <w:r>
              <w:rPr/>
              <w:t> </w:t>
            </w:r>
          </w:p>
        </w:tc>
      </w:tr>
      <w:tr>
        <w:trPr/>
        <w:tc>
          <w:tcPr>
            <w:tcW w:w="1576" w:type="dxa"/>
            <w:tcBorders/>
            <w:vAlign w:val="center"/>
          </w:tcPr>
          <w:p>
            <w:pPr>
              <w:pStyle w:val="TableContents"/>
              <w:bidi w:val="0"/>
              <w:spacing w:before="0" w:after="283"/>
              <w:jc w:val="left"/>
              <w:rPr/>
            </w:pPr>
            <w:r>
              <w:rPr/>
              <w:t>Litigation expenses</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4.9</w:t>
            </w:r>
          </w:p>
        </w:tc>
        <w:tc>
          <w:tcPr>
            <w:tcW w:w="24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8.8</w:t>
            </w:r>
          </w:p>
        </w:tc>
        <w:tc>
          <w:tcPr>
            <w:tcW w:w="24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4.2</w:t>
            </w:r>
          </w:p>
        </w:tc>
        <w:tc>
          <w:tcPr>
            <w:tcW w:w="24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(44</w:t>
            </w:r>
          </w:p>
        </w:tc>
        <w:tc>
          <w:tcPr>
            <w:tcW w:w="30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17</w:t>
            </w:r>
          </w:p>
        </w:tc>
        <w:tc>
          <w:tcPr>
            <w:tcW w:w="30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13.7</w:t>
            </w:r>
          </w:p>
        </w:tc>
        <w:tc>
          <w:tcPr>
            <w:tcW w:w="24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7.0</w:t>
            </w:r>
          </w:p>
        </w:tc>
        <w:tc>
          <w:tcPr>
            <w:tcW w:w="24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96</w:t>
            </w:r>
          </w:p>
        </w:tc>
        <w:tc>
          <w:tcPr>
            <w:tcW w:w="3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157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r>
      <w:tr>
        <w:trPr/>
        <w:tc>
          <w:tcPr>
            <w:tcW w:w="1576" w:type="dxa"/>
            <w:tcBorders/>
            <w:tcMar>
              <w:top w:w="0" w:type="dxa"/>
              <w:left w:w="0" w:type="dxa"/>
              <w:bottom w:w="0" w:type="dxa"/>
              <w:right w:w="0" w:type="dxa"/>
            </w:tcMar>
            <w:vAlign w:val="center"/>
          </w:tcPr>
          <w:p>
            <w:pPr>
              <w:pStyle w:val="TableContents"/>
              <w:bidi w:val="0"/>
              <w:spacing w:before="0" w:after="283"/>
              <w:jc w:val="left"/>
              <w:rPr/>
            </w:pPr>
            <w:r>
              <w:rPr/>
              <w:t>Income (loss) from operations</w:t>
            </w:r>
          </w:p>
        </w:tc>
        <w:tc>
          <w:tcPr>
            <w:tcW w:w="22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right"/>
              <w:rPr/>
            </w:pPr>
            <w:r>
              <w:rPr/>
              <w:t>(220.3</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58.7</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74.6</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(161.6</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(85.5</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01" w:type="dxa"/>
            <w:tcBorders/>
            <w:vAlign w:val="center"/>
          </w:tcPr>
          <w:p>
            <w:pPr>
              <w:pStyle w:val="TableContents"/>
              <w:bidi w:val="0"/>
              <w:spacing w:before="0" w:after="283"/>
              <w:jc w:val="right"/>
              <w:rPr/>
            </w:pPr>
            <w:r>
              <w:rPr/>
              <w:t>*</w:t>
            </w:r>
          </w:p>
        </w:tc>
        <w:tc>
          <w:tcPr>
            <w:tcW w:w="346" w:type="dxa"/>
            <w:tcBorders/>
            <w:vAlign w:val="center"/>
          </w:tcPr>
          <w:p>
            <w:pPr>
              <w:pStyle w:val="TableContents"/>
              <w:bidi w:val="0"/>
              <w:spacing w:before="0" w:after="283"/>
              <w:jc w:val="left"/>
              <w:rPr/>
            </w:pPr>
            <w:r>
              <w:rPr/>
              <w:t> </w:t>
            </w:r>
          </w:p>
        </w:tc>
      </w:tr>
      <w:tr>
        <w:trPr/>
        <w:tc>
          <w:tcPr>
            <w:tcW w:w="157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r>
      <w:tr>
        <w:trPr/>
        <w:tc>
          <w:tcPr>
            <w:tcW w:w="1576" w:type="dxa"/>
            <w:tcBorders/>
            <w:vAlign w:val="center"/>
          </w:tcPr>
          <w:p>
            <w:pPr>
              <w:pStyle w:val="TableContents"/>
              <w:bidi w:val="0"/>
              <w:spacing w:before="0" w:after="283"/>
              <w:jc w:val="left"/>
              <w:rPr/>
            </w:pPr>
            <w:r>
              <w:rPr/>
              <w:t>Interest expense, net</w:t>
            </w:r>
          </w:p>
        </w:tc>
        <w:tc>
          <w:tcPr>
            <w:tcW w:w="22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right"/>
              <w:rPr/>
            </w:pPr>
            <w:r>
              <w:rPr/>
              <w:t>(12.1</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(13.3</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(13.6</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(9</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(11</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(25.4</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(27.8</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01" w:type="dxa"/>
            <w:tcBorders/>
            <w:vAlign w:val="center"/>
          </w:tcPr>
          <w:p>
            <w:pPr>
              <w:pStyle w:val="TableContents"/>
              <w:bidi w:val="0"/>
              <w:spacing w:before="0" w:after="283"/>
              <w:jc w:val="right"/>
              <w:rPr/>
            </w:pPr>
            <w:r>
              <w:rPr/>
              <w:t>(9</w:t>
            </w:r>
          </w:p>
        </w:tc>
        <w:tc>
          <w:tcPr>
            <w:tcW w:w="346" w:type="dxa"/>
            <w:tcBorders/>
            <w:vAlign w:val="center"/>
          </w:tcPr>
          <w:p>
            <w:pPr>
              <w:pStyle w:val="TableContents"/>
              <w:bidi w:val="0"/>
              <w:spacing w:before="0" w:after="283"/>
              <w:jc w:val="left"/>
              <w:rPr/>
            </w:pPr>
            <w:r>
              <w:rPr/>
              <w:t>)%</w:t>
            </w:r>
          </w:p>
        </w:tc>
      </w:tr>
      <w:tr>
        <w:trPr/>
        <w:tc>
          <w:tcPr>
            <w:tcW w:w="1576" w:type="dxa"/>
            <w:tcBorders/>
            <w:shd w:fill="CCEEFF" w:val="clear"/>
            <w:vAlign w:val="center"/>
          </w:tcPr>
          <w:p>
            <w:pPr>
              <w:pStyle w:val="TableContents"/>
              <w:bidi w:val="0"/>
              <w:spacing w:before="0" w:after="283"/>
              <w:jc w:val="left"/>
              <w:rPr/>
            </w:pPr>
            <w:r>
              <w:rPr/>
              <w:t>Other non-operating income (deductions), net</w:t>
            </w:r>
          </w:p>
        </w:tc>
        <w:tc>
          <w:tcPr>
            <w:tcW w:w="22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right"/>
              <w:rPr/>
            </w:pPr>
            <w:r>
              <w:rPr/>
              <w:t>1.1</w:t>
            </w:r>
          </w:p>
        </w:tc>
        <w:tc>
          <w:tcPr>
            <w:tcW w:w="241"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right"/>
              <w:rPr/>
            </w:pPr>
            <w:r>
              <w:rPr/>
              <w:t>0.5</w:t>
            </w:r>
          </w:p>
        </w:tc>
        <w:tc>
          <w:tcPr>
            <w:tcW w:w="241"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right"/>
              <w:rPr/>
            </w:pPr>
            <w:r>
              <w:rPr/>
              <w:t>(1.9</w:t>
            </w:r>
          </w:p>
        </w:tc>
        <w:tc>
          <w:tcPr>
            <w:tcW w:w="241"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right"/>
              <w:rPr/>
            </w:pPr>
            <w:r>
              <w:rPr/>
              <w:t>120</w:t>
            </w:r>
          </w:p>
        </w:tc>
        <w:tc>
          <w:tcPr>
            <w:tcW w:w="301"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right"/>
              <w:rPr/>
            </w:pPr>
            <w:r>
              <w:rPr/>
              <w:t>*</w:t>
            </w:r>
          </w:p>
        </w:tc>
        <w:tc>
          <w:tcPr>
            <w:tcW w:w="301"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right"/>
              <w:rPr/>
            </w:pPr>
            <w:r>
              <w:rPr/>
              <w:t>1.6</w:t>
            </w:r>
          </w:p>
        </w:tc>
        <w:tc>
          <w:tcPr>
            <w:tcW w:w="241"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right"/>
              <w:rPr/>
            </w:pPr>
            <w:r>
              <w:rPr/>
              <w:t>(3.9</w:t>
            </w:r>
          </w:p>
        </w:tc>
        <w:tc>
          <w:tcPr>
            <w:tcW w:w="241"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right"/>
              <w:rPr/>
            </w:pPr>
            <w:r>
              <w:rPr/>
              <w:t>*</w:t>
            </w:r>
          </w:p>
        </w:tc>
        <w:tc>
          <w:tcPr>
            <w:tcW w:w="34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1576" w:type="dxa"/>
            <w:tcBorders/>
            <w:tcMar>
              <w:top w:w="0" w:type="dxa"/>
              <w:left w:w="0" w:type="dxa"/>
              <w:bottom w:w="0" w:type="dxa"/>
              <w:right w:w="0" w:type="dxa"/>
            </w:tcMar>
            <w:vAlign w:val="center"/>
          </w:tcPr>
          <w:p>
            <w:pPr>
              <w:pStyle w:val="TableContents"/>
              <w:bidi w:val="0"/>
              <w:spacing w:before="0" w:after="283"/>
              <w:jc w:val="left"/>
              <w:rPr/>
            </w:pPr>
            <w:r>
              <w:rPr/>
              <w:t>Total non-operating deductions, net</w:t>
            </w:r>
          </w:p>
        </w:tc>
        <w:tc>
          <w:tcPr>
            <w:tcW w:w="22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right"/>
              <w:rPr/>
            </w:pPr>
            <w:r>
              <w:rPr/>
              <w:t>(11.0</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(12.8</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(15.5</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(14</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(29</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(23.8</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(31.7</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01" w:type="dxa"/>
            <w:tcBorders/>
            <w:vAlign w:val="center"/>
          </w:tcPr>
          <w:p>
            <w:pPr>
              <w:pStyle w:val="TableContents"/>
              <w:bidi w:val="0"/>
              <w:spacing w:before="0" w:after="283"/>
              <w:jc w:val="right"/>
              <w:rPr/>
            </w:pPr>
            <w:r>
              <w:rPr/>
              <w:t>(25</w:t>
            </w:r>
          </w:p>
        </w:tc>
        <w:tc>
          <w:tcPr>
            <w:tcW w:w="346" w:type="dxa"/>
            <w:tcBorders/>
            <w:vAlign w:val="center"/>
          </w:tcPr>
          <w:p>
            <w:pPr>
              <w:pStyle w:val="TableContents"/>
              <w:bidi w:val="0"/>
              <w:spacing w:before="0" w:after="283"/>
              <w:jc w:val="left"/>
              <w:rPr/>
            </w:pPr>
            <w:r>
              <w:rPr/>
              <w:t>)%</w:t>
            </w:r>
          </w:p>
        </w:tc>
      </w:tr>
      <w:tr>
        <w:trPr/>
        <w:tc>
          <w:tcPr>
            <w:tcW w:w="157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ind w:left="0" w:right="0" w:hanging="150"/>
              <w:jc w:val="left"/>
              <w:rPr/>
            </w:pPr>
            <w:r>
              <w:rPr/>
              <w:t> </w:t>
            </w:r>
          </w:p>
        </w:tc>
      </w:tr>
      <w:tr>
        <w:trPr/>
        <w:tc>
          <w:tcPr>
            <w:tcW w:w="1576" w:type="dxa"/>
            <w:tcBorders/>
            <w:tcMar>
              <w:top w:w="0" w:type="dxa"/>
              <w:left w:w="0" w:type="dxa"/>
              <w:bottom w:w="0" w:type="dxa"/>
              <w:right w:w="0" w:type="dxa"/>
            </w:tcMar>
            <w:vAlign w:val="center"/>
          </w:tcPr>
          <w:p>
            <w:pPr>
              <w:pStyle w:val="TableContents"/>
              <w:bidi w:val="0"/>
              <w:spacing w:before="0" w:after="283"/>
              <w:jc w:val="left"/>
              <w:rPr/>
            </w:pPr>
            <w:r>
              <w:rPr/>
              <w:t>Income (loss) before tax and equity in earnings</w:t>
            </w:r>
          </w:p>
        </w:tc>
        <w:tc>
          <w:tcPr>
            <w:tcW w:w="22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right"/>
              <w:rPr/>
            </w:pPr>
            <w:r>
              <w:rPr/>
              <w:t>(231.3</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45.9</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59.1</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(185.4</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(117.2</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01" w:type="dxa"/>
            <w:tcBorders/>
            <w:vAlign w:val="center"/>
          </w:tcPr>
          <w:p>
            <w:pPr>
              <w:pStyle w:val="TableContents"/>
              <w:bidi w:val="0"/>
              <w:spacing w:before="0" w:after="283"/>
              <w:jc w:val="right"/>
              <w:rPr/>
            </w:pPr>
            <w:r>
              <w:rPr/>
              <w:t>*</w:t>
            </w:r>
          </w:p>
        </w:tc>
        <w:tc>
          <w:tcPr>
            <w:tcW w:w="346" w:type="dxa"/>
            <w:tcBorders/>
            <w:vAlign w:val="center"/>
          </w:tcPr>
          <w:p>
            <w:pPr>
              <w:pStyle w:val="TableContents"/>
              <w:bidi w:val="0"/>
              <w:spacing w:before="0" w:after="283"/>
              <w:jc w:val="left"/>
              <w:rPr/>
            </w:pPr>
            <w:r>
              <w:rPr/>
              <w:t> </w:t>
            </w:r>
          </w:p>
        </w:tc>
      </w:tr>
      <w:tr>
        <w:trPr/>
        <w:tc>
          <w:tcPr>
            <w:tcW w:w="157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r>
      <w:tr>
        <w:trPr/>
        <w:tc>
          <w:tcPr>
            <w:tcW w:w="1576" w:type="dxa"/>
            <w:tcBorders/>
            <w:vAlign w:val="center"/>
          </w:tcPr>
          <w:p>
            <w:pPr>
              <w:pStyle w:val="TableContents"/>
              <w:bidi w:val="0"/>
              <w:spacing w:before="0" w:after="283"/>
              <w:jc w:val="left"/>
              <w:rPr/>
            </w:pPr>
            <w:r>
              <w:rPr/>
              <w:t xml:space="preserve">Provision (benefit) for taxes on income </w:t>
            </w:r>
          </w:p>
        </w:tc>
        <w:tc>
          <w:tcPr>
            <w:tcW w:w="22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right"/>
              <w:rPr/>
            </w:pPr>
            <w:r>
              <w:rPr/>
              <w:t>(46.2</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9.9</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13.9</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(36.3</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(18.2</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01" w:type="dxa"/>
            <w:tcBorders/>
            <w:vAlign w:val="center"/>
          </w:tcPr>
          <w:p>
            <w:pPr>
              <w:pStyle w:val="TableContents"/>
              <w:bidi w:val="0"/>
              <w:spacing w:before="0" w:after="283"/>
              <w:jc w:val="right"/>
              <w:rPr/>
            </w:pPr>
            <w:r>
              <w:rPr/>
              <w:t>99</w:t>
            </w:r>
          </w:p>
        </w:tc>
        <w:tc>
          <w:tcPr>
            <w:tcW w:w="346" w:type="dxa"/>
            <w:tcBorders/>
            <w:vAlign w:val="center"/>
          </w:tcPr>
          <w:p>
            <w:pPr>
              <w:pStyle w:val="TableContents"/>
              <w:bidi w:val="0"/>
              <w:spacing w:before="0" w:after="283"/>
              <w:jc w:val="left"/>
              <w:rPr/>
            </w:pPr>
            <w:r>
              <w:rPr/>
              <w:t>%</w:t>
            </w:r>
          </w:p>
        </w:tc>
      </w:tr>
      <w:tr>
        <w:trPr/>
        <w:tc>
          <w:tcPr>
            <w:tcW w:w="1576" w:type="dxa"/>
            <w:tcBorders/>
            <w:shd w:fill="CCEEFF" w:val="clear"/>
            <w:vAlign w:val="center"/>
          </w:tcPr>
          <w:p>
            <w:pPr>
              <w:pStyle w:val="TableContents"/>
              <w:bidi w:val="0"/>
              <w:spacing w:before="0" w:after="283"/>
              <w:jc w:val="left"/>
              <w:rPr/>
            </w:pPr>
            <w:r>
              <w:rPr/>
              <w:t>Equity in earnings of affiliates, net of tax</w:t>
            </w:r>
          </w:p>
        </w:tc>
        <w:tc>
          <w:tcPr>
            <w:tcW w:w="22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right"/>
              <w:rPr/>
            </w:pPr>
            <w:r>
              <w:rPr/>
              <w:t>2.5</w:t>
            </w:r>
          </w:p>
        </w:tc>
        <w:tc>
          <w:tcPr>
            <w:tcW w:w="241"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right"/>
              <w:rPr/>
            </w:pPr>
            <w:r>
              <w:rPr/>
              <w:t>1.3</w:t>
            </w:r>
          </w:p>
        </w:tc>
        <w:tc>
          <w:tcPr>
            <w:tcW w:w="241"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right"/>
              <w:rPr/>
            </w:pPr>
            <w:r>
              <w:rPr/>
              <w:t>1.1</w:t>
            </w:r>
          </w:p>
        </w:tc>
        <w:tc>
          <w:tcPr>
            <w:tcW w:w="241"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right"/>
              <w:rPr/>
            </w:pPr>
            <w:r>
              <w:rPr/>
              <w:t>92</w:t>
            </w:r>
          </w:p>
        </w:tc>
        <w:tc>
          <w:tcPr>
            <w:tcW w:w="301"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right"/>
              <w:rPr/>
            </w:pPr>
            <w:r>
              <w:rPr/>
              <w:t>127</w:t>
            </w:r>
          </w:p>
        </w:tc>
        <w:tc>
          <w:tcPr>
            <w:tcW w:w="301"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right"/>
              <w:rPr/>
            </w:pPr>
            <w:r>
              <w:rPr/>
              <w:t>3.8</w:t>
            </w:r>
          </w:p>
        </w:tc>
        <w:tc>
          <w:tcPr>
            <w:tcW w:w="241"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right"/>
              <w:rPr/>
            </w:pPr>
            <w:r>
              <w:rPr/>
              <w:t>2.3</w:t>
            </w:r>
          </w:p>
        </w:tc>
        <w:tc>
          <w:tcPr>
            <w:tcW w:w="241"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right"/>
              <w:rPr/>
            </w:pPr>
            <w:r>
              <w:rPr/>
              <w:t>65</w:t>
            </w:r>
          </w:p>
        </w:tc>
        <w:tc>
          <w:tcPr>
            <w:tcW w:w="34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r>
      <w:tr>
        <w:trPr/>
        <w:tc>
          <w:tcPr>
            <w:tcW w:w="157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0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r>
      <w:tr>
        <w:trPr/>
        <w:tc>
          <w:tcPr>
            <w:tcW w:w="1576" w:type="dxa"/>
            <w:tcBorders/>
            <w:shd w:fill="CCEEFF" w:val="clear"/>
            <w:tcMar>
              <w:top w:w="0" w:type="dxa"/>
              <w:left w:w="0" w:type="dxa"/>
              <w:bottom w:w="0" w:type="dxa"/>
              <w:right w:w="0" w:type="dxa"/>
            </w:tcMar>
            <w:vAlign w:val="center"/>
          </w:tcPr>
          <w:p>
            <w:pPr>
              <w:pStyle w:val="TableContents"/>
              <w:bidi w:val="0"/>
              <w:spacing w:before="0" w:after="283"/>
              <w:jc w:val="left"/>
              <w:rPr/>
            </w:pPr>
            <w:r>
              <w:rPr/>
              <w:t>Net income (loss)</w:t>
            </w:r>
          </w:p>
        </w:tc>
        <w:tc>
          <w:tcPr>
            <w:tcW w:w="22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(182.6</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37.3</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46.3</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(145.3</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(96.7</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w:t>
            </w:r>
          </w:p>
        </w:tc>
        <w:tc>
          <w:tcPr>
            <w:tcW w:w="346" w:type="dxa"/>
            <w:tcBorders/>
            <w:shd w:fill="CCEEFF" w:val="clear"/>
            <w:vAlign w:val="center"/>
          </w:tcPr>
          <w:p>
            <w:pPr>
              <w:pStyle w:val="TableContents"/>
              <w:bidi w:val="0"/>
              <w:spacing w:before="0" w:after="283"/>
              <w:jc w:val="left"/>
              <w:rPr/>
            </w:pPr>
            <w:r>
              <w:rPr/>
              <w:t> </w:t>
            </w:r>
          </w:p>
        </w:tc>
      </w:tr>
      <w:tr>
        <w:trPr/>
        <w:tc>
          <w:tcPr>
            <w:tcW w:w="157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0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ind w:left="0" w:right="0" w:hanging="150"/>
              <w:jc w:val="left"/>
              <w:rPr/>
            </w:pPr>
            <w:r>
              <w:rPr/>
              <w:t> </w:t>
            </w:r>
          </w:p>
        </w:tc>
      </w:tr>
      <w:tr>
        <w:trPr/>
        <w:tc>
          <w:tcPr>
            <w:tcW w:w="1576" w:type="dxa"/>
            <w:tcBorders/>
            <w:shd w:fill="CCEEFF" w:val="clear"/>
            <w:tcMar>
              <w:top w:w="0" w:type="dxa"/>
              <w:left w:w="0" w:type="dxa"/>
              <w:bottom w:w="0" w:type="dxa"/>
              <w:right w:w="0" w:type="dxa"/>
            </w:tcMar>
            <w:vAlign w:val="center"/>
          </w:tcPr>
          <w:p>
            <w:pPr>
              <w:pStyle w:val="TableContents"/>
              <w:bidi w:val="0"/>
              <w:spacing w:before="0" w:after="283"/>
              <w:jc w:val="left"/>
              <w:rPr/>
            </w:pPr>
            <w:r>
              <w:rPr/>
              <w:t>Less: Net income attributable to non-controlling interests</w:t>
            </w:r>
          </w:p>
        </w:tc>
        <w:tc>
          <w:tcPr>
            <w:tcW w:w="22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right"/>
              <w:rPr/>
            </w:pPr>
            <w:r>
              <w:rPr/>
              <w:t>1.0</w:t>
            </w:r>
          </w:p>
        </w:tc>
        <w:tc>
          <w:tcPr>
            <w:tcW w:w="241"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right"/>
              <w:rPr/>
            </w:pPr>
            <w:r>
              <w:rPr/>
              <w:t>1.1</w:t>
            </w:r>
          </w:p>
        </w:tc>
        <w:tc>
          <w:tcPr>
            <w:tcW w:w="241"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right"/>
              <w:rPr/>
            </w:pPr>
            <w:r>
              <w:rPr/>
              <w:t>0.9</w:t>
            </w:r>
          </w:p>
        </w:tc>
        <w:tc>
          <w:tcPr>
            <w:tcW w:w="241"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right"/>
              <w:rPr/>
            </w:pPr>
            <w:r>
              <w:rPr/>
              <w:t>(9</w:t>
            </w:r>
          </w:p>
        </w:tc>
        <w:tc>
          <w:tcPr>
            <w:tcW w:w="301"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right"/>
              <w:rPr/>
            </w:pPr>
            <w:r>
              <w:rPr/>
              <w:t>11</w:t>
            </w:r>
          </w:p>
        </w:tc>
        <w:tc>
          <w:tcPr>
            <w:tcW w:w="301"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right"/>
              <w:rPr/>
            </w:pPr>
            <w:r>
              <w:rPr/>
              <w:t>2.1</w:t>
            </w:r>
          </w:p>
        </w:tc>
        <w:tc>
          <w:tcPr>
            <w:tcW w:w="241"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right"/>
              <w:rPr/>
            </w:pPr>
            <w:r>
              <w:rPr/>
              <w:t>1.9</w:t>
            </w:r>
          </w:p>
        </w:tc>
        <w:tc>
          <w:tcPr>
            <w:tcW w:w="241"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right"/>
              <w:rPr/>
            </w:pPr>
            <w:r>
              <w:rPr/>
              <w:t>11</w:t>
            </w:r>
          </w:p>
        </w:tc>
        <w:tc>
          <w:tcPr>
            <w:tcW w:w="346" w:type="dxa"/>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r>
      <w:tr>
        <w:trPr/>
        <w:tc>
          <w:tcPr>
            <w:tcW w:w="157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0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ind w:left="0" w:right="0" w:hanging="150"/>
              <w:jc w:val="left"/>
              <w:rPr/>
            </w:pPr>
            <w:r>
              <w:rPr/>
              <w:t> </w:t>
            </w:r>
          </w:p>
        </w:tc>
      </w:tr>
      <w:tr>
        <w:trPr/>
        <w:tc>
          <w:tcPr>
            <w:tcW w:w="1576" w:type="dxa"/>
            <w:tcBorders/>
            <w:shd w:fill="CCEEFF" w:val="clear"/>
            <w:tcMar>
              <w:top w:w="0" w:type="dxa"/>
              <w:left w:w="0" w:type="dxa"/>
              <w:bottom w:w="0" w:type="dxa"/>
              <w:right w:w="0" w:type="dxa"/>
            </w:tcMar>
            <w:vAlign w:val="center"/>
          </w:tcPr>
          <w:p>
            <w:pPr>
              <w:pStyle w:val="TableContents"/>
              <w:bidi w:val="0"/>
              <w:spacing w:before="0" w:after="283"/>
              <w:jc w:val="left"/>
              <w:rPr/>
            </w:pPr>
            <w:r>
              <w:rPr/>
              <w:t>Net income (loss) attributable to Minerals Technologies Inc. (MTI)</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7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(183.6</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6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36.2</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6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45.4</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w:t>
            </w:r>
          </w:p>
        </w:tc>
        <w:tc>
          <w:tcPr>
            <w:tcW w:w="3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w:t>
            </w:r>
          </w:p>
        </w:tc>
        <w:tc>
          <w:tcPr>
            <w:tcW w:w="3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8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(147.4</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8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(98.6</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157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0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ind w:left="0" w:right="0" w:hanging="150"/>
              <w:jc w:val="left"/>
              <w:rPr/>
            </w:pPr>
            <w:r>
              <w:rPr/>
              <w:t> </w:t>
            </w:r>
          </w:p>
        </w:tc>
      </w:tr>
      <w:tr>
        <w:trPr/>
        <w:tc>
          <w:tcPr>
            <w:tcW w:w="1576" w:type="dxa"/>
            <w:tcBorders/>
            <w:shd w:fill="CCEEFF" w:val="clear"/>
            <w:tcMar>
              <w:top w:w="0" w:type="dxa"/>
              <w:left w:w="0" w:type="dxa"/>
              <w:bottom w:w="0" w:type="dxa"/>
              <w:right w:w="0" w:type="dxa"/>
            </w:tcMar>
            <w:vAlign w:val="center"/>
          </w:tcPr>
          <w:p>
            <w:pPr>
              <w:pStyle w:val="TableContents"/>
              <w:bidi w:val="0"/>
              <w:spacing w:before="0" w:after="283"/>
              <w:jc w:val="left"/>
              <w:rPr/>
            </w:pPr>
            <w:r>
              <w:rPr/>
              <w:t>Weighted average number of common shares outstanding:</w:t>
            </w:r>
          </w:p>
        </w:tc>
        <w:tc>
          <w:tcPr>
            <w:tcW w:w="22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r>
      <w:tr>
        <w:trPr/>
        <w:tc>
          <w:tcPr>
            <w:tcW w:w="157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0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r>
      <w:tr>
        <w:trPr/>
        <w:tc>
          <w:tcPr>
            <w:tcW w:w="1576" w:type="dxa"/>
            <w:tcBorders/>
            <w:shd w:fill="CCEEFF" w:val="clear"/>
            <w:tcMar>
              <w:top w:w="0" w:type="dxa"/>
              <w:left w:w="0" w:type="dxa"/>
              <w:bottom w:w="0" w:type="dxa"/>
              <w:right w:w="0" w:type="dxa"/>
            </w:tcMar>
            <w:vAlign w:val="center"/>
          </w:tcPr>
          <w:p>
            <w:pPr>
              <w:pStyle w:val="TableContents"/>
              <w:bidi w:val="0"/>
              <w:spacing w:before="0" w:after="283"/>
              <w:jc w:val="left"/>
              <w:rPr/>
            </w:pPr>
            <w:r>
              <w:rPr/>
              <w:t>Basic</w:t>
            </w:r>
          </w:p>
        </w:tc>
        <w:tc>
          <w:tcPr>
            <w:tcW w:w="22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31.1</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31.0</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31.6</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31.1</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31.7</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r>
      <w:tr>
        <w:trPr/>
        <w:tc>
          <w:tcPr>
            <w:tcW w:w="157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0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r>
      <w:tr>
        <w:trPr/>
        <w:tc>
          <w:tcPr>
            <w:tcW w:w="1576" w:type="dxa"/>
            <w:tcBorders/>
            <w:shd w:fill="CCEEFF" w:val="clear"/>
            <w:tcMar>
              <w:top w:w="0" w:type="dxa"/>
              <w:left w:w="0" w:type="dxa"/>
              <w:bottom w:w="0" w:type="dxa"/>
              <w:right w:w="0" w:type="dxa"/>
            </w:tcMar>
            <w:vAlign w:val="center"/>
          </w:tcPr>
          <w:p>
            <w:pPr>
              <w:pStyle w:val="TableContents"/>
              <w:bidi w:val="0"/>
              <w:spacing w:before="0" w:after="283"/>
              <w:jc w:val="left"/>
              <w:rPr/>
            </w:pPr>
            <w:r>
              <w:rPr/>
              <w:t>Diluted</w:t>
            </w:r>
          </w:p>
        </w:tc>
        <w:tc>
          <w:tcPr>
            <w:tcW w:w="22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31.1</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31.0</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31.6</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31.1</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31.7</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r>
      <w:tr>
        <w:trPr/>
        <w:tc>
          <w:tcPr>
            <w:tcW w:w="157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0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r>
      <w:tr>
        <w:trPr/>
        <w:tc>
          <w:tcPr>
            <w:tcW w:w="1576" w:type="dxa"/>
            <w:tcBorders/>
            <w:shd w:fill="CCEEFF" w:val="clear"/>
            <w:vAlign w:val="center"/>
          </w:tcPr>
          <w:p>
            <w:pPr>
              <w:pStyle w:val="TableContents"/>
              <w:bidi w:val="0"/>
              <w:spacing w:before="0" w:after="283"/>
              <w:jc w:val="left"/>
              <w:rPr/>
            </w:pPr>
            <w:r>
              <w:rPr/>
              <w:t>Earnings (loss) per share attributable to MTI:</w:t>
            </w:r>
          </w:p>
        </w:tc>
        <w:tc>
          <w:tcPr>
            <w:tcW w:w="22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r>
      <w:tr>
        <w:trPr/>
        <w:tc>
          <w:tcPr>
            <w:tcW w:w="157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0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r>
      <w:tr>
        <w:trPr/>
        <w:tc>
          <w:tcPr>
            <w:tcW w:w="1576" w:type="dxa"/>
            <w:tcBorders/>
            <w:shd w:fill="CCEEFF" w:val="clear"/>
            <w:tcMar>
              <w:top w:w="0" w:type="dxa"/>
              <w:left w:w="0" w:type="dxa"/>
              <w:bottom w:w="0" w:type="dxa"/>
              <w:right w:w="0" w:type="dxa"/>
            </w:tcMar>
            <w:vAlign w:val="center"/>
          </w:tcPr>
          <w:p>
            <w:pPr>
              <w:pStyle w:val="TableContents"/>
              <w:bidi w:val="0"/>
              <w:spacing w:before="0" w:after="283"/>
              <w:jc w:val="left"/>
              <w:rPr/>
            </w:pPr>
            <w:r>
              <w:rPr/>
              <w:t>Basic</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7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(5.90</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6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1.17</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6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1.44</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w:t>
            </w:r>
          </w:p>
        </w:tc>
        <w:tc>
          <w:tcPr>
            <w:tcW w:w="3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w:t>
            </w:r>
          </w:p>
        </w:tc>
        <w:tc>
          <w:tcPr>
            <w:tcW w:w="3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8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(4.74</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8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(3.11</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157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0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r>
      <w:tr>
        <w:trPr/>
        <w:tc>
          <w:tcPr>
            <w:tcW w:w="1576" w:type="dxa"/>
            <w:tcBorders/>
            <w:shd w:fill="CCEEFF" w:val="clear"/>
            <w:tcMar>
              <w:top w:w="0" w:type="dxa"/>
              <w:left w:w="0" w:type="dxa"/>
              <w:bottom w:w="0" w:type="dxa"/>
              <w:right w:w="0" w:type="dxa"/>
            </w:tcMar>
            <w:vAlign w:val="center"/>
          </w:tcPr>
          <w:p>
            <w:pPr>
              <w:pStyle w:val="TableContents"/>
              <w:bidi w:val="0"/>
              <w:spacing w:before="0" w:after="283"/>
              <w:jc w:val="left"/>
              <w:rPr/>
            </w:pPr>
            <w:r>
              <w:rPr/>
              <w:t>Diluted</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7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(5.90</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6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1.17</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6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1.44</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w:t>
            </w:r>
          </w:p>
        </w:tc>
        <w:tc>
          <w:tcPr>
            <w:tcW w:w="3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w:t>
            </w:r>
          </w:p>
        </w:tc>
        <w:tc>
          <w:tcPr>
            <w:tcW w:w="3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8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(4.74</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8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(3.11</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157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0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r>
      <w:tr>
        <w:trPr/>
        <w:tc>
          <w:tcPr>
            <w:tcW w:w="1576" w:type="dxa"/>
            <w:tcBorders/>
            <w:shd w:fill="CCEEFF" w:val="clear"/>
            <w:vAlign w:val="center"/>
          </w:tcPr>
          <w:p>
            <w:pPr>
              <w:pStyle w:val="TableContents"/>
              <w:bidi w:val="0"/>
              <w:spacing w:before="0" w:after="283"/>
              <w:jc w:val="left"/>
              <w:rPr/>
            </w:pPr>
            <w:r>
              <w:rPr/>
              <w:t>Cash dividends declared per common share</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7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0.12</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6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0.12</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6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0.11</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8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0.24</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8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0.22</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r>
      <w:tr>
        <w:trPr/>
        <w:tc>
          <w:tcPr>
            <w:tcW w:w="157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0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r>
      <w:tr>
        <w:trPr/>
        <w:tc>
          <w:tcPr>
            <w:tcW w:w="1576" w:type="dxa"/>
            <w:tcBorders/>
            <w:vAlign w:val="center"/>
          </w:tcPr>
          <w:p>
            <w:pPr>
              <w:pStyle w:val="TableContents"/>
              <w:bidi w:val="0"/>
              <w:spacing w:before="0" w:after="283"/>
              <w:jc w:val="left"/>
              <w:rPr/>
            </w:pPr>
            <w:r>
              <w:rPr/>
              <w:t>* Percentage not meaningful</w:t>
            </w:r>
          </w:p>
        </w:tc>
        <w:tc>
          <w:tcPr>
            <w:tcW w:w="22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0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pPr>
      <w:r>
        <w:rPr/>
        <w:t> </w:t>
      </w:r>
    </w:p>
    <w:p>
      <w:pPr>
        <w:pStyle w:val="TextBody"/>
        <w:bidi w:val="0"/>
        <w:spacing w:before="0" w:after="0"/>
        <w:jc w:val="center"/>
        <w:rPr>
          <w:b/>
          <w:spacing w:val="0"/>
        </w:rPr>
      </w:pPr>
      <w:r>
        <w:rPr>
          <w:b/>
          <w:spacing w:val="0"/>
        </w:rPr>
        <w:t>MINERALS TECHNOLOGIES INC. AND SUBSIDIARY COMPANIES</w:t>
      </w:r>
    </w:p>
    <w:p>
      <w:pPr>
        <w:pStyle w:val="TextBody"/>
        <w:bidi w:val="0"/>
        <w:spacing w:before="0" w:after="0"/>
        <w:jc w:val="center"/>
        <w:rPr>
          <w:b/>
          <w:spacing w:val="0"/>
        </w:rPr>
      </w:pPr>
      <w:r>
        <w:rPr>
          <w:b/>
          <w:spacing w:val="0"/>
        </w:rPr>
        <w:t>NOTES TO CONDENSED CONSOLIDATED STATEMENTS OF INCOME (LOSS)</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2"/>
        <w:gridCol w:w="8960"/>
        <w:gridCol w:w="53"/>
        <w:gridCol w:w="53"/>
        <w:gridCol w:w="53"/>
        <w:gridCol w:w="53"/>
        <w:gridCol w:w="53"/>
        <w:gridCol w:w="53"/>
        <w:gridCol w:w="53"/>
        <w:gridCol w:w="53"/>
        <w:gridCol w:w="53"/>
        <w:gridCol w:w="53"/>
        <w:gridCol w:w="53"/>
        <w:gridCol w:w="53"/>
        <w:gridCol w:w="53"/>
        <w:gridCol w:w="53"/>
        <w:gridCol w:w="53"/>
        <w:gridCol w:w="53"/>
        <w:gridCol w:w="53"/>
        <w:gridCol w:w="53"/>
        <w:gridCol w:w="99"/>
      </w:tblGrid>
      <w:tr>
        <w:trPr/>
        <w:tc>
          <w:tcPr>
            <w:tcW w:w="192" w:type="dxa"/>
            <w:tcBorders/>
            <w:vAlign w:val="center"/>
          </w:tcPr>
          <w:p>
            <w:pPr>
              <w:pStyle w:val="TableContents"/>
              <w:bidi w:val="0"/>
              <w:spacing w:before="0" w:after="283"/>
              <w:jc w:val="left"/>
              <w:rPr>
                <w:sz w:val="4"/>
                <w:szCs w:val="4"/>
              </w:rPr>
            </w:pPr>
            <w:r>
              <w:rPr>
                <w:sz w:val="4"/>
                <w:szCs w:val="4"/>
              </w:rPr>
            </w:r>
          </w:p>
        </w:tc>
        <w:tc>
          <w:tcPr>
            <w:tcW w:w="8960"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r>
      <w:tr>
        <w:trPr/>
        <w:tc>
          <w:tcPr>
            <w:tcW w:w="192" w:type="dxa"/>
            <w:tcBorders/>
            <w:vAlign w:val="center"/>
          </w:tcPr>
          <w:p>
            <w:pPr>
              <w:pStyle w:val="TableContents"/>
              <w:bidi w:val="0"/>
              <w:spacing w:before="0" w:after="283"/>
              <w:jc w:val="center"/>
              <w:rPr>
                <w:sz w:val="20"/>
              </w:rPr>
            </w:pPr>
            <w:r>
              <w:rPr>
                <w:sz w:val="20"/>
              </w:rPr>
              <w:t>1)</w:t>
            </w:r>
          </w:p>
        </w:tc>
        <w:tc>
          <w:tcPr>
            <w:tcW w:w="8960" w:type="dxa"/>
            <w:tcBorders/>
            <w:vAlign w:val="center"/>
          </w:tcPr>
          <w:p>
            <w:pPr>
              <w:pStyle w:val="TableContents"/>
              <w:bidi w:val="0"/>
              <w:spacing w:before="0" w:after="283"/>
              <w:jc w:val="left"/>
              <w:rPr>
                <w:sz w:val="20"/>
              </w:rPr>
            </w:pPr>
            <w:r>
              <w:rPr>
                <w:sz w:val="20"/>
              </w:rPr>
              <w:t>For comparative purposes, the quarterly periods ended July 5, 2026, April 5, 2026, and June 29, 2025 consisted of 91 days, 95 days, and 91 days, respectively. The six month periods ended July 5, 2026 and June 29, 2025 consisted of 186 days and 180 days, respectively.</w:t>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76" w:type="dxa"/>
            <w:gridSpan w:val="1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5"/>
        <w:gridCol w:w="7917"/>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99"/>
      </w:tblGrid>
      <w:tr>
        <w:trPr/>
        <w:tc>
          <w:tcPr>
            <w:tcW w:w="175" w:type="dxa"/>
            <w:tcBorders/>
            <w:vAlign w:val="center"/>
          </w:tcPr>
          <w:p>
            <w:pPr>
              <w:pStyle w:val="TableContents"/>
              <w:bidi w:val="0"/>
              <w:spacing w:before="0" w:after="283"/>
              <w:jc w:val="left"/>
              <w:rPr>
                <w:sz w:val="4"/>
                <w:szCs w:val="4"/>
              </w:rPr>
            </w:pPr>
            <w:r>
              <w:rPr>
                <w:sz w:val="4"/>
                <w:szCs w:val="4"/>
              </w:rPr>
            </w:r>
          </w:p>
        </w:tc>
        <w:tc>
          <w:tcPr>
            <w:tcW w:w="7917"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r>
      <w:tr>
        <w:trPr/>
        <w:tc>
          <w:tcPr>
            <w:tcW w:w="175" w:type="dxa"/>
            <w:tcBorders/>
            <w:vAlign w:val="center"/>
          </w:tcPr>
          <w:p>
            <w:pPr>
              <w:pStyle w:val="TableContents"/>
              <w:bidi w:val="0"/>
              <w:spacing w:before="0" w:after="283"/>
              <w:jc w:val="center"/>
              <w:rPr>
                <w:sz w:val="20"/>
              </w:rPr>
            </w:pPr>
            <w:r>
              <w:rPr>
                <w:sz w:val="20"/>
              </w:rPr>
              <w:t>2)</w:t>
            </w:r>
          </w:p>
        </w:tc>
        <w:tc>
          <w:tcPr>
            <w:tcW w:w="7917" w:type="dxa"/>
            <w:tcBorders/>
            <w:vAlign w:val="center"/>
          </w:tcPr>
          <w:p>
            <w:pPr>
              <w:pStyle w:val="TableContents"/>
              <w:bidi w:val="0"/>
              <w:spacing w:before="0" w:after="283"/>
              <w:jc w:val="left"/>
              <w:rPr>
                <w:sz w:val="20"/>
              </w:rPr>
            </w:pPr>
            <w:r>
              <w:rPr>
                <w:sz w:val="20"/>
              </w:rPr>
              <w:t>To supplement the Company's consolidated financial statements presented in accordance with GAAP, the following is a presentation of the Company's non-GAAP earnings per share, excluding special items, for the quarterly periods ended July 5, 2026, April 5, 2026, and June 29, 2025, and the six month periods ended July 5, 2026 and June 29, 2025 and a reconciliation to reported earnings per share for such periods. The Company's management believes these non-GAAP measures provide meaningful supplemental information regarding its performance as inclusion of such special items are not indicative of the ongoing operating results and thereby affect the comparability of results between periods. The Company believes inclusion of these non-GAAP measures also provides consistency in its financial reporting and facilitates investors' understanding of historic operating trends.</w:t>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76" w:type="dxa"/>
            <w:gridSpan w:val="1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5"/>
        <w:gridCol w:w="4061"/>
        <w:gridCol w:w="170"/>
        <w:gridCol w:w="665"/>
        <w:gridCol w:w="245"/>
        <w:gridCol w:w="90"/>
        <w:gridCol w:w="170"/>
        <w:gridCol w:w="695"/>
        <w:gridCol w:w="245"/>
        <w:gridCol w:w="90"/>
        <w:gridCol w:w="170"/>
        <w:gridCol w:w="757"/>
        <w:gridCol w:w="245"/>
        <w:gridCol w:w="90"/>
        <w:gridCol w:w="170"/>
        <w:gridCol w:w="665"/>
        <w:gridCol w:w="245"/>
        <w:gridCol w:w="90"/>
        <w:gridCol w:w="170"/>
        <w:gridCol w:w="775"/>
        <w:gridCol w:w="292"/>
      </w:tblGrid>
      <w:tr>
        <w:trPr/>
        <w:tc>
          <w:tcPr>
            <w:tcW w:w="105" w:type="dxa"/>
            <w:tcBorders/>
            <w:vAlign w:val="center"/>
          </w:tcPr>
          <w:p>
            <w:pPr>
              <w:pStyle w:val="TableContents"/>
              <w:bidi w:val="0"/>
              <w:spacing w:before="0" w:after="283"/>
              <w:jc w:val="left"/>
              <w:rPr>
                <w:sz w:val="4"/>
                <w:szCs w:val="4"/>
              </w:rPr>
            </w:pPr>
            <w:r>
              <w:rPr>
                <w:sz w:val="4"/>
                <w:szCs w:val="4"/>
              </w:rPr>
            </w:r>
          </w:p>
        </w:tc>
        <w:tc>
          <w:tcPr>
            <w:tcW w:w="406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105" w:type="dxa"/>
            <w:tcBorders/>
            <w:vAlign w:val="center"/>
          </w:tcPr>
          <w:p>
            <w:pPr>
              <w:pStyle w:val="TableContents"/>
              <w:bidi w:val="0"/>
              <w:spacing w:before="0" w:after="283"/>
              <w:jc w:val="left"/>
              <w:rPr/>
            </w:pPr>
            <w:r>
              <w:rPr/>
              <w:t> </w:t>
            </w:r>
          </w:p>
        </w:tc>
        <w:tc>
          <w:tcPr>
            <w:tcW w:w="4061" w:type="dxa"/>
            <w:tcBorders/>
            <w:vAlign w:val="center"/>
          </w:tcPr>
          <w:p>
            <w:pPr>
              <w:pStyle w:val="TableContents"/>
              <w:bidi w:val="0"/>
              <w:spacing w:before="0" w:after="283"/>
              <w:jc w:val="left"/>
              <w:rPr>
                <w:b/>
              </w:rPr>
            </w:pPr>
            <w:r>
              <w:rPr>
                <w:b/>
              </w:rPr>
              <w:t>(in millions of dollars, except per share data)</w:t>
            </w:r>
          </w:p>
        </w:tc>
        <w:tc>
          <w:tcPr>
            <w:tcW w:w="3542" w:type="dxa"/>
            <w:gridSpan w:val="11"/>
            <w:tcBorders>
              <w:bottom w:val="single" w:sz="2" w:space="0" w:color="000000"/>
            </w:tcBorders>
            <w:tcMar>
              <w:bottom w:w="28" w:type="dxa"/>
            </w:tcMar>
            <w:vAlign w:val="center"/>
          </w:tcPr>
          <w:p>
            <w:pPr>
              <w:pStyle w:val="TableContents"/>
              <w:bidi w:val="0"/>
              <w:spacing w:before="0" w:after="283"/>
              <w:jc w:val="center"/>
              <w:rPr>
                <w:b/>
              </w:rPr>
            </w:pPr>
            <w:r>
              <w:rPr>
                <w:b/>
              </w:rPr>
              <w:t>Quarter Ended</w:t>
            </w:r>
          </w:p>
        </w:tc>
        <w:tc>
          <w:tcPr>
            <w:tcW w:w="90" w:type="dxa"/>
            <w:tcBorders/>
            <w:vAlign w:val="center"/>
          </w:tcPr>
          <w:p>
            <w:pPr>
              <w:pStyle w:val="TableContents"/>
              <w:bidi w:val="0"/>
              <w:spacing w:before="0" w:after="283"/>
              <w:jc w:val="left"/>
              <w:rPr/>
            </w:pPr>
            <w:r>
              <w:rPr/>
              <w:t> </w:t>
            </w:r>
          </w:p>
        </w:tc>
        <w:tc>
          <w:tcPr>
            <w:tcW w:w="2407" w:type="dxa"/>
            <w:gridSpan w:val="7"/>
            <w:tcBorders>
              <w:bottom w:val="single" w:sz="2" w:space="0" w:color="000000"/>
            </w:tcBorders>
            <w:tcMar>
              <w:bottom w:w="28" w:type="dxa"/>
            </w:tcMar>
            <w:vAlign w:val="center"/>
          </w:tcPr>
          <w:p>
            <w:pPr>
              <w:pStyle w:val="TableContents"/>
              <w:bidi w:val="0"/>
              <w:spacing w:before="0" w:after="283"/>
              <w:jc w:val="center"/>
              <w:rPr>
                <w:b/>
              </w:rPr>
            </w:pPr>
            <w:r>
              <w:rPr>
                <w:b/>
              </w:rPr>
              <w:t>Six Months Ended</w:t>
            </w:r>
          </w:p>
        </w:tc>
      </w:tr>
      <w:tr>
        <w:trPr/>
        <w:tc>
          <w:tcPr>
            <w:tcW w:w="105" w:type="dxa"/>
            <w:tcBorders/>
            <w:vAlign w:val="center"/>
          </w:tcPr>
          <w:p>
            <w:pPr>
              <w:pStyle w:val="TableContents"/>
              <w:bidi w:val="0"/>
              <w:spacing w:before="0" w:after="283"/>
              <w:jc w:val="left"/>
              <w:rPr/>
            </w:pPr>
            <w:r>
              <w:rPr/>
              <w:t> </w:t>
            </w:r>
          </w:p>
        </w:tc>
        <w:tc>
          <w:tcPr>
            <w:tcW w:w="4061"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b/>
              </w:rPr>
            </w:pPr>
            <w:r>
              <w:rPr>
                <w:b/>
              </w:rPr>
              <w:t>Jul. 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b/>
              </w:rPr>
            </w:pPr>
            <w:r>
              <w:rPr>
                <w:b/>
              </w:rPr>
              <w:t>Apr. 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center"/>
              <w:rPr>
                <w:b/>
              </w:rPr>
            </w:pPr>
            <w:r>
              <w:rPr>
                <w:b/>
              </w:rPr>
              <w:t>Jun. 29,</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b/>
              </w:rPr>
            </w:pPr>
            <w:r>
              <w:rPr>
                <w:b/>
              </w:rPr>
              <w:t>Jul. 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center"/>
              <w:rPr>
                <w:b/>
              </w:rPr>
            </w:pPr>
            <w:r>
              <w:rPr>
                <w:b/>
              </w:rPr>
              <w:t>Jun. 29,</w:t>
            </w:r>
          </w:p>
        </w:tc>
        <w:tc>
          <w:tcPr>
            <w:tcW w:w="292"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4061"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695" w:type="dxa"/>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57"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75"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29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05" w:type="dxa"/>
            <w:tcBorders/>
            <w:shd w:fill="CCEEFF" w:val="clear"/>
            <w:vAlign w:val="center"/>
          </w:tcPr>
          <w:p>
            <w:pPr>
              <w:pStyle w:val="TableContents"/>
              <w:bidi w:val="0"/>
              <w:spacing w:before="0" w:after="283"/>
              <w:jc w:val="left"/>
              <w:rPr/>
            </w:pPr>
            <w:r>
              <w:rPr/>
              <w:t> </w:t>
            </w:r>
          </w:p>
        </w:tc>
        <w:tc>
          <w:tcPr>
            <w:tcW w:w="4061" w:type="dxa"/>
            <w:tcBorders/>
            <w:shd w:fill="CCEEFF" w:val="clear"/>
            <w:vAlign w:val="center"/>
          </w:tcPr>
          <w:p>
            <w:pPr>
              <w:pStyle w:val="TableContents"/>
              <w:bidi w:val="0"/>
              <w:spacing w:before="0" w:after="283"/>
              <w:jc w:val="left"/>
              <w:rPr/>
            </w:pPr>
            <w:r>
              <w:rPr/>
              <w:t>Net income (loss) attributable to MTI</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(183.6</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jc w:val="right"/>
              <w:rPr/>
            </w:pPr>
            <w:r>
              <w:rPr/>
              <w:t>36.2</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57" w:type="dxa"/>
            <w:tcBorders/>
            <w:shd w:fill="CCEEFF" w:val="clear"/>
            <w:vAlign w:val="center"/>
          </w:tcPr>
          <w:p>
            <w:pPr>
              <w:pStyle w:val="TableContents"/>
              <w:bidi w:val="0"/>
              <w:spacing w:before="0" w:after="283"/>
              <w:jc w:val="right"/>
              <w:rPr/>
            </w:pPr>
            <w:r>
              <w:rPr/>
              <w:t>45.4</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(147.4</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75" w:type="dxa"/>
            <w:tcBorders/>
            <w:shd w:fill="CCEEFF" w:val="clear"/>
            <w:vAlign w:val="center"/>
          </w:tcPr>
          <w:p>
            <w:pPr>
              <w:pStyle w:val="TableContents"/>
              <w:bidi w:val="0"/>
              <w:spacing w:before="0" w:after="283"/>
              <w:jc w:val="right"/>
              <w:rPr/>
            </w:pPr>
            <w:r>
              <w:rPr/>
              <w:t>(98.6</w:t>
            </w:r>
          </w:p>
        </w:tc>
        <w:tc>
          <w:tcPr>
            <w:tcW w:w="292" w:type="dxa"/>
            <w:tcBorders/>
            <w:shd w:fill="CCEEFF" w:val="clear"/>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4061" w:type="dxa"/>
            <w:tcBorders/>
            <w:vAlign w:val="center"/>
          </w:tcPr>
          <w:p>
            <w:pPr>
              <w:pStyle w:val="TableContents"/>
              <w:bidi w:val="0"/>
              <w:spacing w:before="0" w:after="283"/>
              <w:jc w:val="right"/>
              <w:rPr/>
            </w:pPr>
            <w:r>
              <w:rPr/>
              <w:t>% of sales</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6.6</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8.6</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right"/>
              <w:rPr/>
            </w:pPr>
            <w:r>
              <w:rPr/>
              <w:t>*</w:t>
            </w:r>
          </w:p>
        </w:tc>
        <w:tc>
          <w:tcPr>
            <w:tcW w:w="292" w:type="dxa"/>
            <w:tcBorders/>
            <w:vAlign w:val="center"/>
          </w:tcPr>
          <w:p>
            <w:pPr>
              <w:pStyle w:val="TableContents"/>
              <w:bidi w:val="0"/>
              <w:spacing w:before="0" w:after="283"/>
              <w:jc w:val="left"/>
              <w:rPr/>
            </w:pPr>
            <w:r>
              <w:rPr/>
              <w:t> </w:t>
            </w:r>
          </w:p>
        </w:tc>
      </w:tr>
      <w:tr>
        <w:trPr/>
        <w:tc>
          <w:tcPr>
            <w:tcW w:w="105" w:type="dxa"/>
            <w:tcBorders/>
            <w:shd w:fill="CCEEFF" w:val="clear"/>
            <w:vAlign w:val="center"/>
          </w:tcPr>
          <w:p>
            <w:pPr>
              <w:pStyle w:val="TableContents"/>
              <w:bidi w:val="0"/>
              <w:spacing w:before="0" w:after="283"/>
              <w:jc w:val="left"/>
              <w:rPr/>
            </w:pPr>
            <w:r>
              <w:rPr/>
              <w:t> </w:t>
            </w:r>
          </w:p>
        </w:tc>
        <w:tc>
          <w:tcPr>
            <w:tcW w:w="406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4061" w:type="dxa"/>
            <w:tcBorders/>
            <w:vAlign w:val="center"/>
          </w:tcPr>
          <w:p>
            <w:pPr>
              <w:pStyle w:val="TableContents"/>
              <w:bidi w:val="0"/>
              <w:spacing w:before="0" w:after="283"/>
              <w:jc w:val="left"/>
              <w:rPr/>
            </w:pPr>
            <w:r>
              <w:rPr/>
              <w:t>Special items:</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r>
      <w:tr>
        <w:trPr/>
        <w:tc>
          <w:tcPr>
            <w:tcW w:w="105" w:type="dxa"/>
            <w:tcBorders/>
            <w:shd w:fill="CCEEFF" w:val="clear"/>
            <w:vAlign w:val="center"/>
          </w:tcPr>
          <w:p>
            <w:pPr>
              <w:pStyle w:val="TableContents"/>
              <w:bidi w:val="0"/>
              <w:spacing w:before="0" w:after="283"/>
              <w:jc w:val="left"/>
              <w:rPr/>
            </w:pPr>
            <w:r>
              <w:rPr/>
              <w:t> </w:t>
            </w:r>
          </w:p>
        </w:tc>
        <w:tc>
          <w:tcPr>
            <w:tcW w:w="4061" w:type="dxa"/>
            <w:tcBorders/>
            <w:shd w:fill="CCEEFF" w:val="clear"/>
            <w:vAlign w:val="center"/>
          </w:tcPr>
          <w:p>
            <w:pPr>
              <w:pStyle w:val="TableContents"/>
              <w:bidi w:val="0"/>
              <w:spacing w:before="0" w:after="283"/>
              <w:jc w:val="left"/>
              <w:rPr/>
            </w:pPr>
            <w:r>
              <w:rPr/>
              <w:t>Provision for litigation accrual and credit losses</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290.0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0.0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0.0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290.0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215.0</w:t>
            </w:r>
          </w:p>
        </w:tc>
        <w:tc>
          <w:tcPr>
            <w:tcW w:w="292" w:type="dxa"/>
            <w:tcBorders/>
            <w:shd w:fill="CCEEFF" w:val="clear"/>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4061" w:type="dxa"/>
            <w:tcBorders/>
            <w:vAlign w:val="center"/>
          </w:tcPr>
          <w:p>
            <w:pPr>
              <w:pStyle w:val="TableContents"/>
              <w:bidi w:val="0"/>
              <w:spacing w:before="0" w:after="283"/>
              <w:jc w:val="left"/>
              <w:rPr/>
            </w:pPr>
            <w:r>
              <w:rPr/>
              <w:t>Restructuring and other items</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0.0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0.0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5.8</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0.0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right"/>
              <w:rPr/>
            </w:pPr>
            <w:r>
              <w:rPr/>
              <w:t>11.3</w:t>
            </w:r>
          </w:p>
        </w:tc>
        <w:tc>
          <w:tcPr>
            <w:tcW w:w="292" w:type="dxa"/>
            <w:tcBorders/>
            <w:vAlign w:val="center"/>
          </w:tcPr>
          <w:p>
            <w:pPr>
              <w:pStyle w:val="TableContents"/>
              <w:bidi w:val="0"/>
              <w:spacing w:before="0" w:after="283"/>
              <w:jc w:val="left"/>
              <w:rPr/>
            </w:pPr>
            <w:r>
              <w:rPr/>
              <w:t> </w:t>
            </w:r>
          </w:p>
        </w:tc>
      </w:tr>
      <w:tr>
        <w:trPr/>
        <w:tc>
          <w:tcPr>
            <w:tcW w:w="105" w:type="dxa"/>
            <w:tcBorders/>
            <w:shd w:fill="CCEEFF" w:val="clear"/>
            <w:vAlign w:val="center"/>
          </w:tcPr>
          <w:p>
            <w:pPr>
              <w:pStyle w:val="TableContents"/>
              <w:bidi w:val="0"/>
              <w:spacing w:before="0" w:after="283"/>
              <w:jc w:val="left"/>
              <w:rPr/>
            </w:pPr>
            <w:r>
              <w:rPr/>
              <w:t> </w:t>
            </w:r>
          </w:p>
        </w:tc>
        <w:tc>
          <w:tcPr>
            <w:tcW w:w="4061" w:type="dxa"/>
            <w:tcBorders/>
            <w:shd w:fill="CCEEFF" w:val="clear"/>
            <w:vAlign w:val="center"/>
          </w:tcPr>
          <w:p>
            <w:pPr>
              <w:pStyle w:val="TableContents"/>
              <w:bidi w:val="0"/>
              <w:spacing w:before="0" w:after="283"/>
              <w:jc w:val="left"/>
              <w:rPr/>
            </w:pPr>
            <w:r>
              <w:rPr/>
              <w:t>Gain on sale of assets, net</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0.0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0.0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(5.6</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0.0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(5.6</w:t>
            </w:r>
          </w:p>
        </w:tc>
        <w:tc>
          <w:tcPr>
            <w:tcW w:w="292" w:type="dxa"/>
            <w:tcBorders/>
            <w:shd w:fill="CCEEFF" w:val="clear"/>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4061" w:type="dxa"/>
            <w:tcBorders/>
            <w:vAlign w:val="center"/>
          </w:tcPr>
          <w:p>
            <w:pPr>
              <w:pStyle w:val="TableContents"/>
              <w:bidi w:val="0"/>
              <w:spacing w:before="0" w:after="283"/>
              <w:jc w:val="left"/>
              <w:rPr/>
            </w:pPr>
            <w:r>
              <w:rPr/>
              <w:t>Litigation expenses</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4.9</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8.8</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4.2</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13.7</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right"/>
              <w:rPr/>
            </w:pPr>
            <w:r>
              <w:rPr/>
              <w:t>7.0</w:t>
            </w:r>
          </w:p>
        </w:tc>
        <w:tc>
          <w:tcPr>
            <w:tcW w:w="292" w:type="dxa"/>
            <w:tcBorders/>
            <w:vAlign w:val="center"/>
          </w:tcPr>
          <w:p>
            <w:pPr>
              <w:pStyle w:val="TableContents"/>
              <w:bidi w:val="0"/>
              <w:spacing w:before="0" w:after="283"/>
              <w:jc w:val="left"/>
              <w:rPr/>
            </w:pPr>
            <w:r>
              <w:rPr/>
              <w:t> </w:t>
            </w:r>
          </w:p>
        </w:tc>
      </w:tr>
      <w:tr>
        <w:trPr/>
        <w:tc>
          <w:tcPr>
            <w:tcW w:w="105" w:type="dxa"/>
            <w:tcBorders/>
            <w:shd w:fill="CCEEFF" w:val="clear"/>
            <w:vAlign w:val="center"/>
          </w:tcPr>
          <w:p>
            <w:pPr>
              <w:pStyle w:val="TableContents"/>
              <w:bidi w:val="0"/>
              <w:spacing w:before="0" w:after="283"/>
              <w:jc w:val="left"/>
              <w:rPr/>
            </w:pPr>
            <w:r>
              <w:rPr/>
              <w:t> </w:t>
            </w:r>
          </w:p>
        </w:tc>
        <w:tc>
          <w:tcPr>
            <w:tcW w:w="4061" w:type="dxa"/>
            <w:tcBorders/>
            <w:shd w:fill="CCEEFF" w:val="clear"/>
            <w:vAlign w:val="center"/>
          </w:tcPr>
          <w:p>
            <w:pPr>
              <w:pStyle w:val="TableContents"/>
              <w:bidi w:val="0"/>
              <w:spacing w:before="0" w:after="283"/>
              <w:jc w:val="left"/>
              <w:rPr/>
            </w:pPr>
            <w:r>
              <w:rPr/>
              <w:t>Related tax effects on special items</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jc w:val="right"/>
              <w:rPr/>
            </w:pPr>
            <w:r>
              <w:rPr/>
              <w:t>(61.5</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jc w:val="right"/>
              <w:rPr/>
            </w:pPr>
            <w:r>
              <w:rPr/>
              <w:t>(2.2</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57" w:type="dxa"/>
            <w:tcBorders>
              <w:bottom w:val="single" w:sz="2" w:space="0" w:color="000000"/>
            </w:tcBorders>
            <w:shd w:fill="CCEEFF" w:val="clear"/>
            <w:tcMar>
              <w:bottom w:w="28" w:type="dxa"/>
            </w:tcMar>
            <w:vAlign w:val="center"/>
          </w:tcPr>
          <w:p>
            <w:pPr>
              <w:pStyle w:val="TableContents"/>
              <w:bidi w:val="0"/>
              <w:spacing w:before="0" w:after="283"/>
              <w:jc w:val="right"/>
              <w:rPr/>
            </w:pPr>
            <w:r>
              <w:rPr/>
              <w:t>(0.9</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jc w:val="right"/>
              <w:rPr/>
            </w:pPr>
            <w:r>
              <w:rPr/>
              <w:t>(63.7</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75" w:type="dxa"/>
            <w:tcBorders>
              <w:bottom w:val="single" w:sz="2" w:space="0" w:color="000000"/>
            </w:tcBorders>
            <w:shd w:fill="CCEEFF" w:val="clear"/>
            <w:tcMar>
              <w:bottom w:w="28" w:type="dxa"/>
            </w:tcMar>
            <w:vAlign w:val="center"/>
          </w:tcPr>
          <w:p>
            <w:pPr>
              <w:pStyle w:val="TableContents"/>
              <w:bidi w:val="0"/>
              <w:spacing w:before="0" w:after="283"/>
              <w:jc w:val="right"/>
              <w:rPr/>
            </w:pPr>
            <w:r>
              <w:rPr/>
              <w:t>(43.8</w:t>
            </w:r>
          </w:p>
        </w:tc>
        <w:tc>
          <w:tcPr>
            <w:tcW w:w="29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4061"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r>
      <w:tr>
        <w:trPr/>
        <w:tc>
          <w:tcPr>
            <w:tcW w:w="105" w:type="dxa"/>
            <w:tcBorders/>
            <w:shd w:fill="CCEEFF" w:val="clear"/>
            <w:vAlign w:val="center"/>
          </w:tcPr>
          <w:p>
            <w:pPr>
              <w:pStyle w:val="TableContents"/>
              <w:bidi w:val="0"/>
              <w:spacing w:before="0" w:after="283"/>
              <w:jc w:val="left"/>
              <w:rPr/>
            </w:pPr>
            <w:r>
              <w:rPr/>
              <w:t> </w:t>
            </w:r>
          </w:p>
        </w:tc>
        <w:tc>
          <w:tcPr>
            <w:tcW w:w="4061" w:type="dxa"/>
            <w:tcBorders/>
            <w:shd w:fill="CCEEFF" w:val="clear"/>
            <w:vAlign w:val="center"/>
          </w:tcPr>
          <w:p>
            <w:pPr>
              <w:pStyle w:val="TableContents"/>
              <w:bidi w:val="0"/>
              <w:spacing w:before="0" w:after="283"/>
              <w:jc w:val="left"/>
              <w:rPr/>
            </w:pPr>
            <w:r>
              <w:rPr/>
              <w:t>Net income attributable to MTI, excluding special items</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single" w:sz="2" w:space="0" w:color="000000"/>
            </w:tcBorders>
            <w:shd w:fill="CCEEFF" w:val="clear"/>
            <w:tcMar>
              <w:bottom w:w="28" w:type="dxa"/>
            </w:tcMar>
            <w:vAlign w:val="center"/>
          </w:tcPr>
          <w:p>
            <w:pPr>
              <w:pStyle w:val="TableContents"/>
              <w:bidi w:val="0"/>
              <w:spacing w:before="0" w:after="283"/>
              <w:jc w:val="right"/>
              <w:rPr/>
            </w:pPr>
            <w:r>
              <w:rPr/>
              <w:t>49.8</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jc w:val="right"/>
              <w:rPr/>
            </w:pPr>
            <w:r>
              <w:rPr/>
              <w:t>42.8</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757" w:type="dxa"/>
            <w:tcBorders>
              <w:bottom w:val="single" w:sz="2" w:space="0" w:color="000000"/>
            </w:tcBorders>
            <w:shd w:fill="CCEEFF" w:val="clear"/>
            <w:tcMar>
              <w:bottom w:w="28" w:type="dxa"/>
            </w:tcMar>
            <w:vAlign w:val="center"/>
          </w:tcPr>
          <w:p>
            <w:pPr>
              <w:pStyle w:val="TableContents"/>
              <w:bidi w:val="0"/>
              <w:spacing w:before="0" w:after="283"/>
              <w:jc w:val="right"/>
              <w:rPr/>
            </w:pPr>
            <w:r>
              <w:rPr/>
              <w:t>48.9</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single" w:sz="2" w:space="0" w:color="000000"/>
            </w:tcBorders>
            <w:shd w:fill="CCEEFF" w:val="clear"/>
            <w:tcMar>
              <w:bottom w:w="28" w:type="dxa"/>
            </w:tcMar>
            <w:vAlign w:val="center"/>
          </w:tcPr>
          <w:p>
            <w:pPr>
              <w:pStyle w:val="TableContents"/>
              <w:bidi w:val="0"/>
              <w:spacing w:before="0" w:after="283"/>
              <w:jc w:val="right"/>
              <w:rPr/>
            </w:pPr>
            <w:r>
              <w:rPr/>
              <w:t>92.6</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775" w:type="dxa"/>
            <w:tcBorders>
              <w:bottom w:val="single" w:sz="2" w:space="0" w:color="000000"/>
            </w:tcBorders>
            <w:shd w:fill="CCEEFF" w:val="clear"/>
            <w:tcMar>
              <w:bottom w:w="28" w:type="dxa"/>
            </w:tcMar>
            <w:vAlign w:val="center"/>
          </w:tcPr>
          <w:p>
            <w:pPr>
              <w:pStyle w:val="TableContents"/>
              <w:bidi w:val="0"/>
              <w:spacing w:before="0" w:after="283"/>
              <w:jc w:val="right"/>
              <w:rPr/>
            </w:pPr>
            <w:r>
              <w:rPr/>
              <w:t>85.3</w:t>
            </w:r>
          </w:p>
        </w:tc>
        <w:tc>
          <w:tcPr>
            <w:tcW w:w="29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4061" w:type="dxa"/>
            <w:tcBorders/>
            <w:vAlign w:val="center"/>
          </w:tcPr>
          <w:p>
            <w:pPr>
              <w:pStyle w:val="TableContents"/>
              <w:bidi w:val="0"/>
              <w:spacing w:before="0" w:after="283"/>
              <w:jc w:val="right"/>
              <w:rPr/>
            </w:pPr>
            <w:r>
              <w:rPr/>
              <w:t>% of sales</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9.1</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7.8</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9.2</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8.5</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right"/>
              <w:rPr/>
            </w:pPr>
            <w:r>
              <w:rPr/>
              <w:t>8.4</w:t>
            </w:r>
          </w:p>
        </w:tc>
        <w:tc>
          <w:tcPr>
            <w:tcW w:w="292" w:type="dxa"/>
            <w:tcBorders/>
            <w:vAlign w:val="center"/>
          </w:tcPr>
          <w:p>
            <w:pPr>
              <w:pStyle w:val="TableContents"/>
              <w:bidi w:val="0"/>
              <w:spacing w:before="0" w:after="283"/>
              <w:jc w:val="left"/>
              <w:rPr/>
            </w:pPr>
            <w:r>
              <w:rPr/>
              <w:t>%</w:t>
            </w:r>
          </w:p>
        </w:tc>
      </w:tr>
      <w:tr>
        <w:trPr/>
        <w:tc>
          <w:tcPr>
            <w:tcW w:w="105" w:type="dxa"/>
            <w:tcBorders/>
            <w:shd w:fill="CCEEFF" w:val="clear"/>
            <w:vAlign w:val="center"/>
          </w:tcPr>
          <w:p>
            <w:pPr>
              <w:pStyle w:val="TableContents"/>
              <w:bidi w:val="0"/>
              <w:spacing w:before="0" w:after="283"/>
              <w:jc w:val="left"/>
              <w:rPr/>
            </w:pPr>
            <w:r>
              <w:rPr/>
              <w:t> </w:t>
            </w:r>
          </w:p>
        </w:tc>
        <w:tc>
          <w:tcPr>
            <w:tcW w:w="406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4061" w:type="dxa"/>
            <w:tcBorders/>
            <w:vAlign w:val="center"/>
          </w:tcPr>
          <w:p>
            <w:pPr>
              <w:pStyle w:val="TableContents"/>
              <w:bidi w:val="0"/>
              <w:spacing w:before="0" w:after="283"/>
              <w:jc w:val="left"/>
              <w:rPr/>
            </w:pPr>
            <w:r>
              <w:rPr/>
              <w:t>Diluted earnings per share, excluding special items</w:t>
            </w:r>
          </w:p>
        </w:tc>
        <w:tc>
          <w:tcPr>
            <w:tcW w:w="170" w:type="dxa"/>
            <w:tcBorders/>
            <w:vAlign w:val="center"/>
          </w:tcPr>
          <w:p>
            <w:pPr>
              <w:pStyle w:val="TableContents"/>
              <w:bidi w:val="0"/>
              <w:spacing w:before="0" w:after="283"/>
              <w:jc w:val="left"/>
              <w:rPr/>
            </w:pPr>
            <w:r>
              <w:rPr/>
              <w:t>$</w:t>
            </w:r>
          </w:p>
        </w:tc>
        <w:tc>
          <w:tcPr>
            <w:tcW w:w="665" w:type="dxa"/>
            <w:tcBorders/>
            <w:vAlign w:val="center"/>
          </w:tcPr>
          <w:p>
            <w:pPr>
              <w:pStyle w:val="TableContents"/>
              <w:bidi w:val="0"/>
              <w:spacing w:before="0" w:after="283"/>
              <w:jc w:val="right"/>
              <w:rPr/>
            </w:pPr>
            <w:r>
              <w:rPr/>
              <w:t>1.60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jc w:val="right"/>
              <w:rPr/>
            </w:pPr>
            <w:r>
              <w:rPr/>
              <w:t>1.38</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7" w:type="dxa"/>
            <w:tcBorders/>
            <w:vAlign w:val="center"/>
          </w:tcPr>
          <w:p>
            <w:pPr>
              <w:pStyle w:val="TableContents"/>
              <w:bidi w:val="0"/>
              <w:spacing w:before="0" w:after="283"/>
              <w:jc w:val="right"/>
              <w:rPr/>
            </w:pPr>
            <w:r>
              <w:rPr/>
              <w:t>1.55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5" w:type="dxa"/>
            <w:tcBorders/>
            <w:vAlign w:val="center"/>
          </w:tcPr>
          <w:p>
            <w:pPr>
              <w:pStyle w:val="TableContents"/>
              <w:bidi w:val="0"/>
              <w:spacing w:before="0" w:after="283"/>
              <w:jc w:val="right"/>
              <w:rPr/>
            </w:pPr>
            <w:r>
              <w:rPr/>
              <w:t>2.98</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5" w:type="dxa"/>
            <w:tcBorders/>
            <w:vAlign w:val="center"/>
          </w:tcPr>
          <w:p>
            <w:pPr>
              <w:pStyle w:val="TableContents"/>
              <w:bidi w:val="0"/>
              <w:spacing w:before="0" w:after="283"/>
              <w:jc w:val="right"/>
              <w:rPr/>
            </w:pPr>
            <w:r>
              <w:rPr/>
              <w:t>2.69</w:t>
            </w:r>
          </w:p>
        </w:tc>
        <w:tc>
          <w:tcPr>
            <w:tcW w:w="292"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4061"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4061" w:type="dxa"/>
            <w:tcBorders/>
            <w:vAlign w:val="center"/>
          </w:tcPr>
          <w:p>
            <w:pPr>
              <w:pStyle w:val="TableContents"/>
              <w:bidi w:val="0"/>
              <w:spacing w:before="0" w:after="283"/>
              <w:jc w:val="left"/>
              <w:rPr/>
            </w:pPr>
            <w:r>
              <w:rPr/>
              <w:t>* Percentage not meaningful</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8"/>
        <w:gridCol w:w="5905"/>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424"/>
        <w:gridCol w:w="575"/>
      </w:tblGrid>
      <w:tr>
        <w:trPr/>
        <w:tc>
          <w:tcPr>
            <w:tcW w:w="68" w:type="dxa"/>
            <w:tcBorders/>
            <w:vAlign w:val="center"/>
          </w:tcPr>
          <w:p>
            <w:pPr>
              <w:pStyle w:val="TableContents"/>
              <w:bidi w:val="0"/>
              <w:spacing w:before="0" w:after="283"/>
              <w:jc w:val="left"/>
              <w:rPr>
                <w:sz w:val="4"/>
                <w:szCs w:val="4"/>
              </w:rPr>
            </w:pPr>
            <w:r>
              <w:rPr>
                <w:sz w:val="4"/>
                <w:szCs w:val="4"/>
              </w:rPr>
            </w:r>
          </w:p>
        </w:tc>
        <w:tc>
          <w:tcPr>
            <w:tcW w:w="5905"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68" w:type="dxa"/>
            <w:tcBorders/>
            <w:vAlign w:val="center"/>
          </w:tcPr>
          <w:p>
            <w:pPr>
              <w:pStyle w:val="TableContents"/>
              <w:bidi w:val="0"/>
              <w:spacing w:before="0" w:after="283"/>
              <w:jc w:val="left"/>
              <w:rPr>
                <w:sz w:val="4"/>
                <w:szCs w:val="4"/>
              </w:rPr>
            </w:pPr>
            <w:r>
              <w:rPr>
                <w:sz w:val="4"/>
                <w:szCs w:val="4"/>
              </w:rPr>
            </w:r>
          </w:p>
        </w:tc>
        <w:tc>
          <w:tcPr>
            <w:tcW w:w="5905" w:type="dxa"/>
            <w:tcBorders/>
            <w:vAlign w:val="center"/>
          </w:tcPr>
          <w:p>
            <w:pPr>
              <w:pStyle w:val="TableContents"/>
              <w:bidi w:val="0"/>
              <w:spacing w:before="0" w:after="283"/>
              <w:jc w:val="left"/>
              <w:rPr>
                <w:sz w:val="20"/>
              </w:rPr>
            </w:pPr>
            <w:r>
              <w:rPr>
                <w:sz w:val="20"/>
              </w:rPr>
              <w:t>In the second quarter of 2025, the Company recorded a $5.6 million net gain on the final installment for the sale of refractories manufacturing assets in China.</w:t>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75" w:type="dxa"/>
            <w:gridSpan w:val="1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8"/>
        <w:gridCol w:w="5375"/>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424"/>
        <w:gridCol w:w="530"/>
        <w:gridCol w:w="575"/>
      </w:tblGrid>
      <w:tr>
        <w:trPr/>
        <w:tc>
          <w:tcPr>
            <w:tcW w:w="68" w:type="dxa"/>
            <w:tcBorders/>
            <w:vAlign w:val="center"/>
          </w:tcPr>
          <w:p>
            <w:pPr>
              <w:pStyle w:val="TableContents"/>
              <w:bidi w:val="0"/>
              <w:spacing w:before="0" w:after="283"/>
              <w:jc w:val="left"/>
              <w:rPr>
                <w:sz w:val="4"/>
                <w:szCs w:val="4"/>
              </w:rPr>
            </w:pPr>
            <w:r>
              <w:rPr>
                <w:sz w:val="4"/>
                <w:szCs w:val="4"/>
              </w:rPr>
            </w:r>
          </w:p>
        </w:tc>
        <w:tc>
          <w:tcPr>
            <w:tcW w:w="5375"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68" w:type="dxa"/>
            <w:tcBorders/>
            <w:vAlign w:val="center"/>
          </w:tcPr>
          <w:p>
            <w:pPr>
              <w:pStyle w:val="TableContents"/>
              <w:bidi w:val="0"/>
              <w:spacing w:before="0" w:after="283"/>
              <w:jc w:val="left"/>
              <w:rPr>
                <w:sz w:val="4"/>
                <w:szCs w:val="4"/>
              </w:rPr>
            </w:pPr>
            <w:r>
              <w:rPr>
                <w:sz w:val="4"/>
                <w:szCs w:val="4"/>
              </w:rPr>
            </w:r>
          </w:p>
        </w:tc>
        <w:tc>
          <w:tcPr>
            <w:tcW w:w="5375" w:type="dxa"/>
            <w:tcBorders/>
            <w:vAlign w:val="center"/>
          </w:tcPr>
          <w:p>
            <w:pPr>
              <w:pStyle w:val="TableContents"/>
              <w:bidi w:val="0"/>
              <w:spacing w:before="0" w:after="283"/>
              <w:jc w:val="left"/>
              <w:rPr>
                <w:sz w:val="20"/>
              </w:rPr>
            </w:pPr>
            <w:r>
              <w:rPr>
                <w:sz w:val="20"/>
              </w:rPr>
              <w:t>In the second quarter of 2025, the Company recorded a $5.8 million charge in restructuring and other items primarily for the write-down of assets and other charges relating to the consolidation of two facilities.</w:t>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75" w:type="dxa"/>
            <w:gridSpan w:val="1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8"/>
        <w:gridCol w:w="9085"/>
        <w:gridCol w:w="53"/>
        <w:gridCol w:w="53"/>
        <w:gridCol w:w="53"/>
        <w:gridCol w:w="53"/>
        <w:gridCol w:w="53"/>
        <w:gridCol w:w="53"/>
        <w:gridCol w:w="53"/>
        <w:gridCol w:w="53"/>
        <w:gridCol w:w="53"/>
        <w:gridCol w:w="53"/>
        <w:gridCol w:w="53"/>
        <w:gridCol w:w="53"/>
        <w:gridCol w:w="53"/>
        <w:gridCol w:w="53"/>
        <w:gridCol w:w="53"/>
        <w:gridCol w:w="53"/>
        <w:gridCol w:w="53"/>
        <w:gridCol w:w="53"/>
        <w:gridCol w:w="98"/>
      </w:tblGrid>
      <w:tr>
        <w:trPr/>
        <w:tc>
          <w:tcPr>
            <w:tcW w:w="68" w:type="dxa"/>
            <w:tcBorders/>
            <w:vAlign w:val="center"/>
          </w:tcPr>
          <w:p>
            <w:pPr>
              <w:pStyle w:val="TableContents"/>
              <w:bidi w:val="0"/>
              <w:spacing w:before="0" w:after="283"/>
              <w:jc w:val="left"/>
              <w:rPr>
                <w:sz w:val="4"/>
                <w:szCs w:val="4"/>
              </w:rPr>
            </w:pPr>
            <w:r>
              <w:rPr>
                <w:sz w:val="4"/>
                <w:szCs w:val="4"/>
              </w:rPr>
            </w:r>
          </w:p>
        </w:tc>
        <w:tc>
          <w:tcPr>
            <w:tcW w:w="9085"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r>
      <w:tr>
        <w:trPr/>
        <w:tc>
          <w:tcPr>
            <w:tcW w:w="68" w:type="dxa"/>
            <w:tcBorders/>
            <w:vAlign w:val="center"/>
          </w:tcPr>
          <w:p>
            <w:pPr>
              <w:pStyle w:val="TableContents"/>
              <w:bidi w:val="0"/>
              <w:spacing w:before="0" w:after="283"/>
              <w:jc w:val="left"/>
              <w:rPr>
                <w:sz w:val="4"/>
                <w:szCs w:val="4"/>
              </w:rPr>
            </w:pPr>
            <w:r>
              <w:rPr>
                <w:sz w:val="4"/>
                <w:szCs w:val="4"/>
              </w:rPr>
            </w:r>
          </w:p>
        </w:tc>
        <w:tc>
          <w:tcPr>
            <w:tcW w:w="9085" w:type="dxa"/>
            <w:tcBorders/>
            <w:vAlign w:val="center"/>
          </w:tcPr>
          <w:p>
            <w:pPr>
              <w:pStyle w:val="TableContents"/>
              <w:bidi w:val="0"/>
              <w:spacing w:before="0" w:after="283"/>
              <w:jc w:val="left"/>
              <w:rPr>
                <w:sz w:val="20"/>
              </w:rPr>
            </w:pPr>
            <w:r>
              <w:rPr>
                <w:sz w:val="20"/>
              </w:rPr>
              <w:t>In the first quarter of 2025, the Company recorded a $215 million provision to establish a reserve for estimated costs to fund a trust to resolve all current and future talc-related settlements as well as fund the bankruptcy of BMI Oldco Inc.’s (f/k/a Barretts Minerals Inc.) (“Oldco”) and Barretts Ventures Texas LLC, and related litigation costs. Included in this provision is $30 million of additional debtor-in-possession financing by Minerals Technologies Investments LLC to the Debtors, which was committed in Q2 2025. In addition, the Company initiated a cost savings program and recorded a $5.5 million charge relating to severance and other costs in the first quarter of 2025. The Company incurred litigation and settlement expenses of $4.9 million, $8.8 million, and $4.2 million for the quarterly periods ending July 5, 2026, April 5, 2026, and June 29, 2025, respectively, in connection with the bankruptcy of Oldco and lawsuits related to talc products sold by Oldco.</w:t>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75" w:type="dxa"/>
            <w:gridSpan w:val="1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8"/>
        <w:gridCol w:w="10137"/>
      </w:tblGrid>
      <w:tr>
        <w:trPr/>
        <w:tc>
          <w:tcPr>
            <w:tcW w:w="68" w:type="dxa"/>
            <w:tcBorders/>
            <w:vAlign w:val="center"/>
          </w:tcPr>
          <w:p>
            <w:pPr>
              <w:pStyle w:val="TableContents"/>
              <w:bidi w:val="0"/>
              <w:spacing w:before="0" w:after="283"/>
              <w:jc w:val="left"/>
              <w:rPr>
                <w:sz w:val="4"/>
                <w:szCs w:val="4"/>
              </w:rPr>
            </w:pPr>
            <w:r>
              <w:rPr>
                <w:sz w:val="4"/>
                <w:szCs w:val="4"/>
              </w:rPr>
            </w:r>
          </w:p>
        </w:tc>
        <w:tc>
          <w:tcPr>
            <w:tcW w:w="10137" w:type="dxa"/>
            <w:tcBorders/>
            <w:vAlign w:val="center"/>
          </w:tcPr>
          <w:p>
            <w:pPr>
              <w:pStyle w:val="TableContents"/>
              <w:bidi w:val="0"/>
              <w:spacing w:before="0" w:after="283"/>
              <w:jc w:val="left"/>
              <w:rPr>
                <w:sz w:val="4"/>
                <w:szCs w:val="4"/>
              </w:rPr>
            </w:pPr>
            <w:r>
              <w:rPr>
                <w:sz w:val="4"/>
                <w:szCs w:val="4"/>
              </w:rPr>
            </w:r>
          </w:p>
        </w:tc>
      </w:tr>
      <w:tr>
        <w:trPr/>
        <w:tc>
          <w:tcPr>
            <w:tcW w:w="68" w:type="dxa"/>
            <w:tcBorders/>
            <w:vAlign w:val="center"/>
          </w:tcPr>
          <w:p>
            <w:pPr>
              <w:pStyle w:val="TableContents"/>
              <w:bidi w:val="0"/>
              <w:spacing w:before="0" w:after="283"/>
              <w:jc w:val="left"/>
              <w:rPr>
                <w:sz w:val="4"/>
                <w:szCs w:val="4"/>
              </w:rPr>
            </w:pPr>
            <w:r>
              <w:rPr>
                <w:sz w:val="4"/>
                <w:szCs w:val="4"/>
              </w:rPr>
            </w:r>
          </w:p>
        </w:tc>
        <w:tc>
          <w:tcPr>
            <w:tcW w:w="10137" w:type="dxa"/>
            <w:tcBorders/>
            <w:vAlign w:val="center"/>
          </w:tcPr>
          <w:p>
            <w:pPr>
              <w:pStyle w:val="TableContents"/>
              <w:bidi w:val="0"/>
              <w:spacing w:before="0" w:after="283"/>
              <w:jc w:val="left"/>
              <w:rPr/>
            </w:pPr>
            <w:r>
              <w:rPr/>
              <w:t>In the second quarter of 2026, the Company filed a Plan of Reorganization in the Chapter 11 cases of its subsidiary BMI Oldco Inc. which would present a viable, efficient, and advantageous resolution of these Chapter 11 cases. Accordingly, the Company recorded a charge of $290 million to increase the Company's reserve for estimated costs.</w:t>
            </w:r>
          </w:p>
        </w:tc>
      </w:tr>
    </w:tbl>
    <w:p>
      <w:pPr>
        <w:pStyle w:val="TextBody"/>
        <w:bidi w:val="0"/>
        <w:spacing w:before="0" w:after="0"/>
        <w:jc w:val="left"/>
        <w:rPr/>
      </w:pPr>
      <w:r>
        <w:rPr/>
        <w:t> </w:t>
      </w:r>
    </w:p>
    <w:tbl>
      <w:tblPr>
        <w:tblW w:w="5413" w:type="dxa"/>
        <w:jc w:val="left"/>
        <w:tblInd w:w="0" w:type="dxa"/>
        <w:tblLayout w:type="fixed"/>
        <w:tblCellMar>
          <w:top w:w="0" w:type="dxa"/>
          <w:left w:w="0" w:type="dxa"/>
          <w:bottom w:w="0" w:type="dxa"/>
          <w:right w:w="0" w:type="dxa"/>
        </w:tblCellMar>
      </w:tblPr>
      <w:tblGrid>
        <w:gridCol w:w="68"/>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424"/>
        <w:gridCol w:w="530"/>
        <w:gridCol w:w="530"/>
        <w:gridCol w:w="575"/>
      </w:tblGrid>
      <w:tr>
        <w:trPr/>
        <w:tc>
          <w:tcPr>
            <w:tcW w:w="68"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68"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75" w:type="dxa"/>
            <w:gridSpan w:val="10"/>
            <w:tcBorders/>
            <w:vAlign w:val="center"/>
          </w:tcPr>
          <w:p>
            <w:pPr>
              <w:pStyle w:val="TableContents"/>
              <w:bidi w:val="0"/>
              <w:spacing w:before="0" w:after="283"/>
              <w:jc w:val="left"/>
              <w:rPr>
                <w:sz w:val="4"/>
                <w:szCs w:val="4"/>
              </w:rPr>
            </w:pPr>
            <w:r>
              <w:rPr>
                <w:sz w:val="4"/>
                <w:szCs w:val="4"/>
              </w:rPr>
            </w:r>
          </w:p>
        </w:tc>
      </w:tr>
    </w:tbl>
    <w:tbl>
      <w:tblPr>
        <w:tblW w:w="5943" w:type="dxa"/>
        <w:jc w:val="left"/>
        <w:tblInd w:w="0" w:type="dxa"/>
        <w:tblLayout w:type="fixed"/>
        <w:tblCellMar>
          <w:top w:w="0" w:type="dxa"/>
          <w:left w:w="0" w:type="dxa"/>
          <w:bottom w:w="0" w:type="dxa"/>
          <w:right w:w="0" w:type="dxa"/>
        </w:tblCellMar>
      </w:tblPr>
      <w:tblGrid>
        <w:gridCol w:w="68"/>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424"/>
        <w:gridCol w:w="530"/>
        <w:gridCol w:w="530"/>
        <w:gridCol w:w="530"/>
        <w:gridCol w:w="575"/>
      </w:tblGrid>
      <w:tr>
        <w:trPr/>
        <w:tc>
          <w:tcPr>
            <w:tcW w:w="68"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68"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75" w:type="dxa"/>
            <w:gridSpan w:val="10"/>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171"/>
        <w:gridCol w:w="3681"/>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424"/>
        <w:gridCol w:w="530"/>
        <w:gridCol w:w="530"/>
        <w:gridCol w:w="530"/>
        <w:gridCol w:w="530"/>
        <w:gridCol w:w="576"/>
      </w:tblGrid>
      <w:tr>
        <w:trPr/>
        <w:tc>
          <w:tcPr>
            <w:tcW w:w="171" w:type="dxa"/>
            <w:tcBorders/>
            <w:vAlign w:val="center"/>
          </w:tcPr>
          <w:p>
            <w:pPr>
              <w:pStyle w:val="TableContents"/>
              <w:bidi w:val="0"/>
              <w:spacing w:before="0" w:after="283"/>
              <w:jc w:val="left"/>
              <w:rPr>
                <w:sz w:val="4"/>
                <w:szCs w:val="4"/>
              </w:rPr>
            </w:pPr>
            <w:r>
              <w:rPr>
                <w:sz w:val="4"/>
                <w:szCs w:val="4"/>
              </w:rPr>
            </w:r>
          </w:p>
        </w:tc>
        <w:tc>
          <w:tcPr>
            <w:tcW w:w="3681"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71" w:type="dxa"/>
            <w:tcBorders/>
            <w:vAlign w:val="center"/>
          </w:tcPr>
          <w:p>
            <w:pPr>
              <w:pStyle w:val="TableContents"/>
              <w:bidi w:val="0"/>
              <w:spacing w:before="0" w:after="283"/>
              <w:jc w:val="center"/>
              <w:rPr>
                <w:sz w:val="20"/>
              </w:rPr>
            </w:pPr>
            <w:r>
              <w:rPr>
                <w:sz w:val="20"/>
              </w:rPr>
              <w:t>3)</w:t>
            </w:r>
          </w:p>
        </w:tc>
        <w:tc>
          <w:tcPr>
            <w:tcW w:w="3681" w:type="dxa"/>
            <w:tcBorders/>
            <w:vAlign w:val="center"/>
          </w:tcPr>
          <w:p>
            <w:pPr>
              <w:pStyle w:val="TableContents"/>
              <w:bidi w:val="0"/>
              <w:spacing w:before="0" w:after="283"/>
              <w:jc w:val="left"/>
              <w:rPr>
                <w:sz w:val="20"/>
              </w:rPr>
            </w:pPr>
            <w:r>
              <w:rPr>
                <w:sz w:val="20"/>
              </w:rPr>
              <w:t>Free cash flow is defined as cash flow from operations less capital expenditures. The following is a presentation of the Company's non-GAAP free cash flow for the quarterly periods ended July 5, 2026, April 5, 2026, and June 29, 2025, and the six month periods ended July 5, 2026 and June 29, 2025 and a reconciliation to cash flow from operations for such periods. The Company's management believes this non-GAAP measure provides meaningful supplemental information as management uses this measure to evaluate the Company's ability to maintain capital assets, satisfy current and future obligations, repurchase stock, pay dividends, and fund future business opportunities. Free cash flow is not a measure of cash available for discretionary expenditures since the Company has certain non-discretionary obligations such as debt service that are not deducted from the measure. The Company's definition of free cash flow may not be comparable to similarly titled measures reported by other companies.</w:t>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76" w:type="dxa"/>
            <w:gridSpan w:val="1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
        <w:gridCol w:w="4513"/>
        <w:gridCol w:w="170"/>
        <w:gridCol w:w="654"/>
        <w:gridCol w:w="90"/>
        <w:gridCol w:w="90"/>
        <w:gridCol w:w="170"/>
        <w:gridCol w:w="751"/>
        <w:gridCol w:w="90"/>
        <w:gridCol w:w="90"/>
        <w:gridCol w:w="170"/>
        <w:gridCol w:w="835"/>
        <w:gridCol w:w="90"/>
        <w:gridCol w:w="90"/>
        <w:gridCol w:w="170"/>
        <w:gridCol w:w="654"/>
        <w:gridCol w:w="90"/>
        <w:gridCol w:w="90"/>
        <w:gridCol w:w="170"/>
        <w:gridCol w:w="835"/>
        <w:gridCol w:w="138"/>
      </w:tblGrid>
      <w:tr>
        <w:trPr/>
        <w:tc>
          <w:tcPr>
            <w:tcW w:w="255" w:type="dxa"/>
            <w:tcBorders/>
            <w:vAlign w:val="center"/>
          </w:tcPr>
          <w:p>
            <w:pPr>
              <w:pStyle w:val="TableContents"/>
              <w:bidi w:val="0"/>
              <w:spacing w:before="0" w:after="283"/>
              <w:jc w:val="left"/>
              <w:rPr>
                <w:sz w:val="4"/>
                <w:szCs w:val="4"/>
              </w:rPr>
            </w:pPr>
            <w:r>
              <w:rPr>
                <w:sz w:val="4"/>
                <w:szCs w:val="4"/>
              </w:rPr>
            </w:r>
          </w:p>
        </w:tc>
        <w:tc>
          <w:tcPr>
            <w:tcW w:w="45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r>
      <w:tr>
        <w:trPr/>
        <w:tc>
          <w:tcPr>
            <w:tcW w:w="255" w:type="dxa"/>
            <w:tcBorders/>
            <w:vAlign w:val="center"/>
          </w:tcPr>
          <w:p>
            <w:pPr>
              <w:pStyle w:val="TableContents"/>
              <w:bidi w:val="0"/>
              <w:spacing w:before="0" w:after="283"/>
              <w:jc w:val="left"/>
              <w:rPr/>
            </w:pPr>
            <w:r>
              <w:rPr/>
              <w:t> </w:t>
            </w:r>
          </w:p>
        </w:tc>
        <w:tc>
          <w:tcPr>
            <w:tcW w:w="4513" w:type="dxa"/>
            <w:tcBorders/>
            <w:vAlign w:val="center"/>
          </w:tcPr>
          <w:p>
            <w:pPr>
              <w:pStyle w:val="TableContents"/>
              <w:bidi w:val="0"/>
              <w:spacing w:before="0" w:after="283"/>
              <w:jc w:val="left"/>
              <w:rPr/>
            </w:pPr>
            <w:r>
              <w:rPr/>
              <w:t> </w:t>
            </w:r>
          </w:p>
        </w:tc>
        <w:tc>
          <w:tcPr>
            <w:tcW w:w="3200" w:type="dxa"/>
            <w:gridSpan w:val="11"/>
            <w:tcBorders>
              <w:bottom w:val="single" w:sz="2" w:space="0" w:color="000000"/>
            </w:tcBorders>
            <w:tcMar>
              <w:bottom w:w="28" w:type="dxa"/>
            </w:tcMar>
            <w:vAlign w:val="center"/>
          </w:tcPr>
          <w:p>
            <w:pPr>
              <w:pStyle w:val="TableContents"/>
              <w:bidi w:val="0"/>
              <w:spacing w:before="0" w:after="283"/>
              <w:jc w:val="center"/>
              <w:rPr>
                <w:b/>
              </w:rPr>
            </w:pPr>
            <w:r>
              <w:rPr>
                <w:b/>
              </w:rPr>
              <w:t>Quarter Ended</w:t>
            </w:r>
          </w:p>
        </w:tc>
        <w:tc>
          <w:tcPr>
            <w:tcW w:w="90" w:type="dxa"/>
            <w:tcBorders/>
            <w:vAlign w:val="center"/>
          </w:tcPr>
          <w:p>
            <w:pPr>
              <w:pStyle w:val="TableContents"/>
              <w:bidi w:val="0"/>
              <w:spacing w:before="0" w:after="283"/>
              <w:jc w:val="left"/>
              <w:rPr/>
            </w:pPr>
            <w:r>
              <w:rPr/>
              <w:t> </w:t>
            </w:r>
          </w:p>
        </w:tc>
        <w:tc>
          <w:tcPr>
            <w:tcW w:w="2147" w:type="dxa"/>
            <w:gridSpan w:val="7"/>
            <w:tcBorders>
              <w:bottom w:val="single" w:sz="2" w:space="0" w:color="000000"/>
            </w:tcBorders>
            <w:tcMar>
              <w:bottom w:w="28" w:type="dxa"/>
            </w:tcMar>
            <w:vAlign w:val="center"/>
          </w:tcPr>
          <w:p>
            <w:pPr>
              <w:pStyle w:val="TableContents"/>
              <w:bidi w:val="0"/>
              <w:spacing w:before="0" w:after="283"/>
              <w:jc w:val="center"/>
              <w:rPr>
                <w:b/>
              </w:rPr>
            </w:pPr>
            <w:r>
              <w:rPr>
                <w:b/>
              </w:rPr>
              <w:t>Six Months Ended</w:t>
            </w:r>
          </w:p>
        </w:tc>
      </w:tr>
      <w:tr>
        <w:trPr/>
        <w:tc>
          <w:tcPr>
            <w:tcW w:w="255" w:type="dxa"/>
            <w:tcBorders/>
            <w:vAlign w:val="center"/>
          </w:tcPr>
          <w:p>
            <w:pPr>
              <w:pStyle w:val="TableContents"/>
              <w:bidi w:val="0"/>
              <w:spacing w:before="0" w:after="283"/>
              <w:jc w:val="left"/>
              <w:rPr/>
            </w:pPr>
            <w:r>
              <w:rPr/>
              <w:t> </w:t>
            </w:r>
          </w:p>
        </w:tc>
        <w:tc>
          <w:tcPr>
            <w:tcW w:w="4513" w:type="dxa"/>
            <w:tcBorders/>
            <w:vAlign w:val="center"/>
          </w:tcPr>
          <w:p>
            <w:pPr>
              <w:pStyle w:val="TableContents"/>
              <w:bidi w:val="0"/>
              <w:spacing w:before="0" w:after="283"/>
              <w:jc w:val="left"/>
              <w:rPr>
                <w:b/>
              </w:rPr>
            </w:pPr>
            <w:r>
              <w:rPr>
                <w:b/>
              </w:rPr>
              <w:t>(in millions of dollars)</w:t>
            </w:r>
          </w:p>
        </w:tc>
        <w:tc>
          <w:tcPr>
            <w:tcW w:w="170"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center"/>
              <w:rPr>
                <w:b/>
              </w:rPr>
            </w:pPr>
            <w:r>
              <w:rPr>
                <w:b/>
              </w:rPr>
              <w:t>Jul. 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center"/>
              <w:rPr>
                <w:b/>
              </w:rPr>
            </w:pPr>
            <w:r>
              <w:rPr>
                <w:b/>
              </w:rPr>
              <w:t>Apr. 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center"/>
              <w:rPr>
                <w:b/>
              </w:rPr>
            </w:pPr>
            <w:r>
              <w:rPr>
                <w:b/>
              </w:rPr>
              <w:t>Jun. 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center"/>
              <w:rPr>
                <w:b/>
              </w:rPr>
            </w:pPr>
            <w:r>
              <w:rPr>
                <w:b/>
              </w:rPr>
              <w:t>Jul. 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center"/>
              <w:rPr>
                <w:b/>
              </w:rPr>
            </w:pPr>
            <w:r>
              <w:rPr>
                <w:b/>
              </w:rPr>
              <w:t>Jun. 29,</w:t>
            </w:r>
          </w:p>
        </w:tc>
        <w:tc>
          <w:tcPr>
            <w:tcW w:w="138" w:type="dxa"/>
            <w:tcBorders/>
            <w:vAlign w:val="center"/>
          </w:tcPr>
          <w:p>
            <w:pPr>
              <w:pStyle w:val="TableContents"/>
              <w:bidi w:val="0"/>
              <w:spacing w:before="0" w:after="283"/>
              <w:jc w:val="left"/>
              <w:rPr/>
            </w:pPr>
            <w:r>
              <w:rPr/>
              <w:t> </w:t>
            </w:r>
          </w:p>
        </w:tc>
      </w:tr>
      <w:tr>
        <w:trPr/>
        <w:tc>
          <w:tcPr>
            <w:tcW w:w="255" w:type="dxa"/>
            <w:tcBorders/>
            <w:vAlign w:val="center"/>
          </w:tcPr>
          <w:p>
            <w:pPr>
              <w:pStyle w:val="TableContents"/>
              <w:bidi w:val="0"/>
              <w:spacing w:before="0" w:after="283"/>
              <w:jc w:val="left"/>
              <w:rPr/>
            </w:pPr>
            <w:r>
              <w:rPr/>
              <w:t> </w:t>
            </w:r>
          </w:p>
        </w:tc>
        <w:tc>
          <w:tcPr>
            <w:tcW w:w="4513"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654" w:type="dxa"/>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51" w:type="dxa"/>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5"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654" w:type="dxa"/>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5"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38"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5" w:type="dxa"/>
            <w:tcBorders/>
            <w:shd w:fill="CCEEFF" w:val="clear"/>
            <w:vAlign w:val="center"/>
          </w:tcPr>
          <w:p>
            <w:pPr>
              <w:pStyle w:val="TableContents"/>
              <w:bidi w:val="0"/>
              <w:spacing w:before="0" w:after="283"/>
              <w:jc w:val="left"/>
              <w:rPr/>
            </w:pPr>
            <w:r>
              <w:rPr/>
              <w:t> </w:t>
            </w:r>
          </w:p>
        </w:tc>
        <w:tc>
          <w:tcPr>
            <w:tcW w:w="4513" w:type="dxa"/>
            <w:tcBorders/>
            <w:shd w:fill="CCEEFF" w:val="clear"/>
            <w:vAlign w:val="center"/>
          </w:tcPr>
          <w:p>
            <w:pPr>
              <w:pStyle w:val="TableContents"/>
              <w:bidi w:val="0"/>
              <w:spacing w:before="0" w:after="283"/>
              <w:jc w:val="left"/>
              <w:rPr/>
            </w:pPr>
            <w:r>
              <w:rPr/>
              <w:t>Cash flow from operations</w:t>
            </w:r>
          </w:p>
        </w:tc>
        <w:tc>
          <w:tcPr>
            <w:tcW w:w="170" w:type="dxa"/>
            <w:tcBorders/>
            <w:shd w:fill="CCEEFF" w:val="clear"/>
            <w:vAlign w:val="center"/>
          </w:tcPr>
          <w:p>
            <w:pPr>
              <w:pStyle w:val="TableContents"/>
              <w:bidi w:val="0"/>
              <w:spacing w:before="0" w:after="283"/>
              <w:jc w:val="left"/>
              <w:rPr/>
            </w:pPr>
            <w:r>
              <w:rPr/>
              <w:t>$</w:t>
            </w:r>
          </w:p>
        </w:tc>
        <w:tc>
          <w:tcPr>
            <w:tcW w:w="654" w:type="dxa"/>
            <w:tcBorders/>
            <w:shd w:fill="CCEEFF" w:val="clear"/>
            <w:vAlign w:val="center"/>
          </w:tcPr>
          <w:p>
            <w:pPr>
              <w:pStyle w:val="TableContents"/>
              <w:bidi w:val="0"/>
              <w:spacing w:before="0" w:after="283"/>
              <w:jc w:val="right"/>
              <w:rPr/>
            </w:pPr>
            <w:r>
              <w:rPr/>
              <w:t>63.0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51" w:type="dxa"/>
            <w:tcBorders/>
            <w:shd w:fill="CCEEFF" w:val="clear"/>
            <w:vAlign w:val="center"/>
          </w:tcPr>
          <w:p>
            <w:pPr>
              <w:pStyle w:val="TableContents"/>
              <w:bidi w:val="0"/>
              <w:spacing w:before="0" w:after="283"/>
              <w:jc w:val="right"/>
              <w:rPr/>
            </w:pPr>
            <w:r>
              <w:rPr/>
              <w:t>32.1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5" w:type="dxa"/>
            <w:tcBorders/>
            <w:shd w:fill="CCEEFF" w:val="clear"/>
            <w:vAlign w:val="center"/>
          </w:tcPr>
          <w:p>
            <w:pPr>
              <w:pStyle w:val="TableContents"/>
              <w:bidi w:val="0"/>
              <w:spacing w:before="0" w:after="283"/>
              <w:jc w:val="right"/>
              <w:rPr/>
            </w:pPr>
            <w:r>
              <w:rPr/>
              <w:t>62.9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54" w:type="dxa"/>
            <w:tcBorders/>
            <w:shd w:fill="CCEEFF" w:val="clear"/>
            <w:vAlign w:val="center"/>
          </w:tcPr>
          <w:p>
            <w:pPr>
              <w:pStyle w:val="TableContents"/>
              <w:bidi w:val="0"/>
              <w:spacing w:before="0" w:after="283"/>
              <w:jc w:val="right"/>
              <w:rPr/>
            </w:pPr>
            <w:r>
              <w:rPr/>
              <w:t>95.1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5" w:type="dxa"/>
            <w:tcBorders/>
            <w:shd w:fill="CCEEFF" w:val="clear"/>
            <w:vAlign w:val="center"/>
          </w:tcPr>
          <w:p>
            <w:pPr>
              <w:pStyle w:val="TableContents"/>
              <w:bidi w:val="0"/>
              <w:spacing w:before="0" w:after="283"/>
              <w:jc w:val="right"/>
              <w:rPr/>
            </w:pPr>
            <w:r>
              <w:rPr/>
              <w:t>58.5</w:t>
            </w:r>
          </w:p>
        </w:tc>
        <w:tc>
          <w:tcPr>
            <w:tcW w:w="138" w:type="dxa"/>
            <w:tcBorders/>
            <w:shd w:fill="CCEEFF" w:val="clear"/>
            <w:vAlign w:val="center"/>
          </w:tcPr>
          <w:p>
            <w:pPr>
              <w:pStyle w:val="TableContents"/>
              <w:bidi w:val="0"/>
              <w:spacing w:before="0" w:after="283"/>
              <w:jc w:val="left"/>
              <w:rPr/>
            </w:pPr>
            <w:r>
              <w:rPr/>
              <w:t> </w:t>
            </w:r>
          </w:p>
        </w:tc>
      </w:tr>
      <w:tr>
        <w:trPr/>
        <w:tc>
          <w:tcPr>
            <w:tcW w:w="255" w:type="dxa"/>
            <w:tcBorders/>
            <w:vAlign w:val="center"/>
          </w:tcPr>
          <w:p>
            <w:pPr>
              <w:pStyle w:val="TableContents"/>
              <w:bidi w:val="0"/>
              <w:spacing w:before="0" w:after="283"/>
              <w:jc w:val="left"/>
              <w:rPr/>
            </w:pPr>
            <w:r>
              <w:rPr/>
              <w:t> </w:t>
            </w:r>
          </w:p>
        </w:tc>
        <w:tc>
          <w:tcPr>
            <w:tcW w:w="4513" w:type="dxa"/>
            <w:tcBorders/>
            <w:vAlign w:val="center"/>
          </w:tcPr>
          <w:p>
            <w:pPr>
              <w:pStyle w:val="TableContents"/>
              <w:bidi w:val="0"/>
              <w:spacing w:before="0" w:after="283"/>
              <w:jc w:val="left"/>
              <w:rPr/>
            </w:pPr>
            <w:r>
              <w:rPr/>
              <w:t>Capital expenditures</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654" w:type="dxa"/>
            <w:tcBorders>
              <w:bottom w:val="single" w:sz="2" w:space="0" w:color="000000"/>
            </w:tcBorders>
            <w:tcMar>
              <w:bottom w:w="28" w:type="dxa"/>
            </w:tcMar>
            <w:vAlign w:val="center"/>
          </w:tcPr>
          <w:p>
            <w:pPr>
              <w:pStyle w:val="TableContents"/>
              <w:bidi w:val="0"/>
              <w:spacing w:before="0" w:after="283"/>
              <w:jc w:val="right"/>
              <w:rPr/>
            </w:pPr>
            <w:r>
              <w:rPr/>
              <w:t>27.2</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51" w:type="dxa"/>
            <w:tcBorders>
              <w:bottom w:val="single" w:sz="2" w:space="0" w:color="000000"/>
            </w:tcBorders>
            <w:tcMar>
              <w:bottom w:w="28" w:type="dxa"/>
            </w:tcMar>
            <w:vAlign w:val="center"/>
          </w:tcPr>
          <w:p>
            <w:pPr>
              <w:pStyle w:val="TableContents"/>
              <w:bidi w:val="0"/>
              <w:spacing w:before="0" w:after="283"/>
              <w:jc w:val="right"/>
              <w:rPr/>
            </w:pPr>
            <w:r>
              <w:rPr/>
              <w:t>23.1</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5" w:type="dxa"/>
            <w:tcBorders>
              <w:bottom w:val="single" w:sz="2" w:space="0" w:color="000000"/>
            </w:tcBorders>
            <w:tcMar>
              <w:bottom w:w="28" w:type="dxa"/>
            </w:tcMar>
            <w:vAlign w:val="center"/>
          </w:tcPr>
          <w:p>
            <w:pPr>
              <w:pStyle w:val="TableContents"/>
              <w:bidi w:val="0"/>
              <w:spacing w:before="0" w:after="283"/>
              <w:jc w:val="right"/>
              <w:rPr/>
            </w:pPr>
            <w:r>
              <w:rPr/>
              <w:t>29.1</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654" w:type="dxa"/>
            <w:tcBorders>
              <w:bottom w:val="single" w:sz="2" w:space="0" w:color="000000"/>
            </w:tcBorders>
            <w:tcMar>
              <w:bottom w:w="28" w:type="dxa"/>
            </w:tcMar>
            <w:vAlign w:val="center"/>
          </w:tcPr>
          <w:p>
            <w:pPr>
              <w:pStyle w:val="TableContents"/>
              <w:bidi w:val="0"/>
              <w:spacing w:before="0" w:after="283"/>
              <w:jc w:val="right"/>
              <w:rPr/>
            </w:pPr>
            <w:r>
              <w:rPr/>
              <w:t>50.3</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5" w:type="dxa"/>
            <w:tcBorders>
              <w:bottom w:val="single" w:sz="2" w:space="0" w:color="000000"/>
            </w:tcBorders>
            <w:tcMar>
              <w:bottom w:w="28" w:type="dxa"/>
            </w:tcMar>
            <w:vAlign w:val="center"/>
          </w:tcPr>
          <w:p>
            <w:pPr>
              <w:pStyle w:val="TableContents"/>
              <w:bidi w:val="0"/>
              <w:spacing w:before="0" w:after="283"/>
              <w:jc w:val="right"/>
              <w:rPr/>
            </w:pPr>
            <w:r>
              <w:rPr/>
              <w:t>47.4</w:t>
            </w:r>
          </w:p>
        </w:tc>
        <w:tc>
          <w:tcPr>
            <w:tcW w:w="138"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5" w:type="dxa"/>
            <w:tcBorders/>
            <w:shd w:fill="CCEEFF" w:val="clear"/>
            <w:vAlign w:val="center"/>
          </w:tcPr>
          <w:p>
            <w:pPr>
              <w:pStyle w:val="TableContents"/>
              <w:bidi w:val="0"/>
              <w:spacing w:before="0" w:after="283"/>
              <w:ind w:left="0" w:right="0" w:firstLine="150"/>
              <w:jc w:val="left"/>
              <w:rPr/>
            </w:pPr>
            <w:r>
              <w:rPr/>
              <w:t> </w:t>
            </w:r>
          </w:p>
        </w:tc>
        <w:tc>
          <w:tcPr>
            <w:tcW w:w="4513" w:type="dxa"/>
            <w:tcBorders/>
            <w:shd w:fill="CCEEFF" w:val="clear"/>
            <w:vAlign w:val="center"/>
          </w:tcPr>
          <w:p>
            <w:pPr>
              <w:pStyle w:val="TableContents"/>
              <w:bidi w:val="0"/>
              <w:spacing w:before="0" w:after="283"/>
              <w:jc w:val="left"/>
              <w:rPr/>
            </w:pPr>
            <w:r>
              <w:rPr/>
              <w:t xml:space="preserve">Free cash flow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654" w:type="dxa"/>
            <w:tcBorders>
              <w:bottom w:val="single" w:sz="2" w:space="0" w:color="000000"/>
            </w:tcBorders>
            <w:shd w:fill="CCEEFF" w:val="clear"/>
            <w:tcMar>
              <w:bottom w:w="28" w:type="dxa"/>
            </w:tcMar>
            <w:vAlign w:val="center"/>
          </w:tcPr>
          <w:p>
            <w:pPr>
              <w:pStyle w:val="TableContents"/>
              <w:bidi w:val="0"/>
              <w:spacing w:before="0" w:after="283"/>
              <w:jc w:val="right"/>
              <w:rPr/>
            </w:pPr>
            <w:r>
              <w:rPr/>
              <w:t>35.8</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283"/>
              <w:jc w:val="right"/>
              <w:rPr/>
            </w:pPr>
            <w:r>
              <w:rPr/>
              <w:t>9.0</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835" w:type="dxa"/>
            <w:tcBorders>
              <w:bottom w:val="single" w:sz="2" w:space="0" w:color="000000"/>
            </w:tcBorders>
            <w:shd w:fill="CCEEFF" w:val="clear"/>
            <w:tcMar>
              <w:bottom w:w="28" w:type="dxa"/>
            </w:tcMar>
            <w:vAlign w:val="center"/>
          </w:tcPr>
          <w:p>
            <w:pPr>
              <w:pStyle w:val="TableContents"/>
              <w:bidi w:val="0"/>
              <w:spacing w:before="0" w:after="283"/>
              <w:jc w:val="right"/>
              <w:rPr/>
            </w:pPr>
            <w:r>
              <w:rPr/>
              <w:t>33.8</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654" w:type="dxa"/>
            <w:tcBorders>
              <w:bottom w:val="single" w:sz="2" w:space="0" w:color="000000"/>
            </w:tcBorders>
            <w:shd w:fill="CCEEFF" w:val="clear"/>
            <w:tcMar>
              <w:bottom w:w="28" w:type="dxa"/>
            </w:tcMar>
            <w:vAlign w:val="center"/>
          </w:tcPr>
          <w:p>
            <w:pPr>
              <w:pStyle w:val="TableContents"/>
              <w:bidi w:val="0"/>
              <w:spacing w:before="0" w:after="283"/>
              <w:jc w:val="right"/>
              <w:rPr/>
            </w:pPr>
            <w:r>
              <w:rPr/>
              <w:t>44.8</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835" w:type="dxa"/>
            <w:tcBorders>
              <w:bottom w:val="single" w:sz="2" w:space="0" w:color="000000"/>
            </w:tcBorders>
            <w:shd w:fill="CCEEFF" w:val="clear"/>
            <w:tcMar>
              <w:bottom w:w="28" w:type="dxa"/>
            </w:tcMar>
            <w:vAlign w:val="center"/>
          </w:tcPr>
          <w:p>
            <w:pPr>
              <w:pStyle w:val="TableContents"/>
              <w:bidi w:val="0"/>
              <w:spacing w:before="0" w:after="283"/>
              <w:jc w:val="right"/>
              <w:rPr/>
            </w:pPr>
            <w:r>
              <w:rPr/>
              <w:t>11.1</w:t>
            </w:r>
          </w:p>
        </w:tc>
        <w:tc>
          <w:tcPr>
            <w:tcW w:w="13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55" w:type="dxa"/>
            <w:tcBorders/>
            <w:vAlign w:val="center"/>
          </w:tcPr>
          <w:p>
            <w:pPr>
              <w:pStyle w:val="TableContents"/>
              <w:bidi w:val="0"/>
              <w:spacing w:before="0" w:after="283"/>
              <w:jc w:val="left"/>
              <w:rPr/>
            </w:pPr>
            <w:r>
              <w:rPr/>
              <w:t> </w:t>
            </w:r>
          </w:p>
        </w:tc>
        <w:tc>
          <w:tcPr>
            <w:tcW w:w="4513"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r>
      <w:tr>
        <w:trPr/>
        <w:tc>
          <w:tcPr>
            <w:tcW w:w="255" w:type="dxa"/>
            <w:tcBorders/>
            <w:shd w:fill="CCEEFF" w:val="clear"/>
            <w:vAlign w:val="center"/>
          </w:tcPr>
          <w:p>
            <w:pPr>
              <w:pStyle w:val="TableContents"/>
              <w:bidi w:val="0"/>
              <w:spacing w:before="0" w:after="283"/>
              <w:jc w:val="left"/>
              <w:rPr/>
            </w:pPr>
            <w:r>
              <w:rPr/>
              <w:t> </w:t>
            </w:r>
          </w:p>
        </w:tc>
        <w:tc>
          <w:tcPr>
            <w:tcW w:w="4513" w:type="dxa"/>
            <w:tcBorders/>
            <w:shd w:fill="CCEEFF" w:val="clear"/>
            <w:vAlign w:val="center"/>
          </w:tcPr>
          <w:p>
            <w:pPr>
              <w:pStyle w:val="TableContents"/>
              <w:bidi w:val="0"/>
              <w:spacing w:before="0" w:after="283"/>
              <w:jc w:val="left"/>
              <w:rPr/>
            </w:pPr>
            <w:r>
              <w:rPr/>
              <w:t>Depreciation, depletion, and amortization expense</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54" w:type="dxa"/>
            <w:tcBorders>
              <w:bottom w:val="double" w:sz="6" w:space="0" w:color="000000"/>
            </w:tcBorders>
            <w:shd w:fill="CCEEFF" w:val="clear"/>
            <w:tcMar>
              <w:bottom w:w="28" w:type="dxa"/>
            </w:tcMar>
            <w:vAlign w:val="center"/>
          </w:tcPr>
          <w:p>
            <w:pPr>
              <w:pStyle w:val="TableContents"/>
              <w:bidi w:val="0"/>
              <w:spacing w:before="0" w:after="283"/>
              <w:jc w:val="right"/>
              <w:rPr/>
            </w:pPr>
            <w:r>
              <w:rPr/>
              <w:t>23.5</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1" w:type="dxa"/>
            <w:tcBorders>
              <w:bottom w:val="double" w:sz="6" w:space="0" w:color="000000"/>
            </w:tcBorders>
            <w:shd w:fill="CCEEFF" w:val="clear"/>
            <w:tcMar>
              <w:bottom w:w="28" w:type="dxa"/>
            </w:tcMar>
            <w:vAlign w:val="center"/>
          </w:tcPr>
          <w:p>
            <w:pPr>
              <w:pStyle w:val="TableContents"/>
              <w:bidi w:val="0"/>
              <w:spacing w:before="0" w:after="283"/>
              <w:jc w:val="right"/>
              <w:rPr/>
            </w:pPr>
            <w:r>
              <w:rPr/>
              <w:t>24.9</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5" w:type="dxa"/>
            <w:tcBorders>
              <w:bottom w:val="double" w:sz="6" w:space="0" w:color="000000"/>
            </w:tcBorders>
            <w:shd w:fill="CCEEFF" w:val="clear"/>
            <w:tcMar>
              <w:bottom w:w="28" w:type="dxa"/>
            </w:tcMar>
            <w:vAlign w:val="center"/>
          </w:tcPr>
          <w:p>
            <w:pPr>
              <w:pStyle w:val="TableContents"/>
              <w:bidi w:val="0"/>
              <w:spacing w:before="0" w:after="283"/>
              <w:jc w:val="right"/>
              <w:rPr/>
            </w:pPr>
            <w:r>
              <w:rPr/>
              <w:t>22.0</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54" w:type="dxa"/>
            <w:tcBorders>
              <w:bottom w:val="double" w:sz="6" w:space="0" w:color="000000"/>
            </w:tcBorders>
            <w:shd w:fill="CCEEFF" w:val="clear"/>
            <w:tcMar>
              <w:bottom w:w="28" w:type="dxa"/>
            </w:tcMar>
            <w:vAlign w:val="center"/>
          </w:tcPr>
          <w:p>
            <w:pPr>
              <w:pStyle w:val="TableContents"/>
              <w:bidi w:val="0"/>
              <w:spacing w:before="0" w:after="283"/>
              <w:jc w:val="right"/>
              <w:rPr/>
            </w:pPr>
            <w:r>
              <w:rPr/>
              <w:t>48.4</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5" w:type="dxa"/>
            <w:tcBorders>
              <w:bottom w:val="double" w:sz="6" w:space="0" w:color="000000"/>
            </w:tcBorders>
            <w:shd w:fill="CCEEFF" w:val="clear"/>
            <w:tcMar>
              <w:bottom w:w="28" w:type="dxa"/>
            </w:tcMar>
            <w:vAlign w:val="center"/>
          </w:tcPr>
          <w:p>
            <w:pPr>
              <w:pStyle w:val="TableContents"/>
              <w:bidi w:val="0"/>
              <w:spacing w:before="0" w:after="283"/>
              <w:jc w:val="right"/>
              <w:rPr/>
            </w:pPr>
            <w:r>
              <w:rPr/>
              <w:t>45.5</w:t>
            </w:r>
          </w:p>
        </w:tc>
        <w:tc>
          <w:tcPr>
            <w:tcW w:w="13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1"/>
        <w:gridCol w:w="2621"/>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424"/>
        <w:gridCol w:w="530"/>
        <w:gridCol w:w="530"/>
        <w:gridCol w:w="530"/>
        <w:gridCol w:w="530"/>
        <w:gridCol w:w="530"/>
        <w:gridCol w:w="530"/>
        <w:gridCol w:w="576"/>
      </w:tblGrid>
      <w:tr>
        <w:trPr/>
        <w:tc>
          <w:tcPr>
            <w:tcW w:w="171" w:type="dxa"/>
            <w:tcBorders/>
            <w:vAlign w:val="center"/>
          </w:tcPr>
          <w:p>
            <w:pPr>
              <w:pStyle w:val="TableContents"/>
              <w:bidi w:val="0"/>
              <w:spacing w:before="0" w:after="283"/>
              <w:jc w:val="left"/>
              <w:rPr>
                <w:sz w:val="4"/>
                <w:szCs w:val="4"/>
              </w:rPr>
            </w:pPr>
            <w:r>
              <w:rPr>
                <w:sz w:val="4"/>
                <w:szCs w:val="4"/>
              </w:rPr>
            </w:r>
          </w:p>
        </w:tc>
        <w:tc>
          <w:tcPr>
            <w:tcW w:w="2621"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71" w:type="dxa"/>
            <w:tcBorders/>
            <w:vAlign w:val="center"/>
          </w:tcPr>
          <w:p>
            <w:pPr>
              <w:pStyle w:val="TableContents"/>
              <w:bidi w:val="0"/>
              <w:spacing w:before="0" w:after="283"/>
              <w:jc w:val="center"/>
              <w:rPr>
                <w:sz w:val="20"/>
              </w:rPr>
            </w:pPr>
            <w:r>
              <w:rPr>
                <w:sz w:val="20"/>
              </w:rPr>
              <w:t>4)</w:t>
            </w:r>
          </w:p>
        </w:tc>
        <w:tc>
          <w:tcPr>
            <w:tcW w:w="2621" w:type="dxa"/>
            <w:tcBorders/>
            <w:vAlign w:val="center"/>
          </w:tcPr>
          <w:p>
            <w:pPr>
              <w:pStyle w:val="TableContents"/>
              <w:bidi w:val="0"/>
              <w:spacing w:before="0" w:after="283"/>
              <w:jc w:val="left"/>
              <w:rPr/>
            </w:pPr>
            <w:r>
              <w:rPr/>
              <w:t>“</w:t>
            </w:r>
            <w:r>
              <w:rPr>
                <w:sz w:val="20"/>
              </w:rPr>
              <w:t>Adjusted EBITDA” is a non-GAAP financial measure and refers to earnings before interest, taxes, depreciation and amortization (EBITDA), excluding special items. The following is a presentation of the Company's non-GAAP EBITDA and Adjusted EBITDA for the quarterly periods ended July 5, 2026, April 5, 2026, and June 29, 2025, and the six month periods ended July 5, 2026 and June 29, 2025, and a reconciliation to net income for such periods. “Adjusted Net Leverage” is a non-GAAP financial measure and refers to Total Debt less Cash &amp; Cash Equivalents, divided by trailing 12-month Adjusted EBITDA. The following also presents Adjusted Net Leverage for the quarterly periods ended July 5, 2026, April 5, 2026, and June 29, 2025. The Company's management believes these non-GAAP measures provide meaningful supplemental information regarding its performance and capital allocation strategies, and facilitates investors' understanding of historic operating trends.</w:t>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76" w:type="dxa"/>
            <w:gridSpan w:val="1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5"/>
        <w:gridCol w:w="4008"/>
        <w:gridCol w:w="170"/>
        <w:gridCol w:w="665"/>
        <w:gridCol w:w="245"/>
        <w:gridCol w:w="90"/>
        <w:gridCol w:w="170"/>
        <w:gridCol w:w="710"/>
        <w:gridCol w:w="245"/>
        <w:gridCol w:w="90"/>
        <w:gridCol w:w="170"/>
        <w:gridCol w:w="778"/>
        <w:gridCol w:w="245"/>
        <w:gridCol w:w="90"/>
        <w:gridCol w:w="170"/>
        <w:gridCol w:w="665"/>
        <w:gridCol w:w="245"/>
        <w:gridCol w:w="90"/>
        <w:gridCol w:w="170"/>
        <w:gridCol w:w="792"/>
        <w:gridCol w:w="292"/>
      </w:tblGrid>
      <w:tr>
        <w:trPr/>
        <w:tc>
          <w:tcPr>
            <w:tcW w:w="105" w:type="dxa"/>
            <w:tcBorders/>
            <w:vAlign w:val="center"/>
          </w:tcPr>
          <w:p>
            <w:pPr>
              <w:pStyle w:val="TableContents"/>
              <w:bidi w:val="0"/>
              <w:spacing w:before="0" w:after="283"/>
              <w:jc w:val="left"/>
              <w:rPr>
                <w:sz w:val="4"/>
                <w:szCs w:val="4"/>
              </w:rPr>
            </w:pPr>
            <w:r>
              <w:rPr>
                <w:sz w:val="4"/>
                <w:szCs w:val="4"/>
              </w:rPr>
            </w:r>
          </w:p>
        </w:tc>
        <w:tc>
          <w:tcPr>
            <w:tcW w:w="400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105" w:type="dxa"/>
            <w:tcBorders/>
            <w:vAlign w:val="center"/>
          </w:tcPr>
          <w:p>
            <w:pPr>
              <w:pStyle w:val="TableContents"/>
              <w:bidi w:val="0"/>
              <w:spacing w:before="0" w:after="283"/>
              <w:jc w:val="left"/>
              <w:rPr/>
            </w:pPr>
            <w:r>
              <w:rPr/>
              <w:t> </w:t>
            </w:r>
          </w:p>
        </w:tc>
        <w:tc>
          <w:tcPr>
            <w:tcW w:w="4008" w:type="dxa"/>
            <w:tcBorders/>
            <w:vAlign w:val="center"/>
          </w:tcPr>
          <w:p>
            <w:pPr>
              <w:pStyle w:val="TableContents"/>
              <w:bidi w:val="0"/>
              <w:spacing w:before="0" w:after="283"/>
              <w:jc w:val="left"/>
              <w:rPr/>
            </w:pPr>
            <w:r>
              <w:rPr/>
              <w:t> </w:t>
            </w:r>
          </w:p>
        </w:tc>
        <w:tc>
          <w:tcPr>
            <w:tcW w:w="3578" w:type="dxa"/>
            <w:gridSpan w:val="11"/>
            <w:tcBorders>
              <w:bottom w:val="single" w:sz="6" w:space="0" w:color="000000"/>
            </w:tcBorders>
            <w:tcMar>
              <w:bottom w:w="28" w:type="dxa"/>
            </w:tcMar>
            <w:vAlign w:val="center"/>
          </w:tcPr>
          <w:p>
            <w:pPr>
              <w:pStyle w:val="TableContents"/>
              <w:bidi w:val="0"/>
              <w:spacing w:before="0" w:after="283"/>
              <w:jc w:val="center"/>
              <w:rPr>
                <w:b/>
              </w:rPr>
            </w:pPr>
            <w:r>
              <w:rPr>
                <w:b/>
              </w:rPr>
              <w:t>Quarter Ended</w:t>
            </w:r>
          </w:p>
        </w:tc>
        <w:tc>
          <w:tcPr>
            <w:tcW w:w="90" w:type="dxa"/>
            <w:tcBorders/>
            <w:vAlign w:val="center"/>
          </w:tcPr>
          <w:p>
            <w:pPr>
              <w:pStyle w:val="TableContents"/>
              <w:bidi w:val="0"/>
              <w:spacing w:before="0" w:after="283"/>
              <w:jc w:val="left"/>
              <w:rPr/>
            </w:pPr>
            <w:r>
              <w:rPr/>
              <w:t> </w:t>
            </w:r>
          </w:p>
        </w:tc>
        <w:tc>
          <w:tcPr>
            <w:tcW w:w="2424" w:type="dxa"/>
            <w:gridSpan w:val="7"/>
            <w:tcBorders>
              <w:bottom w:val="single" w:sz="6" w:space="0" w:color="000000"/>
            </w:tcBorders>
            <w:tcMar>
              <w:bottom w:w="28" w:type="dxa"/>
            </w:tcMar>
            <w:vAlign w:val="center"/>
          </w:tcPr>
          <w:p>
            <w:pPr>
              <w:pStyle w:val="TableContents"/>
              <w:bidi w:val="0"/>
              <w:spacing w:before="0" w:after="283"/>
              <w:jc w:val="center"/>
              <w:rPr>
                <w:b/>
              </w:rPr>
            </w:pPr>
            <w:r>
              <w:rPr>
                <w:b/>
              </w:rPr>
              <w:t>Six Months Ended</w:t>
            </w:r>
          </w:p>
        </w:tc>
      </w:tr>
      <w:tr>
        <w:trPr/>
        <w:tc>
          <w:tcPr>
            <w:tcW w:w="105" w:type="dxa"/>
            <w:tcBorders/>
            <w:vAlign w:val="center"/>
          </w:tcPr>
          <w:p>
            <w:pPr>
              <w:pStyle w:val="TableContents"/>
              <w:bidi w:val="0"/>
              <w:spacing w:before="0" w:after="283"/>
              <w:jc w:val="left"/>
              <w:rPr/>
            </w:pPr>
            <w:r>
              <w:rPr/>
              <w:t> </w:t>
            </w:r>
          </w:p>
        </w:tc>
        <w:tc>
          <w:tcPr>
            <w:tcW w:w="4008" w:type="dxa"/>
            <w:tcBorders/>
            <w:vAlign w:val="center"/>
          </w:tcPr>
          <w:p>
            <w:pPr>
              <w:pStyle w:val="TableContents"/>
              <w:bidi w:val="0"/>
              <w:spacing w:before="0" w:after="283"/>
              <w:jc w:val="left"/>
              <w:rPr>
                <w:b/>
              </w:rPr>
            </w:pPr>
            <w:r>
              <w:rPr>
                <w:b/>
              </w:rPr>
              <w:t>(in millions of dollars)</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b/>
              </w:rPr>
            </w:pPr>
            <w:r>
              <w:rPr>
                <w:b/>
              </w:rPr>
              <w:t>Jul. 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b/>
              </w:rPr>
            </w:pPr>
            <w:r>
              <w:rPr>
                <w:b/>
              </w:rPr>
              <w:t>Apr. 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b/>
              </w:rPr>
            </w:pPr>
            <w:r>
              <w:rPr>
                <w:b/>
              </w:rPr>
              <w:t>Jun. 29,</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b/>
              </w:rPr>
            </w:pPr>
            <w:r>
              <w:rPr>
                <w:b/>
              </w:rPr>
              <w:t>Jul. 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92" w:type="dxa"/>
            <w:tcBorders/>
            <w:vAlign w:val="center"/>
          </w:tcPr>
          <w:p>
            <w:pPr>
              <w:pStyle w:val="TableContents"/>
              <w:bidi w:val="0"/>
              <w:spacing w:before="0" w:after="283"/>
              <w:jc w:val="center"/>
              <w:rPr>
                <w:b/>
              </w:rPr>
            </w:pPr>
            <w:r>
              <w:rPr>
                <w:b/>
              </w:rPr>
              <w:t>Jun. 29,</w:t>
            </w:r>
          </w:p>
        </w:tc>
        <w:tc>
          <w:tcPr>
            <w:tcW w:w="292"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4008"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665"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778"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665"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792"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292"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4008"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92"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r>
      <w:tr>
        <w:trPr/>
        <w:tc>
          <w:tcPr>
            <w:tcW w:w="105" w:type="dxa"/>
            <w:tcBorders/>
            <w:shd w:fill="CCEEFF" w:val="clear"/>
            <w:vAlign w:val="center"/>
          </w:tcPr>
          <w:p>
            <w:pPr>
              <w:pStyle w:val="TableContents"/>
              <w:bidi w:val="0"/>
              <w:spacing w:before="0" w:after="283"/>
              <w:jc w:val="left"/>
              <w:rPr/>
            </w:pPr>
            <w:r>
              <w:rPr/>
              <w:t> </w:t>
            </w:r>
          </w:p>
        </w:tc>
        <w:tc>
          <w:tcPr>
            <w:tcW w:w="4008" w:type="dxa"/>
            <w:tcBorders/>
            <w:shd w:fill="CCEEFF" w:val="clear"/>
            <w:vAlign w:val="center"/>
          </w:tcPr>
          <w:p>
            <w:pPr>
              <w:pStyle w:val="TableContents"/>
              <w:bidi w:val="0"/>
              <w:spacing w:before="0" w:after="283"/>
              <w:jc w:val="left"/>
              <w:rPr/>
            </w:pPr>
            <w:r>
              <w:rPr/>
              <w:t>Net income (loss) attributable to MTI</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(183.6</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36.2</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78" w:type="dxa"/>
            <w:tcBorders/>
            <w:shd w:fill="CCEEFF" w:val="clear"/>
            <w:vAlign w:val="center"/>
          </w:tcPr>
          <w:p>
            <w:pPr>
              <w:pStyle w:val="TableContents"/>
              <w:bidi w:val="0"/>
              <w:spacing w:before="0" w:after="283"/>
              <w:jc w:val="right"/>
              <w:rPr/>
            </w:pPr>
            <w:r>
              <w:rPr/>
              <w:t>45.4</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(147.4</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92" w:type="dxa"/>
            <w:tcBorders/>
            <w:shd w:fill="CCEEFF" w:val="clear"/>
            <w:vAlign w:val="center"/>
          </w:tcPr>
          <w:p>
            <w:pPr>
              <w:pStyle w:val="TableContents"/>
              <w:bidi w:val="0"/>
              <w:spacing w:before="0" w:after="283"/>
              <w:jc w:val="right"/>
              <w:rPr/>
            </w:pPr>
            <w:r>
              <w:rPr/>
              <w:t>(98.6</w:t>
            </w:r>
          </w:p>
        </w:tc>
        <w:tc>
          <w:tcPr>
            <w:tcW w:w="292" w:type="dxa"/>
            <w:tcBorders/>
            <w:shd w:fill="CCEEFF" w:val="clear"/>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4008" w:type="dxa"/>
            <w:tcBorders/>
            <w:vAlign w:val="center"/>
          </w:tcPr>
          <w:p>
            <w:pPr>
              <w:pStyle w:val="TableContents"/>
              <w:bidi w:val="0"/>
              <w:spacing w:before="0" w:after="283"/>
              <w:jc w:val="left"/>
              <w:rPr/>
            </w:pPr>
            <w:r>
              <w:rPr/>
              <w:t>Add back:</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92"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r>
      <w:tr>
        <w:trPr/>
        <w:tc>
          <w:tcPr>
            <w:tcW w:w="105" w:type="dxa"/>
            <w:tcBorders/>
            <w:shd w:fill="CCEEFF" w:val="clear"/>
            <w:vAlign w:val="center"/>
          </w:tcPr>
          <w:p>
            <w:pPr>
              <w:pStyle w:val="TableContents"/>
              <w:bidi w:val="0"/>
              <w:spacing w:before="0" w:after="283"/>
              <w:jc w:val="left"/>
              <w:rPr/>
            </w:pPr>
            <w:r>
              <w:rPr/>
              <w:t> </w:t>
            </w:r>
          </w:p>
        </w:tc>
        <w:tc>
          <w:tcPr>
            <w:tcW w:w="4008" w:type="dxa"/>
            <w:tcBorders/>
            <w:shd w:fill="CCEEFF" w:val="clear"/>
            <w:vAlign w:val="center"/>
          </w:tcPr>
          <w:p>
            <w:pPr>
              <w:pStyle w:val="TableContents"/>
              <w:bidi w:val="0"/>
              <w:spacing w:before="0" w:after="283"/>
              <w:jc w:val="left"/>
              <w:rPr/>
            </w:pPr>
            <w:r>
              <w:rPr/>
              <w:t>Depreciation, depletion, and amortization expense</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23.5</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24.9</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22.0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48.4</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45.5</w:t>
            </w:r>
          </w:p>
        </w:tc>
        <w:tc>
          <w:tcPr>
            <w:tcW w:w="292" w:type="dxa"/>
            <w:tcBorders/>
            <w:shd w:fill="CCEEFF" w:val="clear"/>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4008" w:type="dxa"/>
            <w:tcBorders/>
            <w:vAlign w:val="center"/>
          </w:tcPr>
          <w:p>
            <w:pPr>
              <w:pStyle w:val="TableContents"/>
              <w:bidi w:val="0"/>
              <w:spacing w:before="0" w:after="283"/>
              <w:jc w:val="left"/>
              <w:rPr/>
            </w:pPr>
            <w:r>
              <w:rPr/>
              <w:t>Interest expense, net</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12.1</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13.3</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pPr>
            <w:r>
              <w:rPr/>
              <w:t>13.6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25.4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92" w:type="dxa"/>
            <w:tcBorders/>
            <w:vAlign w:val="center"/>
          </w:tcPr>
          <w:p>
            <w:pPr>
              <w:pStyle w:val="TableContents"/>
              <w:bidi w:val="0"/>
              <w:spacing w:before="0" w:after="283"/>
              <w:jc w:val="right"/>
              <w:rPr/>
            </w:pPr>
            <w:r>
              <w:rPr/>
              <w:t>27.8</w:t>
            </w:r>
          </w:p>
        </w:tc>
        <w:tc>
          <w:tcPr>
            <w:tcW w:w="292" w:type="dxa"/>
            <w:tcBorders/>
            <w:vAlign w:val="center"/>
          </w:tcPr>
          <w:p>
            <w:pPr>
              <w:pStyle w:val="TableContents"/>
              <w:bidi w:val="0"/>
              <w:spacing w:before="0" w:after="283"/>
              <w:jc w:val="left"/>
              <w:rPr/>
            </w:pPr>
            <w:r>
              <w:rPr/>
              <w:t> </w:t>
            </w:r>
          </w:p>
        </w:tc>
      </w:tr>
      <w:tr>
        <w:trPr/>
        <w:tc>
          <w:tcPr>
            <w:tcW w:w="105" w:type="dxa"/>
            <w:tcBorders/>
            <w:shd w:fill="CCEEFF" w:val="clear"/>
            <w:vAlign w:val="center"/>
          </w:tcPr>
          <w:p>
            <w:pPr>
              <w:pStyle w:val="TableContents"/>
              <w:bidi w:val="0"/>
              <w:spacing w:before="0" w:after="283"/>
              <w:jc w:val="left"/>
              <w:rPr/>
            </w:pPr>
            <w:r>
              <w:rPr/>
              <w:t> </w:t>
            </w:r>
          </w:p>
        </w:tc>
        <w:tc>
          <w:tcPr>
            <w:tcW w:w="4008" w:type="dxa"/>
            <w:tcBorders/>
            <w:shd w:fill="CCEEFF" w:val="clear"/>
            <w:vAlign w:val="center"/>
          </w:tcPr>
          <w:p>
            <w:pPr>
              <w:pStyle w:val="TableContents"/>
              <w:bidi w:val="0"/>
              <w:spacing w:before="0" w:after="283"/>
              <w:jc w:val="left"/>
              <w:rPr/>
            </w:pPr>
            <w:r>
              <w:rPr/>
              <w:t>Equity in earnings of affiliates, net of tax</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(2.5</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(1.3</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(1.1</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(3.8</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(2.3</w:t>
            </w:r>
          </w:p>
        </w:tc>
        <w:tc>
          <w:tcPr>
            <w:tcW w:w="292" w:type="dxa"/>
            <w:tcBorders/>
            <w:shd w:fill="CCEEFF" w:val="clear"/>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4008" w:type="dxa"/>
            <w:tcBorders/>
            <w:vAlign w:val="center"/>
          </w:tcPr>
          <w:p>
            <w:pPr>
              <w:pStyle w:val="TableContents"/>
              <w:bidi w:val="0"/>
              <w:spacing w:before="0" w:after="283"/>
              <w:jc w:val="left"/>
              <w:rPr/>
            </w:pPr>
            <w:r>
              <w:rPr/>
              <w:t>Net income attributable to non-controlling interests</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1.1</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pPr>
            <w:r>
              <w:rPr/>
              <w:t>0.9</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2.1</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92" w:type="dxa"/>
            <w:tcBorders/>
            <w:vAlign w:val="center"/>
          </w:tcPr>
          <w:p>
            <w:pPr>
              <w:pStyle w:val="TableContents"/>
              <w:bidi w:val="0"/>
              <w:spacing w:before="0" w:after="283"/>
              <w:jc w:val="right"/>
              <w:rPr/>
            </w:pPr>
            <w:r>
              <w:rPr/>
              <w:t>1.9</w:t>
            </w:r>
          </w:p>
        </w:tc>
        <w:tc>
          <w:tcPr>
            <w:tcW w:w="292" w:type="dxa"/>
            <w:tcBorders/>
            <w:vAlign w:val="center"/>
          </w:tcPr>
          <w:p>
            <w:pPr>
              <w:pStyle w:val="TableContents"/>
              <w:bidi w:val="0"/>
              <w:spacing w:before="0" w:after="283"/>
              <w:jc w:val="left"/>
              <w:rPr/>
            </w:pPr>
            <w:r>
              <w:rPr/>
              <w:t> </w:t>
            </w:r>
          </w:p>
        </w:tc>
      </w:tr>
      <w:tr>
        <w:trPr/>
        <w:tc>
          <w:tcPr>
            <w:tcW w:w="105" w:type="dxa"/>
            <w:tcBorders/>
            <w:shd w:fill="CCEEFF" w:val="clear"/>
            <w:vAlign w:val="center"/>
          </w:tcPr>
          <w:p>
            <w:pPr>
              <w:pStyle w:val="TableContents"/>
              <w:bidi w:val="0"/>
              <w:spacing w:before="0" w:after="283"/>
              <w:jc w:val="left"/>
              <w:rPr/>
            </w:pPr>
            <w:r>
              <w:rPr/>
              <w:t> </w:t>
            </w:r>
          </w:p>
        </w:tc>
        <w:tc>
          <w:tcPr>
            <w:tcW w:w="4008" w:type="dxa"/>
            <w:tcBorders/>
            <w:shd w:fill="CCEEFF" w:val="clear"/>
            <w:vAlign w:val="center"/>
          </w:tcPr>
          <w:p>
            <w:pPr>
              <w:pStyle w:val="TableContents"/>
              <w:bidi w:val="0"/>
              <w:spacing w:before="0" w:after="283"/>
              <w:jc w:val="left"/>
              <w:rPr/>
            </w:pPr>
            <w:r>
              <w:rPr/>
              <w:t>Provision (benefit) for taxes on income</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6" w:space="0" w:color="000000"/>
            </w:tcBorders>
            <w:shd w:fill="CCEEFF" w:val="clear"/>
            <w:tcMar>
              <w:bottom w:w="28" w:type="dxa"/>
            </w:tcMar>
            <w:vAlign w:val="center"/>
          </w:tcPr>
          <w:p>
            <w:pPr>
              <w:pStyle w:val="TableContents"/>
              <w:bidi w:val="0"/>
              <w:spacing w:before="0" w:after="283"/>
              <w:jc w:val="right"/>
              <w:rPr/>
            </w:pPr>
            <w:r>
              <w:rPr/>
              <w:t>(46.2</w:t>
            </w:r>
          </w:p>
        </w:tc>
        <w:tc>
          <w:tcPr>
            <w:tcW w:w="24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shd w:fill="CCEEFF" w:val="clear"/>
            <w:tcMar>
              <w:bottom w:w="28" w:type="dxa"/>
            </w:tcMar>
            <w:vAlign w:val="center"/>
          </w:tcPr>
          <w:p>
            <w:pPr>
              <w:pStyle w:val="TableContents"/>
              <w:bidi w:val="0"/>
              <w:spacing w:before="0" w:after="283"/>
              <w:jc w:val="right"/>
              <w:rPr/>
            </w:pPr>
            <w:r>
              <w:rPr/>
              <w:t>9.9</w:t>
            </w:r>
          </w:p>
        </w:tc>
        <w:tc>
          <w:tcPr>
            <w:tcW w:w="24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778" w:type="dxa"/>
            <w:tcBorders>
              <w:bottom w:val="single" w:sz="6" w:space="0" w:color="000000"/>
            </w:tcBorders>
            <w:shd w:fill="CCEEFF" w:val="clear"/>
            <w:tcMar>
              <w:bottom w:w="28" w:type="dxa"/>
            </w:tcMar>
            <w:vAlign w:val="center"/>
          </w:tcPr>
          <w:p>
            <w:pPr>
              <w:pStyle w:val="TableContents"/>
              <w:bidi w:val="0"/>
              <w:spacing w:before="0" w:after="283"/>
              <w:jc w:val="right"/>
              <w:rPr/>
            </w:pPr>
            <w:r>
              <w:rPr/>
              <w:t>13.9</w:t>
            </w:r>
          </w:p>
        </w:tc>
        <w:tc>
          <w:tcPr>
            <w:tcW w:w="24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6" w:space="0" w:color="000000"/>
            </w:tcBorders>
            <w:shd w:fill="CCEEFF" w:val="clear"/>
            <w:tcMar>
              <w:bottom w:w="28" w:type="dxa"/>
            </w:tcMar>
            <w:vAlign w:val="center"/>
          </w:tcPr>
          <w:p>
            <w:pPr>
              <w:pStyle w:val="TableContents"/>
              <w:bidi w:val="0"/>
              <w:spacing w:before="0" w:after="283"/>
              <w:jc w:val="right"/>
              <w:rPr/>
            </w:pPr>
            <w:r>
              <w:rPr/>
              <w:t>(36.3</w:t>
            </w:r>
          </w:p>
        </w:tc>
        <w:tc>
          <w:tcPr>
            <w:tcW w:w="24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792" w:type="dxa"/>
            <w:tcBorders>
              <w:bottom w:val="single" w:sz="6" w:space="0" w:color="000000"/>
            </w:tcBorders>
            <w:shd w:fill="CCEEFF" w:val="clear"/>
            <w:tcMar>
              <w:bottom w:w="28" w:type="dxa"/>
            </w:tcMar>
            <w:vAlign w:val="center"/>
          </w:tcPr>
          <w:p>
            <w:pPr>
              <w:pStyle w:val="TableContents"/>
              <w:bidi w:val="0"/>
              <w:spacing w:before="0" w:after="283"/>
              <w:jc w:val="right"/>
              <w:rPr/>
            </w:pPr>
            <w:r>
              <w:rPr/>
              <w:t>(18.2</w:t>
            </w:r>
          </w:p>
        </w:tc>
        <w:tc>
          <w:tcPr>
            <w:tcW w:w="292"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4008" w:type="dxa"/>
            <w:tcBorders/>
            <w:vAlign w:val="center"/>
          </w:tcPr>
          <w:p>
            <w:pPr>
              <w:pStyle w:val="TableContents"/>
              <w:bidi w:val="0"/>
              <w:spacing w:before="0" w:after="283"/>
              <w:jc w:val="left"/>
              <w:rPr/>
            </w:pPr>
            <w:r>
              <w:rPr/>
              <w:t>EBITDA</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(195.7</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84.1</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pPr>
            <w:r>
              <w:rPr/>
              <w:t>94.7</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(111.6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92" w:type="dxa"/>
            <w:tcBorders/>
            <w:vAlign w:val="center"/>
          </w:tcPr>
          <w:p>
            <w:pPr>
              <w:pStyle w:val="TableContents"/>
              <w:bidi w:val="0"/>
              <w:spacing w:before="0" w:after="283"/>
              <w:jc w:val="right"/>
              <w:rPr/>
            </w:pPr>
            <w:r>
              <w:rPr/>
              <w:t>(43.9</w:t>
            </w:r>
          </w:p>
        </w:tc>
        <w:tc>
          <w:tcPr>
            <w:tcW w:w="292" w:type="dxa"/>
            <w:tcBorders/>
            <w:vAlign w:val="center"/>
          </w:tcPr>
          <w:p>
            <w:pPr>
              <w:pStyle w:val="TableContents"/>
              <w:bidi w:val="0"/>
              <w:spacing w:before="0" w:after="283"/>
              <w:jc w:val="left"/>
              <w:rPr/>
            </w:pPr>
            <w:r>
              <w:rPr/>
              <w:t>) </w:t>
            </w:r>
          </w:p>
        </w:tc>
      </w:tr>
      <w:tr>
        <w:trPr/>
        <w:tc>
          <w:tcPr>
            <w:tcW w:w="105" w:type="dxa"/>
            <w:tcBorders/>
            <w:shd w:fill="CCEEFF" w:val="clear"/>
            <w:vAlign w:val="center"/>
          </w:tcPr>
          <w:p>
            <w:pPr>
              <w:pStyle w:val="TableContents"/>
              <w:bidi w:val="0"/>
              <w:spacing w:before="0" w:after="283"/>
              <w:jc w:val="left"/>
              <w:rPr/>
            </w:pPr>
            <w:r>
              <w:rPr/>
              <w:t> </w:t>
            </w:r>
          </w:p>
        </w:tc>
        <w:tc>
          <w:tcPr>
            <w:tcW w:w="4008" w:type="dxa"/>
            <w:tcBorders/>
            <w:shd w:fill="CCEEFF" w:val="clear"/>
            <w:vAlign w:val="center"/>
          </w:tcPr>
          <w:p>
            <w:pPr>
              <w:pStyle w:val="TableContents"/>
              <w:bidi w:val="0"/>
              <w:spacing w:before="0" w:after="283"/>
              <w:jc w:val="left"/>
              <w:rPr/>
            </w:pPr>
            <w:r>
              <w:rPr/>
              <w:t>Add special items:</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4008" w:type="dxa"/>
            <w:tcBorders/>
            <w:vAlign w:val="center"/>
          </w:tcPr>
          <w:p>
            <w:pPr>
              <w:pStyle w:val="TableContents"/>
              <w:bidi w:val="0"/>
              <w:spacing w:before="0" w:after="283"/>
              <w:jc w:val="left"/>
              <w:rPr/>
            </w:pPr>
            <w:r>
              <w:rPr/>
              <w:t>Provision for litigation accrual and credit losses</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290.0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0.0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pPr>
            <w:r>
              <w:rPr/>
              <w:t>0.0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290.0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92" w:type="dxa"/>
            <w:tcBorders/>
            <w:vAlign w:val="center"/>
          </w:tcPr>
          <w:p>
            <w:pPr>
              <w:pStyle w:val="TableContents"/>
              <w:bidi w:val="0"/>
              <w:spacing w:before="0" w:after="283"/>
              <w:jc w:val="right"/>
              <w:rPr/>
            </w:pPr>
            <w:r>
              <w:rPr/>
              <w:t>215.0</w:t>
            </w:r>
          </w:p>
        </w:tc>
        <w:tc>
          <w:tcPr>
            <w:tcW w:w="292" w:type="dxa"/>
            <w:tcBorders/>
            <w:vAlign w:val="center"/>
          </w:tcPr>
          <w:p>
            <w:pPr>
              <w:pStyle w:val="TableContents"/>
              <w:bidi w:val="0"/>
              <w:spacing w:before="0" w:after="283"/>
              <w:jc w:val="left"/>
              <w:rPr/>
            </w:pPr>
            <w:r>
              <w:rPr/>
              <w:t> </w:t>
            </w:r>
          </w:p>
        </w:tc>
      </w:tr>
      <w:tr>
        <w:trPr/>
        <w:tc>
          <w:tcPr>
            <w:tcW w:w="105" w:type="dxa"/>
            <w:tcBorders/>
            <w:shd w:fill="CCEEFF" w:val="clear"/>
            <w:vAlign w:val="center"/>
          </w:tcPr>
          <w:p>
            <w:pPr>
              <w:pStyle w:val="TableContents"/>
              <w:bidi w:val="0"/>
              <w:spacing w:before="0" w:after="283"/>
              <w:jc w:val="left"/>
              <w:rPr/>
            </w:pPr>
            <w:r>
              <w:rPr/>
              <w:t> </w:t>
            </w:r>
          </w:p>
        </w:tc>
        <w:tc>
          <w:tcPr>
            <w:tcW w:w="4008" w:type="dxa"/>
            <w:tcBorders/>
            <w:shd w:fill="CCEEFF" w:val="clear"/>
            <w:vAlign w:val="center"/>
          </w:tcPr>
          <w:p>
            <w:pPr>
              <w:pStyle w:val="TableContents"/>
              <w:bidi w:val="0"/>
              <w:spacing w:before="0" w:after="283"/>
              <w:jc w:val="left"/>
              <w:rPr/>
            </w:pPr>
            <w:r>
              <w:rPr/>
              <w:t>Restructuring and other items</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0.0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0.0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5.8</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0.0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11.3</w:t>
            </w:r>
          </w:p>
        </w:tc>
        <w:tc>
          <w:tcPr>
            <w:tcW w:w="292" w:type="dxa"/>
            <w:tcBorders/>
            <w:shd w:fill="CCEEFF" w:val="clear"/>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4008" w:type="dxa"/>
            <w:tcBorders/>
            <w:vAlign w:val="center"/>
          </w:tcPr>
          <w:p>
            <w:pPr>
              <w:pStyle w:val="TableContents"/>
              <w:bidi w:val="0"/>
              <w:spacing w:before="0" w:after="283"/>
              <w:jc w:val="left"/>
              <w:rPr/>
            </w:pPr>
            <w:r>
              <w:rPr/>
              <w:t>Gain on sale of assets, net</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0.0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0.0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pPr>
            <w:r>
              <w:rPr/>
              <w:t>(5.6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0.0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92" w:type="dxa"/>
            <w:tcBorders/>
            <w:vAlign w:val="center"/>
          </w:tcPr>
          <w:p>
            <w:pPr>
              <w:pStyle w:val="TableContents"/>
              <w:bidi w:val="0"/>
              <w:spacing w:before="0" w:after="283"/>
              <w:jc w:val="right"/>
              <w:rPr/>
            </w:pPr>
            <w:r>
              <w:rPr/>
              <w:t>(5.6</w:t>
            </w:r>
          </w:p>
        </w:tc>
        <w:tc>
          <w:tcPr>
            <w:tcW w:w="292" w:type="dxa"/>
            <w:tcBorders/>
            <w:vAlign w:val="center"/>
          </w:tcPr>
          <w:p>
            <w:pPr>
              <w:pStyle w:val="TableContents"/>
              <w:bidi w:val="0"/>
              <w:spacing w:before="0" w:after="283"/>
              <w:jc w:val="left"/>
              <w:rPr/>
            </w:pPr>
            <w:r>
              <w:rPr/>
              <w:t>) </w:t>
            </w:r>
          </w:p>
        </w:tc>
      </w:tr>
      <w:tr>
        <w:trPr/>
        <w:tc>
          <w:tcPr>
            <w:tcW w:w="105" w:type="dxa"/>
            <w:tcBorders/>
            <w:shd w:fill="CCEEFF" w:val="clear"/>
            <w:vAlign w:val="center"/>
          </w:tcPr>
          <w:p>
            <w:pPr>
              <w:pStyle w:val="TableContents"/>
              <w:bidi w:val="0"/>
              <w:spacing w:before="0" w:after="283"/>
              <w:jc w:val="left"/>
              <w:rPr/>
            </w:pPr>
            <w:r>
              <w:rPr/>
              <w:t> </w:t>
            </w:r>
          </w:p>
        </w:tc>
        <w:tc>
          <w:tcPr>
            <w:tcW w:w="4008" w:type="dxa"/>
            <w:tcBorders/>
            <w:shd w:fill="CCEEFF" w:val="clear"/>
            <w:vAlign w:val="center"/>
          </w:tcPr>
          <w:p>
            <w:pPr>
              <w:pStyle w:val="TableContents"/>
              <w:bidi w:val="0"/>
              <w:spacing w:before="0" w:after="283"/>
              <w:jc w:val="left"/>
              <w:rPr/>
            </w:pPr>
            <w:r>
              <w:rPr/>
              <w:t>Litigation expenses</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6" w:space="0" w:color="000000"/>
            </w:tcBorders>
            <w:shd w:fill="CCEEFF" w:val="clear"/>
            <w:tcMar>
              <w:bottom w:w="28" w:type="dxa"/>
            </w:tcMar>
            <w:vAlign w:val="center"/>
          </w:tcPr>
          <w:p>
            <w:pPr>
              <w:pStyle w:val="TableContents"/>
              <w:bidi w:val="0"/>
              <w:spacing w:before="0" w:after="283"/>
              <w:jc w:val="right"/>
              <w:rPr/>
            </w:pPr>
            <w:r>
              <w:rPr/>
              <w:t>4.9</w:t>
            </w:r>
          </w:p>
        </w:tc>
        <w:tc>
          <w:tcPr>
            <w:tcW w:w="24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shd w:fill="CCEEFF" w:val="clear"/>
            <w:tcMar>
              <w:bottom w:w="28" w:type="dxa"/>
            </w:tcMar>
            <w:vAlign w:val="center"/>
          </w:tcPr>
          <w:p>
            <w:pPr>
              <w:pStyle w:val="TableContents"/>
              <w:bidi w:val="0"/>
              <w:spacing w:before="0" w:after="283"/>
              <w:jc w:val="right"/>
              <w:rPr/>
            </w:pPr>
            <w:r>
              <w:rPr/>
              <w:t>8.8</w:t>
            </w:r>
          </w:p>
        </w:tc>
        <w:tc>
          <w:tcPr>
            <w:tcW w:w="24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778" w:type="dxa"/>
            <w:tcBorders>
              <w:bottom w:val="single" w:sz="6" w:space="0" w:color="000000"/>
            </w:tcBorders>
            <w:shd w:fill="CCEEFF" w:val="clear"/>
            <w:tcMar>
              <w:bottom w:w="28" w:type="dxa"/>
            </w:tcMar>
            <w:vAlign w:val="center"/>
          </w:tcPr>
          <w:p>
            <w:pPr>
              <w:pStyle w:val="TableContents"/>
              <w:bidi w:val="0"/>
              <w:spacing w:before="0" w:after="283"/>
              <w:jc w:val="right"/>
              <w:rPr/>
            </w:pPr>
            <w:r>
              <w:rPr/>
              <w:t>4.2</w:t>
            </w:r>
          </w:p>
        </w:tc>
        <w:tc>
          <w:tcPr>
            <w:tcW w:w="24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6" w:space="0" w:color="000000"/>
            </w:tcBorders>
            <w:shd w:fill="CCEEFF" w:val="clear"/>
            <w:tcMar>
              <w:bottom w:w="28" w:type="dxa"/>
            </w:tcMar>
            <w:vAlign w:val="center"/>
          </w:tcPr>
          <w:p>
            <w:pPr>
              <w:pStyle w:val="TableContents"/>
              <w:bidi w:val="0"/>
              <w:spacing w:before="0" w:after="283"/>
              <w:jc w:val="right"/>
              <w:rPr/>
            </w:pPr>
            <w:r>
              <w:rPr/>
              <w:t>13.7</w:t>
            </w:r>
          </w:p>
        </w:tc>
        <w:tc>
          <w:tcPr>
            <w:tcW w:w="24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792" w:type="dxa"/>
            <w:tcBorders>
              <w:bottom w:val="single" w:sz="6" w:space="0" w:color="000000"/>
            </w:tcBorders>
            <w:shd w:fill="CCEEFF" w:val="clear"/>
            <w:tcMar>
              <w:bottom w:w="28" w:type="dxa"/>
            </w:tcMar>
            <w:vAlign w:val="center"/>
          </w:tcPr>
          <w:p>
            <w:pPr>
              <w:pStyle w:val="TableContents"/>
              <w:bidi w:val="0"/>
              <w:spacing w:before="0" w:after="283"/>
              <w:jc w:val="right"/>
              <w:rPr/>
            </w:pPr>
            <w:r>
              <w:rPr/>
              <w:t>7.0</w:t>
            </w:r>
          </w:p>
        </w:tc>
        <w:tc>
          <w:tcPr>
            <w:tcW w:w="292"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4008" w:type="dxa"/>
            <w:tcBorders/>
            <w:vAlign w:val="center"/>
          </w:tcPr>
          <w:p>
            <w:pPr>
              <w:pStyle w:val="TableContents"/>
              <w:bidi w:val="0"/>
              <w:spacing w:before="0" w:after="283"/>
              <w:jc w:val="left"/>
              <w:rPr/>
            </w:pPr>
            <w:r>
              <w:rPr/>
              <w:t>Adjusted EBITDA</w:t>
            </w:r>
          </w:p>
        </w:tc>
        <w:tc>
          <w:tcPr>
            <w:tcW w:w="170" w:type="dxa"/>
            <w:tcBorders/>
            <w:vAlign w:val="center"/>
          </w:tcPr>
          <w:p>
            <w:pPr>
              <w:pStyle w:val="TableContents"/>
              <w:bidi w:val="0"/>
              <w:spacing w:before="0" w:after="283"/>
              <w:jc w:val="left"/>
              <w:rPr/>
            </w:pPr>
            <w:r>
              <w:rPr/>
              <w:t>$</w:t>
            </w:r>
          </w:p>
        </w:tc>
        <w:tc>
          <w:tcPr>
            <w:tcW w:w="665" w:type="dxa"/>
            <w:tcBorders/>
            <w:vAlign w:val="center"/>
          </w:tcPr>
          <w:p>
            <w:pPr>
              <w:pStyle w:val="TableContents"/>
              <w:bidi w:val="0"/>
              <w:spacing w:before="0" w:after="283"/>
              <w:jc w:val="right"/>
              <w:rPr/>
            </w:pPr>
            <w:r>
              <w:rPr/>
              <w:t>99.2</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92.9</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8" w:type="dxa"/>
            <w:tcBorders/>
            <w:vAlign w:val="center"/>
          </w:tcPr>
          <w:p>
            <w:pPr>
              <w:pStyle w:val="TableContents"/>
              <w:bidi w:val="0"/>
              <w:spacing w:before="0" w:after="283"/>
              <w:jc w:val="right"/>
              <w:rPr/>
            </w:pPr>
            <w:r>
              <w:rPr/>
              <w:t>99.1</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5" w:type="dxa"/>
            <w:tcBorders/>
            <w:vAlign w:val="center"/>
          </w:tcPr>
          <w:p>
            <w:pPr>
              <w:pStyle w:val="TableContents"/>
              <w:bidi w:val="0"/>
              <w:spacing w:before="0" w:after="283"/>
              <w:jc w:val="right"/>
              <w:rPr/>
            </w:pPr>
            <w:r>
              <w:rPr/>
              <w:t>192.1</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2" w:type="dxa"/>
            <w:tcBorders/>
            <w:vAlign w:val="center"/>
          </w:tcPr>
          <w:p>
            <w:pPr>
              <w:pStyle w:val="TableContents"/>
              <w:bidi w:val="0"/>
              <w:spacing w:before="0" w:after="283"/>
              <w:jc w:val="right"/>
              <w:rPr/>
            </w:pPr>
            <w:r>
              <w:rPr/>
              <w:t>183.8</w:t>
            </w:r>
          </w:p>
        </w:tc>
        <w:tc>
          <w:tcPr>
            <w:tcW w:w="292" w:type="dxa"/>
            <w:tcBorders/>
            <w:vAlign w:val="center"/>
          </w:tcPr>
          <w:p>
            <w:pPr>
              <w:pStyle w:val="TableContents"/>
              <w:bidi w:val="0"/>
              <w:spacing w:before="0" w:after="283"/>
              <w:jc w:val="left"/>
              <w:rPr/>
            </w:pPr>
            <w:r>
              <w:rPr/>
              <w:t> </w:t>
            </w:r>
          </w:p>
        </w:tc>
      </w:tr>
      <w:tr>
        <w:trPr/>
        <w:tc>
          <w:tcPr>
            <w:tcW w:w="105" w:type="dxa"/>
            <w:tcBorders/>
            <w:shd w:fill="CCEEFF" w:val="clear"/>
            <w:vAlign w:val="center"/>
          </w:tcPr>
          <w:p>
            <w:pPr>
              <w:pStyle w:val="TableContents"/>
              <w:bidi w:val="0"/>
              <w:spacing w:before="0" w:after="283"/>
              <w:ind w:left="0" w:right="0" w:hanging="150"/>
              <w:jc w:val="left"/>
              <w:rPr/>
            </w:pPr>
            <w:r>
              <w:rPr/>
              <w:t> </w:t>
            </w:r>
          </w:p>
        </w:tc>
        <w:tc>
          <w:tcPr>
            <w:tcW w:w="4008" w:type="dxa"/>
            <w:tcBorders/>
            <w:shd w:fill="CCEEFF" w:val="clear"/>
            <w:vAlign w:val="center"/>
          </w:tcPr>
          <w:p>
            <w:pPr>
              <w:pStyle w:val="TableContents"/>
              <w:bidi w:val="0"/>
              <w:spacing w:before="0" w:after="283"/>
              <w:jc w:val="right"/>
              <w:rPr/>
            </w:pPr>
            <w:r>
              <w:rPr/>
              <w:t>% of sales</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18.1</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17.0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18.7</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17.5</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18.0</w:t>
            </w:r>
          </w:p>
        </w:tc>
        <w:tc>
          <w:tcPr>
            <w:tcW w:w="292" w:type="dxa"/>
            <w:tcBorders/>
            <w:shd w:fill="CCEEFF" w:val="clear"/>
            <w:vAlign w:val="center"/>
          </w:tcPr>
          <w:p>
            <w:pPr>
              <w:pStyle w:val="TableContents"/>
              <w:bidi w:val="0"/>
              <w:spacing w:before="0" w:after="283"/>
              <w:jc w:val="left"/>
              <w:rPr/>
            </w:pPr>
            <w:r>
              <w:rPr/>
              <w:t>%</w:t>
            </w:r>
          </w:p>
        </w:tc>
      </w:tr>
    </w:tbl>
    <w:p>
      <w:pPr>
        <w:pStyle w:val="TextBody"/>
        <w:bidi w:val="0"/>
        <w:spacing w:before="0" w:after="0"/>
        <w:jc w:val="left"/>
        <w:rPr/>
      </w:pPr>
      <w:r>
        <w:rPr/>
        <w:t> </w:t>
      </w:r>
    </w:p>
    <w:tbl>
      <w:tblPr>
        <w:tblW w:w="8735" w:type="dxa"/>
        <w:jc w:val="left"/>
        <w:tblInd w:w="0" w:type="dxa"/>
        <w:tblLayout w:type="fixed"/>
        <w:tblCellMar>
          <w:top w:w="0" w:type="dxa"/>
          <w:left w:w="0" w:type="dxa"/>
          <w:bottom w:w="0" w:type="dxa"/>
          <w:right w:w="0" w:type="dxa"/>
        </w:tblCellMar>
      </w:tblPr>
      <w:tblGrid>
        <w:gridCol w:w="255"/>
        <w:gridCol w:w="5285"/>
        <w:gridCol w:w="170"/>
        <w:gridCol w:w="590"/>
        <w:gridCol w:w="230"/>
        <w:gridCol w:w="90"/>
        <w:gridCol w:w="170"/>
        <w:gridCol w:w="590"/>
        <w:gridCol w:w="230"/>
        <w:gridCol w:w="90"/>
        <w:gridCol w:w="170"/>
        <w:gridCol w:w="590"/>
        <w:gridCol w:w="275"/>
      </w:tblGrid>
      <w:tr>
        <w:trPr/>
        <w:tc>
          <w:tcPr>
            <w:tcW w:w="255" w:type="dxa"/>
            <w:tcBorders/>
            <w:vAlign w:val="center"/>
          </w:tcPr>
          <w:p>
            <w:pPr>
              <w:pStyle w:val="TableContents"/>
              <w:bidi w:val="0"/>
              <w:spacing w:before="0" w:after="283"/>
              <w:jc w:val="left"/>
              <w:rPr>
                <w:sz w:val="4"/>
                <w:szCs w:val="4"/>
              </w:rPr>
            </w:pPr>
            <w:r>
              <w:rPr>
                <w:sz w:val="4"/>
                <w:szCs w:val="4"/>
              </w:rPr>
            </w:r>
          </w:p>
        </w:tc>
        <w:tc>
          <w:tcPr>
            <w:tcW w:w="528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55" w:type="dxa"/>
            <w:tcBorders/>
            <w:shd w:fill="CCEEFF" w:val="clear"/>
            <w:vAlign w:val="center"/>
          </w:tcPr>
          <w:p>
            <w:pPr>
              <w:pStyle w:val="TableContents"/>
              <w:bidi w:val="0"/>
              <w:spacing w:before="0" w:after="283"/>
              <w:jc w:val="left"/>
              <w:rPr/>
            </w:pPr>
            <w:r>
              <w:rPr/>
              <w:t> </w:t>
            </w:r>
          </w:p>
        </w:tc>
        <w:tc>
          <w:tcPr>
            <w:tcW w:w="5285" w:type="dxa"/>
            <w:tcBorders/>
            <w:shd w:fill="CCEEFF" w:val="clear"/>
            <w:vAlign w:val="center"/>
          </w:tcPr>
          <w:p>
            <w:pPr>
              <w:pStyle w:val="TableContents"/>
              <w:bidi w:val="0"/>
              <w:spacing w:before="0" w:after="283"/>
              <w:jc w:val="left"/>
              <w:rPr/>
            </w:pPr>
            <w:r>
              <w:rPr/>
              <w:t>Total Debt</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964.9</w:t>
            </w:r>
          </w:p>
        </w:tc>
        <w:tc>
          <w:tcPr>
            <w:tcW w:w="2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966.2</w:t>
            </w:r>
          </w:p>
        </w:tc>
        <w:tc>
          <w:tcPr>
            <w:tcW w:w="2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983.3</w:t>
            </w:r>
          </w:p>
        </w:tc>
        <w:tc>
          <w:tcPr>
            <w:tcW w:w="275" w:type="dxa"/>
            <w:tcBorders/>
            <w:shd w:fill="CCEEFF" w:val="clear"/>
            <w:vAlign w:val="center"/>
          </w:tcPr>
          <w:p>
            <w:pPr>
              <w:pStyle w:val="TableContents"/>
              <w:bidi w:val="0"/>
              <w:spacing w:before="0" w:after="283"/>
              <w:jc w:val="left"/>
              <w:rPr/>
            </w:pPr>
            <w:r>
              <w:rPr/>
              <w:t> </w:t>
            </w:r>
          </w:p>
        </w:tc>
      </w:tr>
      <w:tr>
        <w:trPr/>
        <w:tc>
          <w:tcPr>
            <w:tcW w:w="255"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283"/>
              <w:jc w:val="left"/>
              <w:rPr/>
            </w:pPr>
            <w:r>
              <w:rPr/>
              <w:t>Less: cash, cash equivalents and short-term investments</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tcMar>
              <w:bottom w:w="28" w:type="dxa"/>
            </w:tcMar>
            <w:vAlign w:val="center"/>
          </w:tcPr>
          <w:p>
            <w:pPr>
              <w:pStyle w:val="TableContents"/>
              <w:bidi w:val="0"/>
              <w:spacing w:before="0" w:after="283"/>
              <w:jc w:val="right"/>
              <w:rPr/>
            </w:pPr>
            <w:r>
              <w:rPr/>
              <w:t>346.2</w:t>
            </w:r>
          </w:p>
        </w:tc>
        <w:tc>
          <w:tcPr>
            <w:tcW w:w="23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tcMar>
              <w:bottom w:w="28" w:type="dxa"/>
            </w:tcMar>
            <w:vAlign w:val="center"/>
          </w:tcPr>
          <w:p>
            <w:pPr>
              <w:pStyle w:val="TableContents"/>
              <w:bidi w:val="0"/>
              <w:spacing w:before="0" w:after="283"/>
              <w:jc w:val="right"/>
              <w:rPr/>
            </w:pPr>
            <w:r>
              <w:rPr/>
              <w:t>321.3</w:t>
            </w:r>
          </w:p>
        </w:tc>
        <w:tc>
          <w:tcPr>
            <w:tcW w:w="23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tcMar>
              <w:bottom w:w="28" w:type="dxa"/>
            </w:tcMar>
            <w:vAlign w:val="center"/>
          </w:tcPr>
          <w:p>
            <w:pPr>
              <w:pStyle w:val="TableContents"/>
              <w:bidi w:val="0"/>
              <w:spacing w:before="0" w:after="283"/>
              <w:jc w:val="right"/>
              <w:rPr/>
            </w:pPr>
            <w:r>
              <w:rPr/>
              <w:t>320.0</w:t>
            </w:r>
          </w:p>
        </w:tc>
        <w:tc>
          <w:tcPr>
            <w:tcW w:w="2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55" w:type="dxa"/>
            <w:tcBorders/>
            <w:shd w:fill="CCEEFF" w:val="clear"/>
            <w:vAlign w:val="center"/>
          </w:tcPr>
          <w:p>
            <w:pPr>
              <w:pStyle w:val="TableContents"/>
              <w:bidi w:val="0"/>
              <w:spacing w:before="0" w:after="283"/>
              <w:ind w:left="0" w:right="0" w:firstLine="150"/>
              <w:jc w:val="left"/>
              <w:rPr/>
            </w:pPr>
            <w:r>
              <w:rPr/>
              <w:t> </w:t>
            </w:r>
          </w:p>
        </w:tc>
        <w:tc>
          <w:tcPr>
            <w:tcW w:w="5285" w:type="dxa"/>
            <w:tcBorders/>
            <w:shd w:fill="CCEEFF" w:val="clear"/>
            <w:vAlign w:val="center"/>
          </w:tcPr>
          <w:p>
            <w:pPr>
              <w:pStyle w:val="TableContents"/>
              <w:bidi w:val="0"/>
              <w:spacing w:before="0" w:after="283"/>
              <w:jc w:val="left"/>
              <w:rPr/>
            </w:pPr>
            <w:r>
              <w:rPr/>
              <w:t>Total</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618.7</w:t>
            </w:r>
          </w:p>
        </w:tc>
        <w:tc>
          <w:tcPr>
            <w:tcW w:w="2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644.9</w:t>
            </w:r>
          </w:p>
        </w:tc>
        <w:tc>
          <w:tcPr>
            <w:tcW w:w="2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663.3</w:t>
            </w:r>
          </w:p>
        </w:tc>
        <w:tc>
          <w:tcPr>
            <w:tcW w:w="275" w:type="dxa"/>
            <w:tcBorders/>
            <w:shd w:fill="CCEEFF" w:val="clear"/>
            <w:vAlign w:val="center"/>
          </w:tcPr>
          <w:p>
            <w:pPr>
              <w:pStyle w:val="TableContents"/>
              <w:bidi w:val="0"/>
              <w:spacing w:before="0" w:after="283"/>
              <w:jc w:val="left"/>
              <w:rPr/>
            </w:pPr>
            <w:r>
              <w:rPr/>
              <w:t> </w:t>
            </w:r>
          </w:p>
        </w:tc>
      </w:tr>
      <w:tr>
        <w:trPr/>
        <w:tc>
          <w:tcPr>
            <w:tcW w:w="255"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r>
      <w:tr>
        <w:trPr/>
        <w:tc>
          <w:tcPr>
            <w:tcW w:w="255" w:type="dxa"/>
            <w:tcBorders/>
            <w:shd w:fill="CCEEFF" w:val="clear"/>
            <w:vAlign w:val="center"/>
          </w:tcPr>
          <w:p>
            <w:pPr>
              <w:pStyle w:val="TableContents"/>
              <w:bidi w:val="0"/>
              <w:spacing w:before="0" w:after="283"/>
              <w:jc w:val="left"/>
              <w:rPr/>
            </w:pPr>
            <w:r>
              <w:rPr/>
              <w:t> </w:t>
            </w:r>
          </w:p>
        </w:tc>
        <w:tc>
          <w:tcPr>
            <w:tcW w:w="5285" w:type="dxa"/>
            <w:tcBorders/>
            <w:shd w:fill="CCEEFF" w:val="clear"/>
            <w:vAlign w:val="center"/>
          </w:tcPr>
          <w:p>
            <w:pPr>
              <w:pStyle w:val="TableContents"/>
              <w:bidi w:val="0"/>
              <w:spacing w:before="0" w:after="283"/>
              <w:jc w:val="left"/>
              <w:rPr/>
            </w:pPr>
            <w:r>
              <w:rPr/>
              <w:t>TTM Adjusted EBITDA</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379.7</w:t>
            </w:r>
          </w:p>
        </w:tc>
        <w:tc>
          <w:tcPr>
            <w:tcW w:w="2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379.6</w:t>
            </w:r>
          </w:p>
        </w:tc>
        <w:tc>
          <w:tcPr>
            <w:tcW w:w="2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381.3</w:t>
            </w:r>
          </w:p>
        </w:tc>
        <w:tc>
          <w:tcPr>
            <w:tcW w:w="275" w:type="dxa"/>
            <w:tcBorders/>
            <w:shd w:fill="CCEEFF" w:val="clear"/>
            <w:vAlign w:val="center"/>
          </w:tcPr>
          <w:p>
            <w:pPr>
              <w:pStyle w:val="TableContents"/>
              <w:bidi w:val="0"/>
              <w:spacing w:before="0" w:after="283"/>
              <w:jc w:val="left"/>
              <w:rPr/>
            </w:pPr>
            <w:r>
              <w:rPr/>
              <w:t> </w:t>
            </w:r>
          </w:p>
        </w:tc>
      </w:tr>
      <w:tr>
        <w:trPr/>
        <w:tc>
          <w:tcPr>
            <w:tcW w:w="255"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r>
      <w:tr>
        <w:trPr/>
        <w:tc>
          <w:tcPr>
            <w:tcW w:w="255" w:type="dxa"/>
            <w:tcBorders/>
            <w:shd w:fill="CCEEFF" w:val="clear"/>
            <w:vAlign w:val="center"/>
          </w:tcPr>
          <w:p>
            <w:pPr>
              <w:pStyle w:val="TableContents"/>
              <w:bidi w:val="0"/>
              <w:spacing w:before="0" w:after="283"/>
              <w:jc w:val="left"/>
              <w:rPr/>
            </w:pPr>
            <w:r>
              <w:rPr/>
              <w:t> </w:t>
            </w:r>
          </w:p>
        </w:tc>
        <w:tc>
          <w:tcPr>
            <w:tcW w:w="5285" w:type="dxa"/>
            <w:tcBorders/>
            <w:shd w:fill="CCEEFF" w:val="clear"/>
            <w:vAlign w:val="center"/>
          </w:tcPr>
          <w:p>
            <w:pPr>
              <w:pStyle w:val="TableContents"/>
              <w:bidi w:val="0"/>
              <w:spacing w:before="0" w:after="283"/>
              <w:jc w:val="left"/>
              <w:rPr/>
            </w:pPr>
            <w:r>
              <w:rPr/>
              <w:t>Adjusted net leverage</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1.6</w:t>
            </w:r>
          </w:p>
        </w:tc>
        <w:tc>
          <w:tcPr>
            <w:tcW w:w="230" w:type="dxa"/>
            <w:tcBorders/>
            <w:shd w:fill="CCEEFF" w:val="clear"/>
            <w:vAlign w:val="center"/>
          </w:tcPr>
          <w:p>
            <w:pPr>
              <w:pStyle w:val="TableContents"/>
              <w:bidi w:val="0"/>
              <w:spacing w:before="0" w:after="283"/>
              <w:jc w:val="left"/>
              <w:rPr/>
            </w:pPr>
            <w:r>
              <w:rPr/>
              <w:t>X</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1.7</w:t>
            </w:r>
          </w:p>
        </w:tc>
        <w:tc>
          <w:tcPr>
            <w:tcW w:w="230" w:type="dxa"/>
            <w:tcBorders/>
            <w:shd w:fill="CCEEFF" w:val="clear"/>
            <w:vAlign w:val="center"/>
          </w:tcPr>
          <w:p>
            <w:pPr>
              <w:pStyle w:val="TableContents"/>
              <w:bidi w:val="0"/>
              <w:spacing w:before="0" w:after="283"/>
              <w:jc w:val="left"/>
              <w:rPr/>
            </w:pPr>
            <w:r>
              <w:rPr/>
              <w:t>X</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1.7</w:t>
            </w:r>
          </w:p>
        </w:tc>
        <w:tc>
          <w:tcPr>
            <w:tcW w:w="275" w:type="dxa"/>
            <w:tcBorders/>
            <w:shd w:fill="CCEEFF" w:val="clear"/>
            <w:vAlign w:val="center"/>
          </w:tcPr>
          <w:p>
            <w:pPr>
              <w:pStyle w:val="TableContents"/>
              <w:bidi w:val="0"/>
              <w:spacing w:before="0" w:after="283"/>
              <w:jc w:val="left"/>
              <w:rPr/>
            </w:pPr>
            <w:r>
              <w:rPr/>
              <w:t>X</w:t>
            </w:r>
          </w:p>
        </w:tc>
      </w:tr>
    </w:tbl>
    <w:p>
      <w:pPr>
        <w:pStyle w:val="TextBody"/>
        <w:bidi w:val="0"/>
        <w:spacing w:before="0" w:after="0"/>
        <w:jc w:val="left"/>
        <w:rPr/>
      </w:pPr>
      <w:r>
        <w:rPr/>
        <w:t> </w:t>
      </w:r>
    </w:p>
    <w:tbl>
      <w:tblPr>
        <w:tblW w:w="7300" w:type="dxa"/>
        <w:jc w:val="left"/>
        <w:tblInd w:w="0" w:type="dxa"/>
        <w:tblLayout w:type="fixed"/>
        <w:tblCellMar>
          <w:top w:w="0" w:type="dxa"/>
          <w:left w:w="0" w:type="dxa"/>
          <w:bottom w:w="0" w:type="dxa"/>
          <w:right w:w="0" w:type="dxa"/>
        </w:tblCellMar>
      </w:tblPr>
      <w:tblGrid>
        <w:gridCol w:w="230"/>
        <w:gridCol w:w="7070"/>
      </w:tblGrid>
      <w:tr>
        <w:trPr/>
        <w:tc>
          <w:tcPr>
            <w:tcW w:w="230" w:type="dxa"/>
            <w:tcBorders/>
            <w:vAlign w:val="center"/>
          </w:tcPr>
          <w:p>
            <w:pPr>
              <w:pStyle w:val="TableContents"/>
              <w:bidi w:val="0"/>
              <w:spacing w:before="0" w:after="283"/>
              <w:jc w:val="left"/>
              <w:rPr>
                <w:sz w:val="4"/>
                <w:szCs w:val="4"/>
              </w:rPr>
            </w:pPr>
            <w:r>
              <w:rPr>
                <w:sz w:val="4"/>
                <w:szCs w:val="4"/>
              </w:rPr>
            </w:r>
          </w:p>
        </w:tc>
        <w:tc>
          <w:tcPr>
            <w:tcW w:w="707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center"/>
              <w:rPr>
                <w:sz w:val="20"/>
              </w:rPr>
            </w:pPr>
            <w:r>
              <w:rPr>
                <w:sz w:val="20"/>
              </w:rPr>
              <w:t>5)</w:t>
            </w:r>
          </w:p>
        </w:tc>
        <w:tc>
          <w:tcPr>
            <w:tcW w:w="7070" w:type="dxa"/>
            <w:tcBorders/>
            <w:vAlign w:val="center"/>
          </w:tcPr>
          <w:p>
            <w:pPr>
              <w:pStyle w:val="TableContents"/>
              <w:bidi w:val="0"/>
              <w:spacing w:before="0" w:after="283"/>
              <w:jc w:val="left"/>
              <w:rPr>
                <w:sz w:val="20"/>
              </w:rPr>
            </w:pPr>
            <w:r>
              <w:rPr>
                <w:sz w:val="20"/>
              </w:rPr>
              <w:t>The following table reflects the components of non-operating income and deductions:</w:t>
            </w:r>
          </w:p>
        </w:tc>
      </w:tr>
    </w:tbl>
    <w:p>
      <w:pPr>
        <w:pStyle w:val="TextBody"/>
        <w:bidi w:val="0"/>
        <w:spacing w:before="0" w:after="0"/>
        <w:jc w:val="left"/>
        <w:rPr/>
      </w:pPr>
      <w:r>
        <w:rPr/>
        <w:t> </w:t>
      </w:r>
    </w:p>
    <w:tbl>
      <w:tblPr>
        <w:tblW w:w="9665" w:type="dxa"/>
        <w:jc w:val="left"/>
        <w:tblInd w:w="0" w:type="dxa"/>
        <w:tblLayout w:type="fixed"/>
        <w:tblCellMar>
          <w:top w:w="0" w:type="dxa"/>
          <w:left w:w="0" w:type="dxa"/>
          <w:bottom w:w="0" w:type="dxa"/>
          <w:right w:w="0" w:type="dxa"/>
        </w:tblCellMar>
      </w:tblPr>
      <w:tblGrid>
        <w:gridCol w:w="255"/>
        <w:gridCol w:w="3410"/>
        <w:gridCol w:w="170"/>
        <w:gridCol w:w="665"/>
        <w:gridCol w:w="185"/>
        <w:gridCol w:w="90"/>
        <w:gridCol w:w="170"/>
        <w:gridCol w:w="770"/>
        <w:gridCol w:w="185"/>
        <w:gridCol w:w="90"/>
        <w:gridCol w:w="170"/>
        <w:gridCol w:w="860"/>
        <w:gridCol w:w="185"/>
        <w:gridCol w:w="90"/>
        <w:gridCol w:w="170"/>
        <w:gridCol w:w="665"/>
        <w:gridCol w:w="185"/>
        <w:gridCol w:w="90"/>
        <w:gridCol w:w="170"/>
        <w:gridCol w:w="860"/>
        <w:gridCol w:w="230"/>
      </w:tblGrid>
      <w:tr>
        <w:trPr/>
        <w:tc>
          <w:tcPr>
            <w:tcW w:w="255" w:type="dxa"/>
            <w:tcBorders/>
            <w:vAlign w:val="center"/>
          </w:tcPr>
          <w:p>
            <w:pPr>
              <w:pStyle w:val="TableContents"/>
              <w:bidi w:val="0"/>
              <w:spacing w:before="0" w:after="283"/>
              <w:jc w:val="left"/>
              <w:rPr>
                <w:sz w:val="4"/>
                <w:szCs w:val="4"/>
              </w:rPr>
            </w:pPr>
            <w:r>
              <w:rPr>
                <w:sz w:val="4"/>
                <w:szCs w:val="4"/>
              </w:rPr>
            </w:r>
          </w:p>
        </w:tc>
        <w:tc>
          <w:tcPr>
            <w:tcW w:w="341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55"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left"/>
              <w:rPr>
                <w:b/>
              </w:rPr>
            </w:pPr>
            <w:r>
              <w:rPr>
                <w:b/>
              </w:rPr>
              <w:t>(in millions of dollars)</w:t>
            </w:r>
          </w:p>
        </w:tc>
        <w:tc>
          <w:tcPr>
            <w:tcW w:w="3540" w:type="dxa"/>
            <w:gridSpan w:val="11"/>
            <w:tcBorders>
              <w:bottom w:val="single" w:sz="6" w:space="0" w:color="000000"/>
            </w:tcBorders>
            <w:tcMar>
              <w:bottom w:w="28" w:type="dxa"/>
            </w:tcMar>
            <w:vAlign w:val="center"/>
          </w:tcPr>
          <w:p>
            <w:pPr>
              <w:pStyle w:val="TableContents"/>
              <w:bidi w:val="0"/>
              <w:spacing w:before="0" w:after="283"/>
              <w:jc w:val="center"/>
              <w:rPr>
                <w:b/>
              </w:rPr>
            </w:pPr>
            <w:r>
              <w:rPr>
                <w:b/>
              </w:rPr>
              <w:t>Quarter Ended</w:t>
            </w:r>
          </w:p>
        </w:tc>
        <w:tc>
          <w:tcPr>
            <w:tcW w:w="90" w:type="dxa"/>
            <w:tcBorders/>
            <w:vAlign w:val="center"/>
          </w:tcPr>
          <w:p>
            <w:pPr>
              <w:pStyle w:val="TableContents"/>
              <w:bidi w:val="0"/>
              <w:spacing w:before="0" w:after="283"/>
              <w:jc w:val="left"/>
              <w:rPr/>
            </w:pPr>
            <w:r>
              <w:rPr/>
              <w:t> </w:t>
            </w:r>
          </w:p>
        </w:tc>
        <w:tc>
          <w:tcPr>
            <w:tcW w:w="2370" w:type="dxa"/>
            <w:gridSpan w:val="7"/>
            <w:tcBorders>
              <w:bottom w:val="single" w:sz="6" w:space="0" w:color="000000"/>
            </w:tcBorders>
            <w:tcMar>
              <w:bottom w:w="28" w:type="dxa"/>
            </w:tcMar>
            <w:vAlign w:val="center"/>
          </w:tcPr>
          <w:p>
            <w:pPr>
              <w:pStyle w:val="TableContents"/>
              <w:bidi w:val="0"/>
              <w:spacing w:before="0" w:after="283"/>
              <w:jc w:val="center"/>
              <w:rPr>
                <w:b/>
              </w:rPr>
            </w:pPr>
            <w:r>
              <w:rPr>
                <w:b/>
              </w:rPr>
              <w:t>Six Months Ended</w:t>
            </w:r>
          </w:p>
        </w:tc>
      </w:tr>
      <w:tr>
        <w:trPr/>
        <w:tc>
          <w:tcPr>
            <w:tcW w:w="255"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b/>
              </w:rPr>
            </w:pPr>
            <w:r>
              <w:rPr>
                <w:b/>
              </w:rPr>
              <w:t>Jul. 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b/>
              </w:rPr>
            </w:pPr>
            <w:r>
              <w:rPr>
                <w:b/>
              </w:rPr>
              <w:t>Apr. 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b/>
              </w:rPr>
            </w:pPr>
            <w:r>
              <w:rPr>
                <w:b/>
              </w:rPr>
              <w:t>Jun. 29,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b/>
              </w:rPr>
            </w:pPr>
            <w:r>
              <w:rPr>
                <w:b/>
              </w:rPr>
              <w:t>Jul. 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b/>
              </w:rPr>
            </w:pPr>
            <w:r>
              <w:rPr>
                <w:b/>
              </w:rPr>
              <w:t>Jun. 29,</w:t>
            </w:r>
          </w:p>
        </w:tc>
        <w:tc>
          <w:tcPr>
            <w:tcW w:w="230" w:type="dxa"/>
            <w:tcBorders/>
            <w:vAlign w:val="center"/>
          </w:tcPr>
          <w:p>
            <w:pPr>
              <w:pStyle w:val="TableContents"/>
              <w:bidi w:val="0"/>
              <w:spacing w:before="0" w:after="283"/>
              <w:jc w:val="left"/>
              <w:rPr/>
            </w:pPr>
            <w:r>
              <w:rPr/>
              <w:t> </w:t>
            </w:r>
          </w:p>
        </w:tc>
      </w:tr>
      <w:tr>
        <w:trPr/>
        <w:tc>
          <w:tcPr>
            <w:tcW w:w="255"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665"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770"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60"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665"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60"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23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55" w:type="dxa"/>
            <w:tcBorders/>
            <w:shd w:fill="CCEEFF" w:val="clear"/>
            <w:vAlign w:val="center"/>
          </w:tcPr>
          <w:p>
            <w:pPr>
              <w:pStyle w:val="TableContents"/>
              <w:bidi w:val="0"/>
              <w:spacing w:before="0" w:after="283"/>
              <w:jc w:val="left"/>
              <w:rPr/>
            </w:pPr>
            <w:r>
              <w:rPr/>
              <w:t> </w:t>
            </w:r>
          </w:p>
        </w:tc>
        <w:tc>
          <w:tcPr>
            <w:tcW w:w="3410" w:type="dxa"/>
            <w:tcBorders/>
            <w:shd w:fill="CCEEFF" w:val="clear"/>
            <w:vAlign w:val="center"/>
          </w:tcPr>
          <w:p>
            <w:pPr>
              <w:pStyle w:val="TableContents"/>
              <w:bidi w:val="0"/>
              <w:spacing w:before="0" w:after="283"/>
              <w:jc w:val="left"/>
              <w:rPr/>
            </w:pPr>
            <w:r>
              <w:rPr/>
              <w:t>Interest income</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1.5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jc w:val="right"/>
              <w:rPr/>
            </w:pPr>
            <w:r>
              <w:rPr/>
              <w:t>1.3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1.2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2.8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2.4</w:t>
            </w:r>
          </w:p>
        </w:tc>
        <w:tc>
          <w:tcPr>
            <w:tcW w:w="230" w:type="dxa"/>
            <w:tcBorders/>
            <w:shd w:fill="CCEEFF" w:val="clear"/>
            <w:vAlign w:val="center"/>
          </w:tcPr>
          <w:p>
            <w:pPr>
              <w:pStyle w:val="TableContents"/>
              <w:bidi w:val="0"/>
              <w:spacing w:before="0" w:after="283"/>
              <w:jc w:val="left"/>
              <w:rPr/>
            </w:pPr>
            <w:r>
              <w:rPr/>
              <w:t> </w:t>
            </w:r>
          </w:p>
        </w:tc>
      </w:tr>
      <w:tr>
        <w:trPr/>
        <w:tc>
          <w:tcPr>
            <w:tcW w:w="255"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left"/>
              <w:rPr/>
            </w:pPr>
            <w:r>
              <w:rPr/>
              <w:t>Interest expense</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(13.6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(14.6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(14.8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(28.2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(30.2</w:t>
            </w:r>
          </w:p>
        </w:tc>
        <w:tc>
          <w:tcPr>
            <w:tcW w:w="230" w:type="dxa"/>
            <w:tcBorders/>
            <w:vAlign w:val="center"/>
          </w:tcPr>
          <w:p>
            <w:pPr>
              <w:pStyle w:val="TableContents"/>
              <w:bidi w:val="0"/>
              <w:spacing w:before="0" w:after="283"/>
              <w:jc w:val="left"/>
              <w:rPr/>
            </w:pPr>
            <w:r>
              <w:rPr/>
              <w:t>) </w:t>
            </w:r>
          </w:p>
        </w:tc>
      </w:tr>
      <w:tr>
        <w:trPr/>
        <w:tc>
          <w:tcPr>
            <w:tcW w:w="255" w:type="dxa"/>
            <w:tcBorders/>
            <w:shd w:fill="CCEEFF" w:val="clear"/>
            <w:vAlign w:val="center"/>
          </w:tcPr>
          <w:p>
            <w:pPr>
              <w:pStyle w:val="TableContents"/>
              <w:bidi w:val="0"/>
              <w:spacing w:before="0" w:after="283"/>
              <w:jc w:val="left"/>
              <w:rPr/>
            </w:pPr>
            <w:r>
              <w:rPr/>
              <w:t> </w:t>
            </w:r>
          </w:p>
        </w:tc>
        <w:tc>
          <w:tcPr>
            <w:tcW w:w="3410" w:type="dxa"/>
            <w:tcBorders/>
            <w:shd w:fill="CCEEFF" w:val="clear"/>
            <w:vAlign w:val="center"/>
          </w:tcPr>
          <w:p>
            <w:pPr>
              <w:pStyle w:val="TableContents"/>
              <w:bidi w:val="0"/>
              <w:spacing w:before="0" w:after="283"/>
              <w:jc w:val="left"/>
              <w:rPr/>
            </w:pPr>
            <w:r>
              <w:rPr/>
              <w:t>Foreign exchange gains (losses)</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0.7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1.4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(1.7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(1.9</w:t>
            </w:r>
          </w:p>
        </w:tc>
        <w:tc>
          <w:tcPr>
            <w:tcW w:w="230" w:type="dxa"/>
            <w:tcBorders/>
            <w:shd w:fill="CCEEFF" w:val="clear"/>
            <w:vAlign w:val="center"/>
          </w:tcPr>
          <w:p>
            <w:pPr>
              <w:pStyle w:val="TableContents"/>
              <w:bidi w:val="0"/>
              <w:spacing w:before="0" w:after="283"/>
              <w:jc w:val="left"/>
              <w:rPr/>
            </w:pPr>
            <w:r>
              <w:rPr/>
              <w:t>) </w:t>
            </w:r>
          </w:p>
        </w:tc>
      </w:tr>
      <w:tr>
        <w:trPr/>
        <w:tc>
          <w:tcPr>
            <w:tcW w:w="255"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left"/>
              <w:rPr/>
            </w:pPr>
            <w:r>
              <w:rPr/>
              <w:t>Other income (deductions)</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665" w:type="dxa"/>
            <w:tcBorders>
              <w:bottom w:val="single" w:sz="6" w:space="0" w:color="000000"/>
            </w:tcBorders>
            <w:tcMar>
              <w:bottom w:w="28" w:type="dxa"/>
            </w:tcMar>
            <w:vAlign w:val="center"/>
          </w:tcPr>
          <w:p>
            <w:pPr>
              <w:pStyle w:val="TableContents"/>
              <w:bidi w:val="0"/>
              <w:spacing w:before="0" w:after="283"/>
              <w:jc w:val="right"/>
              <w:rPr/>
            </w:pPr>
            <w:r>
              <w:rPr/>
              <w:t>0.4</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770" w:type="dxa"/>
            <w:tcBorders>
              <w:bottom w:val="single" w:sz="6" w:space="0" w:color="000000"/>
            </w:tcBorders>
            <w:tcMar>
              <w:bottom w:w="28" w:type="dxa"/>
            </w:tcMar>
            <w:vAlign w:val="center"/>
          </w:tcPr>
          <w:p>
            <w:pPr>
              <w:pStyle w:val="TableContents"/>
              <w:bidi w:val="0"/>
              <w:spacing w:before="0" w:after="283"/>
              <w:jc w:val="right"/>
              <w:rPr/>
            </w:pPr>
            <w:r>
              <w:rPr/>
              <w:t>(0.9</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60" w:type="dxa"/>
            <w:tcBorders>
              <w:bottom w:val="single" w:sz="6" w:space="0" w:color="000000"/>
            </w:tcBorders>
            <w:tcMar>
              <w:bottom w:w="28" w:type="dxa"/>
            </w:tcMar>
            <w:vAlign w:val="center"/>
          </w:tcPr>
          <w:p>
            <w:pPr>
              <w:pStyle w:val="TableContents"/>
              <w:bidi w:val="0"/>
              <w:spacing w:before="0" w:after="283"/>
              <w:jc w:val="right"/>
              <w:rPr/>
            </w:pPr>
            <w:r>
              <w:rPr/>
              <w:t>(0.2</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665" w:type="dxa"/>
            <w:tcBorders>
              <w:bottom w:val="single" w:sz="6" w:space="0" w:color="000000"/>
            </w:tcBorders>
            <w:tcMar>
              <w:bottom w:w="28" w:type="dxa"/>
            </w:tcMar>
            <w:vAlign w:val="center"/>
          </w:tcPr>
          <w:p>
            <w:pPr>
              <w:pStyle w:val="TableContents"/>
              <w:bidi w:val="0"/>
              <w:spacing w:before="0" w:after="283"/>
              <w:jc w:val="right"/>
              <w:rPr/>
            </w:pPr>
            <w:r>
              <w:rPr/>
              <w:t>(0.5</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60" w:type="dxa"/>
            <w:tcBorders>
              <w:bottom w:val="single" w:sz="6" w:space="0" w:color="000000"/>
            </w:tcBorders>
            <w:tcMar>
              <w:bottom w:w="28" w:type="dxa"/>
            </w:tcMar>
            <w:vAlign w:val="center"/>
          </w:tcPr>
          <w:p>
            <w:pPr>
              <w:pStyle w:val="TableContents"/>
              <w:bidi w:val="0"/>
              <w:spacing w:before="0" w:after="283"/>
              <w:jc w:val="right"/>
              <w:rPr/>
            </w:pPr>
            <w:r>
              <w:rPr/>
              <w:t>(2.0</w:t>
            </w:r>
          </w:p>
        </w:tc>
        <w:tc>
          <w:tcPr>
            <w:tcW w:w="23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55" w:type="dxa"/>
            <w:tcBorders/>
            <w:shd w:fill="CCEEFF" w:val="clear"/>
            <w:vAlign w:val="center"/>
          </w:tcPr>
          <w:p>
            <w:pPr>
              <w:pStyle w:val="TableContents"/>
              <w:bidi w:val="0"/>
              <w:spacing w:before="0" w:after="283"/>
              <w:ind w:left="0" w:right="0" w:firstLine="150"/>
              <w:jc w:val="left"/>
              <w:rPr/>
            </w:pPr>
            <w:r>
              <w:rPr/>
              <w:t> </w:t>
            </w:r>
          </w:p>
        </w:tc>
        <w:tc>
          <w:tcPr>
            <w:tcW w:w="3410" w:type="dxa"/>
            <w:tcBorders/>
            <w:shd w:fill="CCEEFF" w:val="clear"/>
            <w:vAlign w:val="center"/>
          </w:tcPr>
          <w:p>
            <w:pPr>
              <w:pStyle w:val="TableContents"/>
              <w:bidi w:val="0"/>
              <w:spacing w:before="0" w:after="283"/>
              <w:jc w:val="left"/>
              <w:rPr/>
            </w:pPr>
            <w:r>
              <w:rPr/>
              <w:t>Total non-operating deductions, net</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single" w:sz="6" w:space="0" w:color="000000"/>
            </w:tcBorders>
            <w:shd w:fill="CCEEFF" w:val="clear"/>
            <w:tcMar>
              <w:bottom w:w="28" w:type="dxa"/>
            </w:tcMar>
            <w:vAlign w:val="center"/>
          </w:tcPr>
          <w:p>
            <w:pPr>
              <w:pStyle w:val="TableContents"/>
              <w:bidi w:val="0"/>
              <w:spacing w:before="0" w:after="283"/>
              <w:jc w:val="right"/>
              <w:rPr/>
            </w:pPr>
            <w:r>
              <w:rPr/>
              <w:t>(11.0</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770" w:type="dxa"/>
            <w:tcBorders>
              <w:bottom w:val="single" w:sz="6" w:space="0" w:color="000000"/>
            </w:tcBorders>
            <w:shd w:fill="CCEEFF" w:val="clear"/>
            <w:tcMar>
              <w:bottom w:w="28" w:type="dxa"/>
            </w:tcMar>
            <w:vAlign w:val="center"/>
          </w:tcPr>
          <w:p>
            <w:pPr>
              <w:pStyle w:val="TableContents"/>
              <w:bidi w:val="0"/>
              <w:spacing w:before="0" w:after="283"/>
              <w:jc w:val="right"/>
              <w:rPr/>
            </w:pPr>
            <w:r>
              <w:rPr/>
              <w:t>(12.8</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860" w:type="dxa"/>
            <w:tcBorders>
              <w:bottom w:val="single" w:sz="6" w:space="0" w:color="000000"/>
            </w:tcBorders>
            <w:shd w:fill="CCEEFF" w:val="clear"/>
            <w:tcMar>
              <w:bottom w:w="28" w:type="dxa"/>
            </w:tcMar>
            <w:vAlign w:val="center"/>
          </w:tcPr>
          <w:p>
            <w:pPr>
              <w:pStyle w:val="TableContents"/>
              <w:bidi w:val="0"/>
              <w:spacing w:before="0" w:after="283"/>
              <w:jc w:val="right"/>
              <w:rPr/>
            </w:pPr>
            <w:r>
              <w:rPr/>
              <w:t>(15.5</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single" w:sz="6" w:space="0" w:color="000000"/>
            </w:tcBorders>
            <w:shd w:fill="CCEEFF" w:val="clear"/>
            <w:tcMar>
              <w:bottom w:w="28" w:type="dxa"/>
            </w:tcMar>
            <w:vAlign w:val="center"/>
          </w:tcPr>
          <w:p>
            <w:pPr>
              <w:pStyle w:val="TableContents"/>
              <w:bidi w:val="0"/>
              <w:spacing w:before="0" w:after="283"/>
              <w:jc w:val="right"/>
              <w:rPr/>
            </w:pPr>
            <w:r>
              <w:rPr/>
              <w:t>(23.8</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860" w:type="dxa"/>
            <w:tcBorders>
              <w:bottom w:val="single" w:sz="6" w:space="0" w:color="000000"/>
            </w:tcBorders>
            <w:shd w:fill="CCEEFF" w:val="clear"/>
            <w:tcMar>
              <w:bottom w:w="28" w:type="dxa"/>
            </w:tcMar>
            <w:vAlign w:val="center"/>
          </w:tcPr>
          <w:p>
            <w:pPr>
              <w:pStyle w:val="TableContents"/>
              <w:bidi w:val="0"/>
              <w:spacing w:before="0" w:after="283"/>
              <w:jc w:val="right"/>
              <w:rPr/>
            </w:pPr>
            <w:r>
              <w:rPr/>
              <w:t>(31.7</w:t>
            </w:r>
          </w:p>
        </w:tc>
        <w:tc>
          <w:tcPr>
            <w:tcW w:w="23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4972" w:type="dxa"/>
        <w:jc w:val="left"/>
        <w:tblInd w:w="0" w:type="dxa"/>
        <w:tblLayout w:type="fixed"/>
        <w:tblCellMar>
          <w:top w:w="0" w:type="dxa"/>
          <w:left w:w="0" w:type="dxa"/>
          <w:bottom w:w="0" w:type="dxa"/>
          <w:right w:w="0" w:type="dxa"/>
        </w:tblCellMar>
      </w:tblPr>
      <w:tblGrid>
        <w:gridCol w:w="170"/>
        <w:gridCol w:w="2090"/>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424"/>
        <w:gridCol w:w="530"/>
        <w:gridCol w:w="530"/>
        <w:gridCol w:w="530"/>
        <w:gridCol w:w="530"/>
        <w:gridCol w:w="530"/>
        <w:gridCol w:w="530"/>
        <w:gridCol w:w="530"/>
        <w:gridCol w:w="530"/>
        <w:gridCol w:w="530"/>
        <w:gridCol w:w="530"/>
        <w:gridCol w:w="530"/>
        <w:gridCol w:w="530"/>
        <w:gridCol w:w="530"/>
        <w:gridCol w:w="530"/>
        <w:gridCol w:w="530"/>
        <w:gridCol w:w="530"/>
        <w:gridCol w:w="575"/>
      </w:tblGrid>
      <w:tr>
        <w:trPr/>
        <w:tc>
          <w:tcPr>
            <w:tcW w:w="170"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70" w:type="dxa"/>
            <w:tcBorders/>
            <w:vAlign w:val="center"/>
          </w:tcPr>
          <w:p>
            <w:pPr>
              <w:pStyle w:val="TableContents"/>
              <w:bidi w:val="0"/>
              <w:spacing w:before="0" w:after="283"/>
              <w:jc w:val="center"/>
              <w:rPr>
                <w:sz w:val="20"/>
              </w:rPr>
            </w:pPr>
            <w:r>
              <w:rPr>
                <w:sz w:val="20"/>
              </w:rPr>
              <w:t>6)</w:t>
            </w:r>
          </w:p>
        </w:tc>
        <w:tc>
          <w:tcPr>
            <w:tcW w:w="2090" w:type="dxa"/>
            <w:tcBorders/>
            <w:vAlign w:val="center"/>
          </w:tcPr>
          <w:p>
            <w:pPr>
              <w:pStyle w:val="TableContents"/>
              <w:bidi w:val="0"/>
              <w:spacing w:before="0" w:after="283"/>
              <w:jc w:val="left"/>
              <w:rPr>
                <w:sz w:val="20"/>
              </w:rPr>
            </w:pPr>
            <w:r>
              <w:rPr>
                <w:sz w:val="20"/>
              </w:rPr>
              <w:t>The analyst conference call to discuss operating results for the second quarter is scheduled for Friday, July 31, 2026 at 11:00 am Eastern Time and will be broadcast over the Company's website (www.mineralstech.com). The broadcast will remain on the Company's website for no less than one year.</w:t>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30" w:type="dxa"/>
            <w:gridSpan w:val="10"/>
            <w:tcBorders/>
            <w:vAlign w:val="center"/>
          </w:tcPr>
          <w:p>
            <w:pPr>
              <w:pStyle w:val="TableContents"/>
              <w:bidi w:val="0"/>
              <w:spacing w:before="0" w:after="283"/>
              <w:jc w:val="left"/>
              <w:rPr>
                <w:sz w:val="4"/>
                <w:szCs w:val="4"/>
              </w:rPr>
            </w:pPr>
            <w:r>
              <w:rPr>
                <w:sz w:val="4"/>
                <w:szCs w:val="4"/>
              </w:rPr>
            </w:r>
          </w:p>
        </w:tc>
        <w:tc>
          <w:tcPr>
            <w:tcW w:w="575" w:type="dxa"/>
            <w:gridSpan w:val="1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pPr>
      <w:r>
        <w:rPr/>
        <w:t> </w:t>
      </w:r>
    </w:p>
    <w:p>
      <w:pPr>
        <w:pStyle w:val="TextBody"/>
        <w:bidi w:val="0"/>
        <w:spacing w:before="0" w:after="0"/>
        <w:jc w:val="center"/>
        <w:rPr>
          <w:b/>
          <w:spacing w:val="0"/>
        </w:rPr>
      </w:pPr>
      <w:r>
        <w:rPr>
          <w:b/>
          <w:spacing w:val="0"/>
        </w:rPr>
        <w:t>MINERALS TECHNOLOGIES INC. AND SUBSIDIARY COMPANIES</w:t>
      </w:r>
    </w:p>
    <w:p>
      <w:pPr>
        <w:pStyle w:val="TextBody"/>
        <w:bidi w:val="0"/>
        <w:spacing w:before="0" w:after="0"/>
        <w:jc w:val="center"/>
        <w:rPr>
          <w:b/>
          <w:spacing w:val="0"/>
        </w:rPr>
      </w:pPr>
      <w:r>
        <w:rPr>
          <w:b/>
          <w:spacing w:val="0"/>
        </w:rPr>
        <w:t>SUPPLEMENTARY DATA</w:t>
      </w:r>
    </w:p>
    <w:p>
      <w:pPr>
        <w:pStyle w:val="TextBody"/>
        <w:bidi w:val="0"/>
        <w:spacing w:before="0" w:after="0"/>
        <w:jc w:val="center"/>
        <w:rPr>
          <w:b/>
          <w:spacing w:val="0"/>
          <w:sz w:val="20"/>
        </w:rPr>
      </w:pPr>
      <w:r>
        <w:rPr>
          <w:b/>
          <w:spacing w:val="0"/>
          <w:sz w:val="20"/>
        </w:rPr>
        <w:t>(in millions of dollars)</w:t>
      </w:r>
    </w:p>
    <w:p>
      <w:pPr>
        <w:pStyle w:val="TextBody"/>
        <w:bidi w:val="0"/>
        <w:spacing w:before="0" w:after="0"/>
        <w:jc w:val="center"/>
        <w:rPr>
          <w:b/>
          <w:spacing w:val="0"/>
          <w:sz w:val="20"/>
        </w:rPr>
      </w:pPr>
      <w:r>
        <w:rPr>
          <w:b/>
          <w:spacing w:val="0"/>
          <w:sz w:val="20"/>
        </w:rPr>
        <w:t>(unaudited)</w:t>
      </w:r>
    </w:p>
    <w:p>
      <w:pPr>
        <w:pStyle w:val="TextBody"/>
        <w:bidi w:val="0"/>
        <w:spacing w:before="0" w:after="0"/>
        <w:jc w:val="left"/>
        <w:rPr/>
      </w:pPr>
      <w:r>
        <w:rPr/>
        <w:t> </w:t>
      </w:r>
    </w:p>
    <w:tbl>
      <w:tblPr>
        <w:tblW w:w="15750" w:type="dxa"/>
        <w:jc w:val="left"/>
        <w:tblInd w:w="0" w:type="dxa"/>
        <w:tblLayout w:type="fixed"/>
        <w:tblCellMar>
          <w:top w:w="0" w:type="dxa"/>
          <w:left w:w="0" w:type="dxa"/>
          <w:bottom w:w="0" w:type="dxa"/>
          <w:right w:w="0" w:type="dxa"/>
        </w:tblCellMar>
      </w:tblPr>
      <w:tblGrid>
        <w:gridCol w:w="1820"/>
        <w:gridCol w:w="90"/>
        <w:gridCol w:w="170"/>
        <w:gridCol w:w="590"/>
        <w:gridCol w:w="90"/>
        <w:gridCol w:w="90"/>
        <w:gridCol w:w="90"/>
        <w:gridCol w:w="590"/>
        <w:gridCol w:w="245"/>
        <w:gridCol w:w="90"/>
        <w:gridCol w:w="170"/>
        <w:gridCol w:w="590"/>
        <w:gridCol w:w="90"/>
        <w:gridCol w:w="90"/>
        <w:gridCol w:w="90"/>
        <w:gridCol w:w="590"/>
        <w:gridCol w:w="245"/>
        <w:gridCol w:w="90"/>
        <w:gridCol w:w="170"/>
        <w:gridCol w:w="590"/>
        <w:gridCol w:w="90"/>
        <w:gridCol w:w="90"/>
        <w:gridCol w:w="90"/>
        <w:gridCol w:w="590"/>
        <w:gridCol w:w="245"/>
        <w:gridCol w:w="90"/>
        <w:gridCol w:w="90"/>
        <w:gridCol w:w="590"/>
        <w:gridCol w:w="245"/>
        <w:gridCol w:w="90"/>
        <w:gridCol w:w="90"/>
        <w:gridCol w:w="590"/>
        <w:gridCol w:w="245"/>
        <w:gridCol w:w="90"/>
        <w:gridCol w:w="170"/>
        <w:gridCol w:w="770"/>
        <w:gridCol w:w="90"/>
        <w:gridCol w:w="90"/>
        <w:gridCol w:w="90"/>
        <w:gridCol w:w="590"/>
        <w:gridCol w:w="245"/>
        <w:gridCol w:w="90"/>
        <w:gridCol w:w="170"/>
        <w:gridCol w:w="770"/>
        <w:gridCol w:w="90"/>
        <w:gridCol w:w="90"/>
        <w:gridCol w:w="90"/>
        <w:gridCol w:w="590"/>
        <w:gridCol w:w="245"/>
        <w:gridCol w:w="90"/>
        <w:gridCol w:w="90"/>
        <w:gridCol w:w="1145"/>
        <w:gridCol w:w="440"/>
      </w:tblGrid>
      <w:tr>
        <w:trPr/>
        <w:tc>
          <w:tcPr>
            <w:tcW w:w="18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775" w:type="dxa"/>
            <w:gridSpan w:val="23"/>
            <w:tcBorders>
              <w:bottom w:val="single" w:sz="2" w:space="0" w:color="000000"/>
            </w:tcBorders>
            <w:tcMar>
              <w:bottom w:w="28" w:type="dxa"/>
            </w:tcMar>
            <w:vAlign w:val="center"/>
          </w:tcPr>
          <w:p>
            <w:pPr>
              <w:pStyle w:val="TableContents"/>
              <w:bidi w:val="0"/>
              <w:spacing w:before="0" w:after="283"/>
              <w:jc w:val="center"/>
              <w:rPr>
                <w:b/>
              </w:rPr>
            </w:pPr>
            <w:r>
              <w:rPr>
                <w:b/>
              </w:rPr>
              <w:t>Quarter Ended</w:t>
            </w:r>
          </w:p>
        </w:tc>
        <w:tc>
          <w:tcPr>
            <w:tcW w:w="90" w:type="dxa"/>
            <w:tcBorders/>
            <w:vAlign w:val="center"/>
          </w:tcPr>
          <w:p>
            <w:pPr>
              <w:pStyle w:val="TableContents"/>
              <w:bidi w:val="0"/>
              <w:spacing w:before="0" w:after="283"/>
              <w:jc w:val="left"/>
              <w:rPr/>
            </w:pPr>
            <w:r>
              <w:rPr/>
              <w:t> </w:t>
            </w:r>
          </w:p>
        </w:tc>
        <w:tc>
          <w:tcPr>
            <w:tcW w:w="1940" w:type="dxa"/>
            <w:gridSpan w:val="7"/>
            <w:tcBorders>
              <w:bottom w:val="single" w:sz="2" w:space="0" w:color="000000"/>
            </w:tcBorders>
            <w:tcMar>
              <w:bottom w:w="28" w:type="dxa"/>
            </w:tcMar>
            <w:vAlign w:val="center"/>
          </w:tcPr>
          <w:p>
            <w:pPr>
              <w:pStyle w:val="TableContents"/>
              <w:bidi w:val="0"/>
              <w:spacing w:before="0" w:after="283"/>
              <w:jc w:val="center"/>
              <w:rPr>
                <w:b/>
              </w:rPr>
            </w:pPr>
            <w:r>
              <w:rPr>
                <w:b/>
              </w:rPr>
              <w:t>% Growth</w:t>
            </w:r>
          </w:p>
        </w:tc>
        <w:tc>
          <w:tcPr>
            <w:tcW w:w="90" w:type="dxa"/>
            <w:tcBorders/>
            <w:vAlign w:val="center"/>
          </w:tcPr>
          <w:p>
            <w:pPr>
              <w:pStyle w:val="TableContents"/>
              <w:bidi w:val="0"/>
              <w:spacing w:before="0" w:after="283"/>
              <w:jc w:val="left"/>
              <w:rPr/>
            </w:pPr>
            <w:r>
              <w:rPr/>
              <w:t> </w:t>
            </w:r>
          </w:p>
        </w:tc>
        <w:tc>
          <w:tcPr>
            <w:tcW w:w="4180" w:type="dxa"/>
            <w:gridSpan w:val="15"/>
            <w:tcBorders>
              <w:bottom w:val="single" w:sz="2" w:space="0" w:color="000000"/>
            </w:tcBorders>
            <w:tcMar>
              <w:bottom w:w="28" w:type="dxa"/>
            </w:tcMar>
            <w:vAlign w:val="center"/>
          </w:tcPr>
          <w:p>
            <w:pPr>
              <w:pStyle w:val="TableContents"/>
              <w:bidi w:val="0"/>
              <w:spacing w:before="0" w:after="283"/>
              <w:jc w:val="center"/>
              <w:rPr>
                <w:b/>
              </w:rPr>
            </w:pPr>
            <w:r>
              <w:rPr>
                <w:b/>
              </w:rPr>
              <w:t>Six Months Ended</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2" w:space="0" w:color="000000"/>
            </w:tcBorders>
            <w:tcMar>
              <w:bottom w:w="28" w:type="dxa"/>
            </w:tcMar>
            <w:vAlign w:val="center"/>
          </w:tcPr>
          <w:p>
            <w:pPr>
              <w:pStyle w:val="TableContents"/>
              <w:bidi w:val="0"/>
              <w:spacing w:before="0" w:after="283"/>
              <w:jc w:val="center"/>
              <w:rPr>
                <w:b/>
              </w:rPr>
            </w:pPr>
            <w:r>
              <w:rPr>
                <w:b/>
              </w:rPr>
              <w:t>% Growth</w:t>
            </w:r>
          </w:p>
        </w:tc>
        <w:tc>
          <w:tcPr>
            <w:tcW w:w="44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b/>
              </w:rPr>
            </w:pPr>
            <w:r>
              <w:rPr>
                <w:b/>
              </w:rPr>
              <w:t>SALES DATA</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ind w:left="0" w:right="0" w:hanging="150"/>
              <w:jc w:val="left"/>
              <w:rPr/>
            </w:pPr>
            <w:r>
              <w:rPr/>
              <w:t> </w:t>
            </w:r>
          </w:p>
        </w:tc>
        <w:tc>
          <w:tcPr>
            <w:tcW w:w="590" w:type="dxa"/>
            <w:tcBorders/>
            <w:vAlign w:val="center"/>
          </w:tcPr>
          <w:p>
            <w:pPr>
              <w:pStyle w:val="TableContents"/>
              <w:bidi w:val="0"/>
              <w:spacing w:before="0" w:after="283"/>
              <w:jc w:val="center"/>
              <w:rPr>
                <w:b/>
              </w:rPr>
            </w:pPr>
            <w:r>
              <w:rPr>
                <w:b/>
              </w:rPr>
              <w:t>Jul. 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b/>
              </w:rPr>
            </w:pPr>
            <w:r>
              <w:rPr>
                <w:b/>
              </w:rPr>
              <w:t>% of</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b/>
              </w:rPr>
            </w:pPr>
            <w:r>
              <w:rPr>
                <w:b/>
              </w:rPr>
              <w:t>Apr. 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b/>
              </w:rPr>
            </w:pPr>
            <w:r>
              <w:rPr>
                <w:b/>
              </w:rPr>
              <w:t>% of</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b/>
              </w:rPr>
            </w:pPr>
            <w:r>
              <w:rPr>
                <w:b/>
              </w:rPr>
              <w:t>Jun. 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b/>
              </w:rPr>
            </w:pPr>
            <w:r>
              <w:rPr>
                <w:b/>
              </w:rPr>
              <w:t>% of</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b/>
              </w:rPr>
            </w:pPr>
            <w:r>
              <w:rPr>
                <w:b/>
              </w:rPr>
              <w:t>Prior</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b/>
              </w:rPr>
            </w:pPr>
            <w:r>
              <w:rPr>
                <w:b/>
              </w:rPr>
              <w:t>Prior</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b/>
              </w:rPr>
            </w:pPr>
            <w:r>
              <w:rPr>
                <w:b/>
              </w:rPr>
              <w:t>Jul. 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b/>
              </w:rPr>
            </w:pPr>
            <w:r>
              <w:rPr>
                <w:b/>
              </w:rPr>
              <w:t>% of</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b/>
              </w:rPr>
            </w:pPr>
            <w:r>
              <w:rPr>
                <w:b/>
              </w:rPr>
              <w:t>Jun. 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b/>
              </w:rPr>
            </w:pPr>
            <w:r>
              <w:rPr>
                <w:b/>
              </w:rPr>
              <w:t>% of</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Prior</w:t>
            </w:r>
          </w:p>
        </w:tc>
        <w:tc>
          <w:tcPr>
            <w:tcW w:w="44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center"/>
              <w:rPr>
                <w:b/>
              </w:rPr>
            </w:pPr>
            <w:r>
              <w:rPr>
                <w:b/>
              </w:rPr>
              <w:t>Total Sales</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center"/>
              <w:rPr>
                <w:b/>
              </w:rPr>
            </w:pPr>
            <w:r>
              <w:rPr>
                <w:b/>
              </w:rPr>
              <w:t>Total Sales</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center"/>
              <w:rPr>
                <w:b/>
              </w:rPr>
            </w:pPr>
            <w:r>
              <w:rPr>
                <w:b/>
              </w:rPr>
              <w:t>Total Sales</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center"/>
              <w:rPr>
                <w:b/>
              </w:rPr>
            </w:pPr>
            <w:r>
              <w:rPr>
                <w:b/>
              </w:rPr>
              <w:t>Qtr.</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center"/>
              <w:rPr>
                <w:b/>
              </w:rPr>
            </w:pPr>
            <w:r>
              <w:rPr>
                <w:b/>
              </w:rPr>
              <w:t>Year</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70" w:type="dxa"/>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center"/>
              <w:rPr>
                <w:b/>
              </w:rPr>
            </w:pPr>
            <w:r>
              <w:rPr>
                <w:b/>
              </w:rPr>
              <w:t>Total Sales</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7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center"/>
              <w:rPr>
                <w:b/>
              </w:rPr>
            </w:pPr>
            <w:r>
              <w:rPr>
                <w:b/>
              </w:rPr>
              <w:t>Total Sales</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2" w:space="0" w:color="000000"/>
            </w:tcBorders>
            <w:tcMar>
              <w:bottom w:w="28" w:type="dxa"/>
            </w:tcMar>
            <w:vAlign w:val="center"/>
          </w:tcPr>
          <w:p>
            <w:pPr>
              <w:pStyle w:val="TableContents"/>
              <w:bidi w:val="0"/>
              <w:spacing w:before="0" w:after="283"/>
              <w:jc w:val="center"/>
              <w:rPr>
                <w:b/>
              </w:rPr>
            </w:pPr>
            <w:r>
              <w:rPr>
                <w:b/>
              </w:rPr>
              <w:t>Year</w:t>
            </w:r>
          </w:p>
        </w:tc>
        <w:tc>
          <w:tcPr>
            <w:tcW w:w="44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283"/>
              <w:jc w:val="left"/>
              <w:rPr/>
            </w:pPr>
            <w:r>
              <w:rPr/>
              <w:t>United States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275.4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50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280.6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51</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281.9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53</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(2</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(2</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jc w:val="right"/>
              <w:rPr/>
            </w:pPr>
            <w:r>
              <w:rPr/>
              <w:t>556.0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51</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jc w:val="right"/>
              <w:rPr/>
            </w:pPr>
            <w:r>
              <w:rPr/>
              <w:t>544.3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53</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2</w:t>
            </w:r>
          </w:p>
        </w:tc>
        <w:tc>
          <w:tcPr>
            <w:tcW w:w="440" w:type="dxa"/>
            <w:tcBorders/>
            <w:shd w:fill="CCEEFF" w:val="clear"/>
            <w:vAlign w:val="center"/>
          </w:tcPr>
          <w:p>
            <w:pPr>
              <w:pStyle w:val="TableContents"/>
              <w:bidi w:val="0"/>
              <w:spacing w:before="0" w:after="283"/>
              <w:jc w:val="left"/>
              <w:rPr/>
            </w:pPr>
            <w:r>
              <w:rPr/>
              <w:t>%</w:t>
            </w:r>
          </w:p>
        </w:tc>
      </w:tr>
      <w:tr>
        <w:trPr/>
        <w:tc>
          <w:tcPr>
            <w:tcW w:w="1820" w:type="dxa"/>
            <w:tcBorders/>
            <w:vAlign w:val="center"/>
          </w:tcPr>
          <w:p>
            <w:pPr>
              <w:pStyle w:val="TableContents"/>
              <w:bidi w:val="0"/>
              <w:spacing w:before="0" w:after="283"/>
              <w:jc w:val="left"/>
              <w:rPr/>
            </w:pPr>
            <w:r>
              <w:rPr/>
              <w:t>International</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273.0</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50</w:t>
            </w:r>
          </w:p>
        </w:tc>
        <w:tc>
          <w:tcPr>
            <w:tcW w:w="245" w:type="dxa"/>
            <w:tcBorders>
              <w:bottom w:val="single" w:sz="2" w:space="0" w:color="000000"/>
            </w:tcBorders>
            <w:tcMar>
              <w:bottom w:w="28" w:type="dxa"/>
            </w:tcMar>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266.3</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49</w:t>
            </w:r>
          </w:p>
        </w:tc>
        <w:tc>
          <w:tcPr>
            <w:tcW w:w="245" w:type="dxa"/>
            <w:tcBorders>
              <w:bottom w:val="single" w:sz="2" w:space="0" w:color="000000"/>
            </w:tcBorders>
            <w:tcMar>
              <w:bottom w:w="28" w:type="dxa"/>
            </w:tcMar>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247.0</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47</w:t>
            </w:r>
          </w:p>
        </w:tc>
        <w:tc>
          <w:tcPr>
            <w:tcW w:w="245" w:type="dxa"/>
            <w:tcBorders>
              <w:bottom w:val="single" w:sz="2" w:space="0" w:color="000000"/>
            </w:tcBorders>
            <w:tcMar>
              <w:bottom w:w="28" w:type="dxa"/>
            </w:tcMar>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3</w:t>
            </w:r>
          </w:p>
        </w:tc>
        <w:tc>
          <w:tcPr>
            <w:tcW w:w="245" w:type="dxa"/>
            <w:tcBorders>
              <w:bottom w:val="single" w:sz="2" w:space="0" w:color="000000"/>
            </w:tcBorders>
            <w:tcMar>
              <w:bottom w:w="28" w:type="dxa"/>
            </w:tcMar>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11</w:t>
            </w:r>
          </w:p>
        </w:tc>
        <w:tc>
          <w:tcPr>
            <w:tcW w:w="245" w:type="dxa"/>
            <w:tcBorders>
              <w:bottom w:val="single" w:sz="2" w:space="0" w:color="000000"/>
            </w:tcBorders>
            <w:tcMar>
              <w:bottom w:w="28" w:type="dxa"/>
            </w:tcMar>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70" w:type="dxa"/>
            <w:tcBorders>
              <w:bottom w:val="single" w:sz="2" w:space="0" w:color="000000"/>
            </w:tcBorders>
            <w:tcMar>
              <w:bottom w:w="28" w:type="dxa"/>
            </w:tcMar>
            <w:vAlign w:val="center"/>
          </w:tcPr>
          <w:p>
            <w:pPr>
              <w:pStyle w:val="TableContents"/>
              <w:bidi w:val="0"/>
              <w:spacing w:before="0" w:after="283"/>
              <w:jc w:val="right"/>
              <w:rPr/>
            </w:pPr>
            <w:r>
              <w:rPr/>
              <w:t>539.3</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49</w:t>
            </w:r>
          </w:p>
        </w:tc>
        <w:tc>
          <w:tcPr>
            <w:tcW w:w="245" w:type="dxa"/>
            <w:tcBorders>
              <w:bottom w:val="single" w:sz="2" w:space="0" w:color="000000"/>
            </w:tcBorders>
            <w:tcMar>
              <w:bottom w:w="28" w:type="dxa"/>
            </w:tcMar>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70" w:type="dxa"/>
            <w:tcBorders>
              <w:bottom w:val="single" w:sz="2" w:space="0" w:color="000000"/>
            </w:tcBorders>
            <w:tcMar>
              <w:bottom w:w="28" w:type="dxa"/>
            </w:tcMar>
            <w:vAlign w:val="center"/>
          </w:tcPr>
          <w:p>
            <w:pPr>
              <w:pStyle w:val="TableContents"/>
              <w:bidi w:val="0"/>
              <w:spacing w:before="0" w:after="283"/>
              <w:jc w:val="right"/>
              <w:rPr/>
            </w:pPr>
            <w:r>
              <w:rPr/>
              <w:t>476.4</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47</w:t>
            </w:r>
          </w:p>
        </w:tc>
        <w:tc>
          <w:tcPr>
            <w:tcW w:w="245" w:type="dxa"/>
            <w:tcBorders>
              <w:bottom w:val="single" w:sz="2" w:space="0" w:color="000000"/>
            </w:tcBorders>
            <w:tcMar>
              <w:bottom w:w="28" w:type="dxa"/>
            </w:tcMar>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2" w:space="0" w:color="000000"/>
            </w:tcBorders>
            <w:tcMar>
              <w:bottom w:w="28" w:type="dxa"/>
            </w:tcMar>
            <w:vAlign w:val="center"/>
          </w:tcPr>
          <w:p>
            <w:pPr>
              <w:pStyle w:val="TableContents"/>
              <w:bidi w:val="0"/>
              <w:spacing w:before="0" w:after="283"/>
              <w:jc w:val="right"/>
              <w:rPr/>
            </w:pPr>
            <w:r>
              <w:rPr/>
              <w:t>13</w:t>
            </w:r>
          </w:p>
        </w:tc>
        <w:tc>
          <w:tcPr>
            <w:tcW w:w="440" w:type="dxa"/>
            <w:tcBorders>
              <w:bottom w:val="single" w:sz="2" w:space="0" w:color="000000"/>
            </w:tcBorders>
            <w:tcMar>
              <w:bottom w:w="28" w:type="dxa"/>
            </w:tcMar>
            <w:vAlign w:val="center"/>
          </w:tcPr>
          <w:p>
            <w:pPr>
              <w:pStyle w:val="TableContents"/>
              <w:bidi w:val="0"/>
              <w:spacing w:before="0" w:after="283"/>
              <w:ind w:left="0" w:right="0" w:firstLine="150"/>
              <w:jc w:val="left"/>
              <w:rPr/>
            </w:pPr>
            <w:r>
              <w:rPr/>
              <w:t>%</w:t>
            </w:r>
          </w:p>
        </w:tc>
      </w:tr>
      <w:tr>
        <w:trPr/>
        <w:tc>
          <w:tcPr>
            <w:tcW w:w="1820" w:type="dxa"/>
            <w:tcBorders/>
            <w:shd w:fill="CCEEFF" w:val="clear"/>
            <w:vAlign w:val="center"/>
          </w:tcPr>
          <w:p>
            <w:pPr>
              <w:pStyle w:val="TableContents"/>
              <w:bidi w:val="0"/>
              <w:spacing w:before="0" w:after="283"/>
              <w:jc w:val="left"/>
              <w:rPr/>
            </w:pPr>
            <w:r>
              <w:rPr/>
              <w:t>Net Sales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548.4</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100</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546.9</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100</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528.9</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100</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0</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4</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770" w:type="dxa"/>
            <w:tcBorders>
              <w:bottom w:val="single" w:sz="2" w:space="0" w:color="000000"/>
            </w:tcBorders>
            <w:shd w:fill="CCEEFF" w:val="clear"/>
            <w:tcMar>
              <w:bottom w:w="28" w:type="dxa"/>
            </w:tcMar>
            <w:vAlign w:val="center"/>
          </w:tcPr>
          <w:p>
            <w:pPr>
              <w:pStyle w:val="TableContents"/>
              <w:bidi w:val="0"/>
              <w:spacing w:before="0" w:after="283"/>
              <w:jc w:val="right"/>
              <w:rPr/>
            </w:pPr>
            <w:r>
              <w:rPr/>
              <w:t>1,095.3</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100</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770" w:type="dxa"/>
            <w:tcBorders>
              <w:bottom w:val="single" w:sz="2" w:space="0" w:color="000000"/>
            </w:tcBorders>
            <w:shd w:fill="CCEEFF" w:val="clear"/>
            <w:tcMar>
              <w:bottom w:w="28" w:type="dxa"/>
            </w:tcMar>
            <w:vAlign w:val="center"/>
          </w:tcPr>
          <w:p>
            <w:pPr>
              <w:pStyle w:val="TableContents"/>
              <w:bidi w:val="0"/>
              <w:spacing w:before="0" w:after="283"/>
              <w:jc w:val="right"/>
              <w:rPr/>
            </w:pPr>
            <w:r>
              <w:rPr/>
              <w:t>1,020.7</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100</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2" w:space="0" w:color="000000"/>
            </w:tcBorders>
            <w:shd w:fill="CCEEFF" w:val="clear"/>
            <w:tcMar>
              <w:bottom w:w="28" w:type="dxa"/>
            </w:tcMar>
            <w:vAlign w:val="center"/>
          </w:tcPr>
          <w:p>
            <w:pPr>
              <w:pStyle w:val="TableContents"/>
              <w:bidi w:val="0"/>
              <w:spacing w:before="0" w:after="283"/>
              <w:jc w:val="right"/>
              <w:rPr/>
            </w:pPr>
            <w:r>
              <w:rPr/>
              <w:t>7</w:t>
            </w:r>
          </w:p>
        </w:tc>
        <w:tc>
          <w:tcPr>
            <w:tcW w:w="44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r>
      <w:tr>
        <w:trPr/>
        <w:tc>
          <w:tcPr>
            <w:tcW w:w="18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283"/>
              <w:jc w:val="left"/>
              <w:rPr/>
            </w:pPr>
            <w:r>
              <w:rPr/>
              <w:t>Household &amp; Personal Care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123.4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22</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142.4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26</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127.4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24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(13</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(3</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jc w:val="right"/>
              <w:rPr/>
            </w:pPr>
            <w:r>
              <w:rPr/>
              <w:t>265.8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24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jc w:val="right"/>
              <w:rPr/>
            </w:pPr>
            <w:r>
              <w:rPr/>
              <w:t>250.5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25</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6</w:t>
            </w:r>
          </w:p>
        </w:tc>
        <w:tc>
          <w:tcPr>
            <w:tcW w:w="440" w:type="dxa"/>
            <w:tcBorders/>
            <w:shd w:fill="CCEEFF" w:val="clear"/>
            <w:vAlign w:val="center"/>
          </w:tcPr>
          <w:p>
            <w:pPr>
              <w:pStyle w:val="TableContents"/>
              <w:bidi w:val="0"/>
              <w:spacing w:before="0" w:after="283"/>
              <w:jc w:val="left"/>
              <w:rPr/>
            </w:pPr>
            <w:r>
              <w:rPr/>
              <w:t>%</w:t>
            </w:r>
          </w:p>
        </w:tc>
      </w:tr>
      <w:tr>
        <w:trPr/>
        <w:tc>
          <w:tcPr>
            <w:tcW w:w="1820" w:type="dxa"/>
            <w:tcBorders/>
            <w:vAlign w:val="center"/>
          </w:tcPr>
          <w:p>
            <w:pPr>
              <w:pStyle w:val="TableContents"/>
              <w:bidi w:val="0"/>
              <w:spacing w:before="0" w:after="283"/>
              <w:jc w:val="left"/>
              <w:rPr/>
            </w:pPr>
            <w:r>
              <w:rPr/>
              <w:t>Specialty Additives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151.1</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28</w:t>
            </w:r>
          </w:p>
        </w:tc>
        <w:tc>
          <w:tcPr>
            <w:tcW w:w="245" w:type="dxa"/>
            <w:tcBorders>
              <w:bottom w:val="single" w:sz="2" w:space="0" w:color="000000"/>
            </w:tcBorders>
            <w:tcMar>
              <w:bottom w:w="28" w:type="dxa"/>
            </w:tcMar>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154.2</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28</w:t>
            </w:r>
          </w:p>
        </w:tc>
        <w:tc>
          <w:tcPr>
            <w:tcW w:w="245" w:type="dxa"/>
            <w:tcBorders>
              <w:bottom w:val="single" w:sz="2" w:space="0" w:color="000000"/>
            </w:tcBorders>
            <w:tcMar>
              <w:bottom w:w="28" w:type="dxa"/>
            </w:tcMar>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150.3</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28</w:t>
            </w:r>
          </w:p>
        </w:tc>
        <w:tc>
          <w:tcPr>
            <w:tcW w:w="245" w:type="dxa"/>
            <w:tcBorders>
              <w:bottom w:val="single" w:sz="2" w:space="0" w:color="000000"/>
            </w:tcBorders>
            <w:tcMar>
              <w:bottom w:w="28" w:type="dxa"/>
            </w:tcMar>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(2</w:t>
            </w:r>
          </w:p>
        </w:tc>
        <w:tc>
          <w:tcPr>
            <w:tcW w:w="245" w:type="dxa"/>
            <w:tcBorders>
              <w:bottom w:val="single" w:sz="2" w:space="0" w:color="000000"/>
            </w:tcBorders>
            <w:tcMar>
              <w:bottom w:w="28" w:type="dxa"/>
            </w:tcMar>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1</w:t>
            </w:r>
          </w:p>
        </w:tc>
        <w:tc>
          <w:tcPr>
            <w:tcW w:w="245" w:type="dxa"/>
            <w:tcBorders>
              <w:bottom w:val="single" w:sz="2" w:space="0" w:color="000000"/>
            </w:tcBorders>
            <w:tcMar>
              <w:bottom w:w="28" w:type="dxa"/>
            </w:tcMar>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70" w:type="dxa"/>
            <w:tcBorders>
              <w:bottom w:val="single" w:sz="2" w:space="0" w:color="000000"/>
            </w:tcBorders>
            <w:tcMar>
              <w:bottom w:w="28" w:type="dxa"/>
            </w:tcMar>
            <w:vAlign w:val="center"/>
          </w:tcPr>
          <w:p>
            <w:pPr>
              <w:pStyle w:val="TableContents"/>
              <w:bidi w:val="0"/>
              <w:spacing w:before="0" w:after="283"/>
              <w:jc w:val="right"/>
              <w:rPr/>
            </w:pPr>
            <w:r>
              <w:rPr/>
              <w:t>305.3</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28</w:t>
            </w:r>
          </w:p>
        </w:tc>
        <w:tc>
          <w:tcPr>
            <w:tcW w:w="245" w:type="dxa"/>
            <w:tcBorders>
              <w:bottom w:val="single" w:sz="2" w:space="0" w:color="000000"/>
            </w:tcBorders>
            <w:tcMar>
              <w:bottom w:w="28" w:type="dxa"/>
            </w:tcMar>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70" w:type="dxa"/>
            <w:tcBorders>
              <w:bottom w:val="single" w:sz="2" w:space="0" w:color="000000"/>
            </w:tcBorders>
            <w:tcMar>
              <w:bottom w:w="28" w:type="dxa"/>
            </w:tcMar>
            <w:vAlign w:val="center"/>
          </w:tcPr>
          <w:p>
            <w:pPr>
              <w:pStyle w:val="TableContents"/>
              <w:bidi w:val="0"/>
              <w:spacing w:before="0" w:after="283"/>
              <w:jc w:val="right"/>
              <w:rPr/>
            </w:pPr>
            <w:r>
              <w:rPr/>
              <w:t>295.5</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29</w:t>
            </w:r>
          </w:p>
        </w:tc>
        <w:tc>
          <w:tcPr>
            <w:tcW w:w="245" w:type="dxa"/>
            <w:tcBorders>
              <w:bottom w:val="single" w:sz="2" w:space="0" w:color="000000"/>
            </w:tcBorders>
            <w:tcMar>
              <w:bottom w:w="28" w:type="dxa"/>
            </w:tcMar>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2" w:space="0" w:color="000000"/>
            </w:tcBorders>
            <w:tcMar>
              <w:bottom w:w="28" w:type="dxa"/>
            </w:tcMar>
            <w:vAlign w:val="center"/>
          </w:tcPr>
          <w:p>
            <w:pPr>
              <w:pStyle w:val="TableContents"/>
              <w:bidi w:val="0"/>
              <w:spacing w:before="0" w:after="283"/>
              <w:jc w:val="right"/>
              <w:rPr/>
            </w:pPr>
            <w:r>
              <w:rPr/>
              <w:t>3</w:t>
            </w:r>
          </w:p>
        </w:tc>
        <w:tc>
          <w:tcPr>
            <w:tcW w:w="440" w:type="dxa"/>
            <w:tcBorders>
              <w:bottom w:val="single" w:sz="2" w:space="0" w:color="000000"/>
            </w:tcBorders>
            <w:tcMar>
              <w:bottom w:w="28" w:type="dxa"/>
            </w:tcMar>
            <w:vAlign w:val="center"/>
          </w:tcPr>
          <w:p>
            <w:pPr>
              <w:pStyle w:val="TableContents"/>
              <w:bidi w:val="0"/>
              <w:spacing w:before="0" w:after="283"/>
              <w:ind w:left="0" w:right="0" w:hanging="150"/>
              <w:jc w:val="left"/>
              <w:rPr/>
            </w:pPr>
            <w:r>
              <w:rPr/>
              <w:t>%</w:t>
            </w:r>
          </w:p>
        </w:tc>
      </w:tr>
      <w:tr>
        <w:trPr/>
        <w:tc>
          <w:tcPr>
            <w:tcW w:w="1820" w:type="dxa"/>
            <w:tcBorders/>
            <w:shd w:fill="CCEEFF" w:val="clear"/>
            <w:vAlign w:val="center"/>
          </w:tcPr>
          <w:p>
            <w:pPr>
              <w:pStyle w:val="TableContents"/>
              <w:bidi w:val="0"/>
              <w:spacing w:before="0" w:after="283"/>
              <w:jc w:val="left"/>
              <w:rPr/>
            </w:pPr>
            <w:r>
              <w:rPr/>
              <w:t>Consumer &amp; Specialties Segment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274.5</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50</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296.6</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54</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277.7</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52</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(7</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(1</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770" w:type="dxa"/>
            <w:tcBorders>
              <w:bottom w:val="single" w:sz="2" w:space="0" w:color="000000"/>
            </w:tcBorders>
            <w:shd w:fill="CCEEFF" w:val="clear"/>
            <w:tcMar>
              <w:bottom w:w="28" w:type="dxa"/>
            </w:tcMar>
            <w:vAlign w:val="center"/>
          </w:tcPr>
          <w:p>
            <w:pPr>
              <w:pStyle w:val="TableContents"/>
              <w:bidi w:val="0"/>
              <w:spacing w:before="0" w:after="283"/>
              <w:jc w:val="right"/>
              <w:rPr/>
            </w:pPr>
            <w:r>
              <w:rPr/>
              <w:t>571.1</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52</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770" w:type="dxa"/>
            <w:tcBorders>
              <w:bottom w:val="single" w:sz="2" w:space="0" w:color="000000"/>
            </w:tcBorders>
            <w:shd w:fill="CCEEFF" w:val="clear"/>
            <w:tcMar>
              <w:bottom w:w="28" w:type="dxa"/>
            </w:tcMar>
            <w:vAlign w:val="center"/>
          </w:tcPr>
          <w:p>
            <w:pPr>
              <w:pStyle w:val="TableContents"/>
              <w:bidi w:val="0"/>
              <w:spacing w:before="0" w:after="283"/>
              <w:jc w:val="right"/>
              <w:rPr/>
            </w:pPr>
            <w:r>
              <w:rPr/>
              <w:t>546.0</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54</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2" w:space="0" w:color="000000"/>
            </w:tcBorders>
            <w:shd w:fill="CCEEFF" w:val="clear"/>
            <w:tcMar>
              <w:bottom w:w="28" w:type="dxa"/>
            </w:tcMar>
            <w:vAlign w:val="center"/>
          </w:tcPr>
          <w:p>
            <w:pPr>
              <w:pStyle w:val="TableContents"/>
              <w:bidi w:val="0"/>
              <w:spacing w:before="0" w:after="283"/>
              <w:jc w:val="right"/>
              <w:rPr/>
            </w:pPr>
            <w:r>
              <w:rPr/>
              <w:t>5</w:t>
            </w:r>
          </w:p>
        </w:tc>
        <w:tc>
          <w:tcPr>
            <w:tcW w:w="44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r>
      <w:tr>
        <w:trPr/>
        <w:tc>
          <w:tcPr>
            <w:tcW w:w="18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283"/>
              <w:jc w:val="left"/>
              <w:rPr/>
            </w:pPr>
            <w:r>
              <w:rPr/>
              <w:t>High-Temperature Technologies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190.3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35</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183.3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34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178.4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34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7</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jc w:val="right"/>
              <w:rPr/>
            </w:pPr>
            <w:r>
              <w:rPr/>
              <w:t>373.6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34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jc w:val="right"/>
              <w:rPr/>
            </w:pPr>
            <w:r>
              <w:rPr/>
              <w:t>347.8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34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7</w:t>
            </w:r>
          </w:p>
        </w:tc>
        <w:tc>
          <w:tcPr>
            <w:tcW w:w="440" w:type="dxa"/>
            <w:tcBorders/>
            <w:shd w:fill="CCEEFF" w:val="clear"/>
            <w:vAlign w:val="center"/>
          </w:tcPr>
          <w:p>
            <w:pPr>
              <w:pStyle w:val="TableContents"/>
              <w:bidi w:val="0"/>
              <w:spacing w:before="0" w:after="283"/>
              <w:jc w:val="left"/>
              <w:rPr/>
            </w:pPr>
            <w:r>
              <w:rPr/>
              <w:t>%</w:t>
            </w:r>
          </w:p>
        </w:tc>
      </w:tr>
      <w:tr>
        <w:trPr/>
        <w:tc>
          <w:tcPr>
            <w:tcW w:w="1820" w:type="dxa"/>
            <w:tcBorders/>
            <w:vAlign w:val="center"/>
          </w:tcPr>
          <w:p>
            <w:pPr>
              <w:pStyle w:val="TableContents"/>
              <w:bidi w:val="0"/>
              <w:spacing w:before="0" w:after="283"/>
              <w:jc w:val="left"/>
              <w:rPr/>
            </w:pPr>
            <w:r>
              <w:rPr/>
              <w:t>Environmental &amp; Infrastructure</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83.6</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15</w:t>
            </w:r>
          </w:p>
        </w:tc>
        <w:tc>
          <w:tcPr>
            <w:tcW w:w="245" w:type="dxa"/>
            <w:tcBorders>
              <w:bottom w:val="single" w:sz="2" w:space="0" w:color="000000"/>
            </w:tcBorders>
            <w:tcMar>
              <w:bottom w:w="28" w:type="dxa"/>
            </w:tcMar>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67.0</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12</w:t>
            </w:r>
          </w:p>
        </w:tc>
        <w:tc>
          <w:tcPr>
            <w:tcW w:w="245" w:type="dxa"/>
            <w:tcBorders>
              <w:bottom w:val="single" w:sz="2" w:space="0" w:color="000000"/>
            </w:tcBorders>
            <w:tcMar>
              <w:bottom w:w="28" w:type="dxa"/>
            </w:tcMar>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72.8</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14</w:t>
            </w:r>
          </w:p>
        </w:tc>
        <w:tc>
          <w:tcPr>
            <w:tcW w:w="245" w:type="dxa"/>
            <w:tcBorders>
              <w:bottom w:val="single" w:sz="2" w:space="0" w:color="000000"/>
            </w:tcBorders>
            <w:tcMar>
              <w:bottom w:w="28" w:type="dxa"/>
            </w:tcMar>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25</w:t>
            </w:r>
          </w:p>
        </w:tc>
        <w:tc>
          <w:tcPr>
            <w:tcW w:w="245" w:type="dxa"/>
            <w:tcBorders>
              <w:bottom w:val="single" w:sz="2" w:space="0" w:color="000000"/>
            </w:tcBorders>
            <w:tcMar>
              <w:bottom w:w="28" w:type="dxa"/>
            </w:tcMar>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15</w:t>
            </w:r>
          </w:p>
        </w:tc>
        <w:tc>
          <w:tcPr>
            <w:tcW w:w="245" w:type="dxa"/>
            <w:tcBorders>
              <w:bottom w:val="single" w:sz="2" w:space="0" w:color="000000"/>
            </w:tcBorders>
            <w:tcMar>
              <w:bottom w:w="28" w:type="dxa"/>
            </w:tcMar>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70" w:type="dxa"/>
            <w:tcBorders>
              <w:bottom w:val="single" w:sz="2" w:space="0" w:color="000000"/>
            </w:tcBorders>
            <w:tcMar>
              <w:bottom w:w="28" w:type="dxa"/>
            </w:tcMar>
            <w:vAlign w:val="center"/>
          </w:tcPr>
          <w:p>
            <w:pPr>
              <w:pStyle w:val="TableContents"/>
              <w:bidi w:val="0"/>
              <w:spacing w:before="0" w:after="283"/>
              <w:jc w:val="right"/>
              <w:rPr/>
            </w:pPr>
            <w:r>
              <w:rPr/>
              <w:t>150.6</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14</w:t>
            </w:r>
          </w:p>
        </w:tc>
        <w:tc>
          <w:tcPr>
            <w:tcW w:w="245" w:type="dxa"/>
            <w:tcBorders>
              <w:bottom w:val="single" w:sz="2" w:space="0" w:color="000000"/>
            </w:tcBorders>
            <w:tcMar>
              <w:bottom w:w="28" w:type="dxa"/>
            </w:tcMar>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70" w:type="dxa"/>
            <w:tcBorders>
              <w:bottom w:val="single" w:sz="2" w:space="0" w:color="000000"/>
            </w:tcBorders>
            <w:tcMar>
              <w:bottom w:w="28" w:type="dxa"/>
            </w:tcMar>
            <w:vAlign w:val="center"/>
          </w:tcPr>
          <w:p>
            <w:pPr>
              <w:pStyle w:val="TableContents"/>
              <w:bidi w:val="0"/>
              <w:spacing w:before="0" w:after="283"/>
              <w:jc w:val="right"/>
              <w:rPr/>
            </w:pPr>
            <w:r>
              <w:rPr/>
              <w:t>126.9</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12</w:t>
            </w:r>
          </w:p>
        </w:tc>
        <w:tc>
          <w:tcPr>
            <w:tcW w:w="245" w:type="dxa"/>
            <w:tcBorders>
              <w:bottom w:val="single" w:sz="2" w:space="0" w:color="000000"/>
            </w:tcBorders>
            <w:tcMar>
              <w:bottom w:w="28" w:type="dxa"/>
            </w:tcMar>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2" w:space="0" w:color="000000"/>
            </w:tcBorders>
            <w:tcMar>
              <w:bottom w:w="28" w:type="dxa"/>
            </w:tcMar>
            <w:vAlign w:val="center"/>
          </w:tcPr>
          <w:p>
            <w:pPr>
              <w:pStyle w:val="TableContents"/>
              <w:bidi w:val="0"/>
              <w:spacing w:before="0" w:after="283"/>
              <w:jc w:val="right"/>
              <w:rPr/>
            </w:pPr>
            <w:r>
              <w:rPr/>
              <w:t>19</w:t>
            </w:r>
          </w:p>
        </w:tc>
        <w:tc>
          <w:tcPr>
            <w:tcW w:w="440" w:type="dxa"/>
            <w:tcBorders>
              <w:bottom w:val="single" w:sz="2" w:space="0" w:color="000000"/>
            </w:tcBorders>
            <w:tcMar>
              <w:bottom w:w="28" w:type="dxa"/>
            </w:tcMar>
            <w:vAlign w:val="center"/>
          </w:tcPr>
          <w:p>
            <w:pPr>
              <w:pStyle w:val="TableContents"/>
              <w:bidi w:val="0"/>
              <w:spacing w:before="0" w:after="283"/>
              <w:ind w:left="0" w:right="0" w:hanging="150"/>
              <w:jc w:val="left"/>
              <w:rPr/>
            </w:pPr>
            <w:r>
              <w:rPr/>
              <w:t>%</w:t>
            </w:r>
          </w:p>
        </w:tc>
      </w:tr>
      <w:tr>
        <w:trPr/>
        <w:tc>
          <w:tcPr>
            <w:tcW w:w="1820" w:type="dxa"/>
            <w:tcBorders/>
            <w:shd w:fill="CCEEFF" w:val="clear"/>
            <w:vAlign w:val="center"/>
          </w:tcPr>
          <w:p>
            <w:pPr>
              <w:pStyle w:val="TableContents"/>
              <w:bidi w:val="0"/>
              <w:spacing w:before="0" w:after="283"/>
              <w:jc w:val="left"/>
              <w:rPr/>
            </w:pPr>
            <w:r>
              <w:rPr/>
              <w:t>Engineered Solutions Segment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273.9</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50</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250.3</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46</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251.2</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48</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9</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9</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770" w:type="dxa"/>
            <w:tcBorders>
              <w:bottom w:val="single" w:sz="2" w:space="0" w:color="000000"/>
            </w:tcBorders>
            <w:shd w:fill="CCEEFF" w:val="clear"/>
            <w:tcMar>
              <w:bottom w:w="28" w:type="dxa"/>
            </w:tcMar>
            <w:vAlign w:val="center"/>
          </w:tcPr>
          <w:p>
            <w:pPr>
              <w:pStyle w:val="TableContents"/>
              <w:bidi w:val="0"/>
              <w:spacing w:before="0" w:after="283"/>
              <w:jc w:val="right"/>
              <w:rPr/>
            </w:pPr>
            <w:r>
              <w:rPr/>
              <w:t>524.2</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48</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770" w:type="dxa"/>
            <w:tcBorders>
              <w:bottom w:val="single" w:sz="2" w:space="0" w:color="000000"/>
            </w:tcBorders>
            <w:shd w:fill="CCEEFF" w:val="clear"/>
            <w:tcMar>
              <w:bottom w:w="28" w:type="dxa"/>
            </w:tcMar>
            <w:vAlign w:val="center"/>
          </w:tcPr>
          <w:p>
            <w:pPr>
              <w:pStyle w:val="TableContents"/>
              <w:bidi w:val="0"/>
              <w:spacing w:before="0" w:after="283"/>
              <w:jc w:val="right"/>
              <w:rPr/>
            </w:pPr>
            <w:r>
              <w:rPr/>
              <w:t>474.7</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46</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2" w:space="0" w:color="000000"/>
            </w:tcBorders>
            <w:shd w:fill="CCEEFF" w:val="clear"/>
            <w:tcMar>
              <w:bottom w:w="28" w:type="dxa"/>
            </w:tcMar>
            <w:vAlign w:val="center"/>
          </w:tcPr>
          <w:p>
            <w:pPr>
              <w:pStyle w:val="TableContents"/>
              <w:bidi w:val="0"/>
              <w:spacing w:before="0" w:after="283"/>
              <w:jc w:val="right"/>
              <w:rPr/>
            </w:pPr>
            <w:r>
              <w:rPr/>
              <w:t>10</w:t>
            </w:r>
          </w:p>
        </w:tc>
        <w:tc>
          <w:tcPr>
            <w:tcW w:w="44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r>
      <w:tr>
        <w:trPr/>
        <w:tc>
          <w:tcPr>
            <w:tcW w:w="18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283"/>
              <w:jc w:val="left"/>
              <w:rPr/>
            </w:pPr>
            <w:r>
              <w:rPr/>
              <w:t>MTI Consolidated Net Sales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548.4</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100</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546.9</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100</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528.9</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100</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0</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4</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770" w:type="dxa"/>
            <w:tcBorders>
              <w:bottom w:val="single" w:sz="2" w:space="0" w:color="000000"/>
            </w:tcBorders>
            <w:shd w:fill="CCEEFF" w:val="clear"/>
            <w:tcMar>
              <w:bottom w:w="28" w:type="dxa"/>
            </w:tcMar>
            <w:vAlign w:val="center"/>
          </w:tcPr>
          <w:p>
            <w:pPr>
              <w:pStyle w:val="TableContents"/>
              <w:bidi w:val="0"/>
              <w:spacing w:before="0" w:after="283"/>
              <w:jc w:val="right"/>
              <w:rPr/>
            </w:pPr>
            <w:r>
              <w:rPr/>
              <w:t>1,095.3</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100</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770" w:type="dxa"/>
            <w:tcBorders>
              <w:bottom w:val="single" w:sz="2" w:space="0" w:color="000000"/>
            </w:tcBorders>
            <w:shd w:fill="CCEEFF" w:val="clear"/>
            <w:tcMar>
              <w:bottom w:w="28" w:type="dxa"/>
            </w:tcMar>
            <w:vAlign w:val="center"/>
          </w:tcPr>
          <w:p>
            <w:pPr>
              <w:pStyle w:val="TableContents"/>
              <w:bidi w:val="0"/>
              <w:spacing w:before="0" w:after="283"/>
              <w:jc w:val="right"/>
              <w:rPr/>
            </w:pPr>
            <w:r>
              <w:rPr/>
              <w:t>1,020.7</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100</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2" w:space="0" w:color="000000"/>
            </w:tcBorders>
            <w:shd w:fill="CCEEFF" w:val="clear"/>
            <w:tcMar>
              <w:bottom w:w="28" w:type="dxa"/>
            </w:tcMar>
            <w:vAlign w:val="center"/>
          </w:tcPr>
          <w:p>
            <w:pPr>
              <w:pStyle w:val="TableContents"/>
              <w:bidi w:val="0"/>
              <w:spacing w:before="0" w:after="283"/>
              <w:jc w:val="right"/>
              <w:rPr/>
            </w:pPr>
            <w:r>
              <w:rPr/>
              <w:t>7</w:t>
            </w:r>
          </w:p>
        </w:tc>
        <w:tc>
          <w:tcPr>
            <w:tcW w:w="44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4</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pPr>
      <w:r>
        <w:rPr/>
        <w:t> </w:t>
      </w:r>
    </w:p>
    <w:p>
      <w:pPr>
        <w:pStyle w:val="TextBody"/>
        <w:bidi w:val="0"/>
        <w:spacing w:before="0" w:after="0"/>
        <w:jc w:val="center"/>
        <w:rPr>
          <w:b/>
          <w:spacing w:val="0"/>
        </w:rPr>
      </w:pPr>
      <w:r>
        <w:rPr>
          <w:b/>
          <w:spacing w:val="0"/>
        </w:rPr>
        <w:t>MINERALS TECHNOLOGIES INC. AND SUBSIDIARY COMPANIES</w:t>
      </w:r>
    </w:p>
    <w:p>
      <w:pPr>
        <w:pStyle w:val="TextBody"/>
        <w:bidi w:val="0"/>
        <w:spacing w:before="0" w:after="0"/>
        <w:jc w:val="center"/>
        <w:rPr>
          <w:b/>
          <w:spacing w:val="0"/>
        </w:rPr>
      </w:pPr>
      <w:r>
        <w:rPr>
          <w:b/>
          <w:spacing w:val="0"/>
        </w:rPr>
        <w:t>SUPPLEMENTARY DATA</w:t>
      </w:r>
    </w:p>
    <w:p>
      <w:pPr>
        <w:pStyle w:val="TextBody"/>
        <w:bidi w:val="0"/>
        <w:spacing w:before="0" w:after="0"/>
        <w:jc w:val="center"/>
        <w:rPr>
          <w:b/>
          <w:spacing w:val="0"/>
          <w:sz w:val="20"/>
        </w:rPr>
      </w:pPr>
      <w:r>
        <w:rPr>
          <w:b/>
          <w:spacing w:val="0"/>
          <w:sz w:val="20"/>
        </w:rPr>
        <w:t>(in millions of dollars)</w:t>
      </w:r>
    </w:p>
    <w:p>
      <w:pPr>
        <w:pStyle w:val="TextBody"/>
        <w:bidi w:val="0"/>
        <w:spacing w:before="0" w:after="0"/>
        <w:jc w:val="center"/>
        <w:rPr>
          <w:b/>
          <w:spacing w:val="0"/>
          <w:sz w:val="20"/>
        </w:rPr>
      </w:pPr>
      <w:r>
        <w:rPr>
          <w:b/>
          <w:spacing w:val="0"/>
          <w:sz w:val="20"/>
        </w:rPr>
        <w:t>(unaudited)</w:t>
      </w:r>
    </w:p>
    <w:p>
      <w:pPr>
        <w:pStyle w:val="TextBody"/>
        <w:bidi w:val="0"/>
        <w:spacing w:before="0" w:after="0"/>
        <w:jc w:val="left"/>
        <w:rPr/>
      </w:pPr>
      <w:r>
        <w:rPr/>
        <w:t> </w:t>
      </w:r>
    </w:p>
    <w:tbl>
      <w:tblPr>
        <w:tblW w:w="10685" w:type="dxa"/>
        <w:jc w:val="left"/>
        <w:tblInd w:w="0" w:type="dxa"/>
        <w:tblLayout w:type="fixed"/>
        <w:tblCellMar>
          <w:top w:w="0" w:type="dxa"/>
          <w:left w:w="0" w:type="dxa"/>
          <w:bottom w:w="0" w:type="dxa"/>
          <w:right w:w="0" w:type="dxa"/>
        </w:tblCellMar>
      </w:tblPr>
      <w:tblGrid>
        <w:gridCol w:w="1535"/>
        <w:gridCol w:w="170"/>
        <w:gridCol w:w="665"/>
        <w:gridCol w:w="245"/>
        <w:gridCol w:w="90"/>
        <w:gridCol w:w="170"/>
        <w:gridCol w:w="545"/>
        <w:gridCol w:w="245"/>
        <w:gridCol w:w="90"/>
        <w:gridCol w:w="170"/>
        <w:gridCol w:w="530"/>
        <w:gridCol w:w="245"/>
        <w:gridCol w:w="90"/>
        <w:gridCol w:w="90"/>
        <w:gridCol w:w="590"/>
        <w:gridCol w:w="245"/>
        <w:gridCol w:w="90"/>
        <w:gridCol w:w="90"/>
        <w:gridCol w:w="590"/>
        <w:gridCol w:w="245"/>
        <w:gridCol w:w="90"/>
        <w:gridCol w:w="170"/>
        <w:gridCol w:w="665"/>
        <w:gridCol w:w="245"/>
        <w:gridCol w:w="90"/>
        <w:gridCol w:w="170"/>
        <w:gridCol w:w="665"/>
        <w:gridCol w:w="245"/>
        <w:gridCol w:w="90"/>
        <w:gridCol w:w="90"/>
        <w:gridCol w:w="1145"/>
        <w:gridCol w:w="290"/>
      </w:tblGrid>
      <w:tr>
        <w:trPr/>
        <w:tc>
          <w:tcPr>
            <w:tcW w:w="15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535" w:type="dxa"/>
            <w:tcBorders/>
            <w:vAlign w:val="center"/>
          </w:tcPr>
          <w:p>
            <w:pPr>
              <w:pStyle w:val="TableContents"/>
              <w:bidi w:val="0"/>
              <w:spacing w:before="0" w:after="283"/>
              <w:jc w:val="left"/>
              <w:rPr/>
            </w:pPr>
            <w:r>
              <w:rPr/>
              <w:t> </w:t>
            </w:r>
          </w:p>
        </w:tc>
        <w:tc>
          <w:tcPr>
            <w:tcW w:w="3165" w:type="dxa"/>
            <w:gridSpan w:val="11"/>
            <w:tcBorders>
              <w:bottom w:val="single" w:sz="2" w:space="0" w:color="000000"/>
            </w:tcBorders>
            <w:tcMar>
              <w:bottom w:w="28" w:type="dxa"/>
            </w:tcMar>
            <w:vAlign w:val="center"/>
          </w:tcPr>
          <w:p>
            <w:pPr>
              <w:pStyle w:val="TableContents"/>
              <w:bidi w:val="0"/>
              <w:spacing w:before="0" w:after="283"/>
              <w:jc w:val="center"/>
              <w:rPr>
                <w:b/>
              </w:rPr>
            </w:pPr>
            <w:r>
              <w:rPr>
                <w:b/>
              </w:rPr>
              <w:t>Quarter Ended</w:t>
            </w:r>
          </w:p>
        </w:tc>
        <w:tc>
          <w:tcPr>
            <w:tcW w:w="90" w:type="dxa"/>
            <w:tcBorders/>
            <w:vAlign w:val="center"/>
          </w:tcPr>
          <w:p>
            <w:pPr>
              <w:pStyle w:val="TableContents"/>
              <w:bidi w:val="0"/>
              <w:spacing w:before="0" w:after="283"/>
              <w:jc w:val="left"/>
              <w:rPr/>
            </w:pPr>
            <w:r>
              <w:rPr/>
              <w:t> </w:t>
            </w:r>
          </w:p>
        </w:tc>
        <w:tc>
          <w:tcPr>
            <w:tcW w:w="1940" w:type="dxa"/>
            <w:gridSpan w:val="7"/>
            <w:tcBorders>
              <w:bottom w:val="single" w:sz="2" w:space="0" w:color="000000"/>
            </w:tcBorders>
            <w:tcMar>
              <w:bottom w:w="28" w:type="dxa"/>
            </w:tcMar>
            <w:vAlign w:val="center"/>
          </w:tcPr>
          <w:p>
            <w:pPr>
              <w:pStyle w:val="TableContents"/>
              <w:bidi w:val="0"/>
              <w:spacing w:before="0" w:after="283"/>
              <w:jc w:val="center"/>
              <w:rPr>
                <w:b/>
              </w:rPr>
            </w:pPr>
            <w:r>
              <w:rPr>
                <w:b/>
              </w:rPr>
              <w:t>% Growth</w:t>
            </w:r>
          </w:p>
        </w:tc>
        <w:tc>
          <w:tcPr>
            <w:tcW w:w="90" w:type="dxa"/>
            <w:tcBorders/>
            <w:vAlign w:val="center"/>
          </w:tcPr>
          <w:p>
            <w:pPr>
              <w:pStyle w:val="TableContents"/>
              <w:bidi w:val="0"/>
              <w:spacing w:before="0" w:after="283"/>
              <w:jc w:val="left"/>
              <w:rPr/>
            </w:pPr>
            <w:r>
              <w:rPr/>
              <w:t> </w:t>
            </w:r>
          </w:p>
        </w:tc>
        <w:tc>
          <w:tcPr>
            <w:tcW w:w="2250" w:type="dxa"/>
            <w:gridSpan w:val="7"/>
            <w:tcBorders>
              <w:bottom w:val="single" w:sz="2" w:space="0" w:color="000000"/>
            </w:tcBorders>
            <w:tcMar>
              <w:bottom w:w="28" w:type="dxa"/>
            </w:tcMar>
            <w:vAlign w:val="center"/>
          </w:tcPr>
          <w:p>
            <w:pPr>
              <w:pStyle w:val="TableContents"/>
              <w:bidi w:val="0"/>
              <w:spacing w:before="0" w:after="283"/>
              <w:jc w:val="center"/>
              <w:rPr>
                <w:b/>
              </w:rPr>
            </w:pPr>
            <w:r>
              <w:rPr>
                <w:b/>
              </w:rPr>
              <w:t>Six Months Ended</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2" w:space="0" w:color="000000"/>
            </w:tcBorders>
            <w:tcMar>
              <w:bottom w:w="28" w:type="dxa"/>
            </w:tcMar>
            <w:vAlign w:val="center"/>
          </w:tcPr>
          <w:p>
            <w:pPr>
              <w:pStyle w:val="TableContents"/>
              <w:bidi w:val="0"/>
              <w:spacing w:before="0" w:after="283"/>
              <w:jc w:val="center"/>
              <w:rPr>
                <w:b/>
              </w:rPr>
            </w:pPr>
            <w:r>
              <w:rPr>
                <w:b/>
              </w:rPr>
              <w:t>% Growth</w:t>
            </w:r>
          </w:p>
        </w:tc>
        <w:tc>
          <w:tcPr>
            <w:tcW w:w="29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b/>
              </w:rPr>
            </w:pPr>
            <w:r>
              <w:rPr>
                <w:b/>
              </w:rPr>
              <w:t>Jul. 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b/>
              </w:rPr>
            </w:pPr>
            <w:r>
              <w:rPr>
                <w:b/>
              </w:rPr>
              <w:t>Apr. 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b/>
              </w:rPr>
            </w:pPr>
            <w:r>
              <w:rPr>
                <w:b/>
              </w:rPr>
              <w:t>Jun. 29,</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b/>
              </w:rPr>
            </w:pPr>
            <w:r>
              <w:rPr>
                <w:b/>
              </w:rPr>
              <w:t>Prior</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b/>
              </w:rPr>
            </w:pPr>
            <w:r>
              <w:rPr>
                <w:b/>
              </w:rPr>
              <w:t>Prior</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b/>
              </w:rPr>
            </w:pPr>
            <w:r>
              <w:rPr>
                <w:b/>
              </w:rPr>
              <w:t>Jul. 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b/>
              </w:rPr>
            </w:pPr>
            <w:r>
              <w:rPr>
                <w:b/>
              </w:rPr>
              <w:t>Jun. 29,</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Prior</w:t>
            </w:r>
          </w:p>
        </w:tc>
        <w:tc>
          <w:tcPr>
            <w:tcW w:w="29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b/>
              </w:rPr>
            </w:pPr>
            <w:r>
              <w:rPr>
                <w:b/>
              </w:rPr>
              <w:t>SEGMENT OPERATING INCOME (LOSS) DATA</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45" w:type="dxa"/>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3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center"/>
              <w:rPr>
                <w:b/>
              </w:rPr>
            </w:pPr>
            <w:r>
              <w:rPr>
                <w:b/>
              </w:rPr>
              <w:t>Qtr.</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center"/>
              <w:rPr>
                <w:b/>
              </w:rPr>
            </w:pPr>
            <w:r>
              <w:rPr>
                <w:b/>
              </w:rPr>
              <w:t>Year</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2" w:space="0" w:color="000000"/>
            </w:tcBorders>
            <w:tcMar>
              <w:bottom w:w="28" w:type="dxa"/>
            </w:tcMar>
            <w:vAlign w:val="center"/>
          </w:tcPr>
          <w:p>
            <w:pPr>
              <w:pStyle w:val="TableContents"/>
              <w:bidi w:val="0"/>
              <w:spacing w:before="0" w:after="283"/>
              <w:jc w:val="center"/>
              <w:rPr>
                <w:b/>
              </w:rPr>
            </w:pPr>
            <w:r>
              <w:rPr>
                <w:b/>
              </w:rPr>
              <w:t>Year</w:t>
            </w:r>
          </w:p>
        </w:tc>
        <w:tc>
          <w:tcPr>
            <w:tcW w:w="29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283"/>
              <w:jc w:val="left"/>
              <w:rPr/>
            </w:pPr>
            <w:r>
              <w:rPr/>
              <w:t>Consumer &amp; Specialties Segment</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single" w:sz="2" w:space="0" w:color="000000"/>
            </w:tcBorders>
            <w:shd w:fill="CCEEFF" w:val="clear"/>
            <w:tcMar>
              <w:bottom w:w="28" w:type="dxa"/>
            </w:tcMar>
            <w:vAlign w:val="center"/>
          </w:tcPr>
          <w:p>
            <w:pPr>
              <w:pStyle w:val="TableContents"/>
              <w:bidi w:val="0"/>
              <w:spacing w:before="0" w:after="283"/>
              <w:jc w:val="right"/>
              <w:rPr/>
            </w:pPr>
            <w:r>
              <w:rPr/>
              <w:t>29.3</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545" w:type="dxa"/>
            <w:tcBorders>
              <w:bottom w:val="single" w:sz="2" w:space="0" w:color="000000"/>
            </w:tcBorders>
            <w:shd w:fill="CCEEFF" w:val="clear"/>
            <w:tcMar>
              <w:bottom w:w="28" w:type="dxa"/>
            </w:tcMar>
            <w:vAlign w:val="center"/>
          </w:tcPr>
          <w:p>
            <w:pPr>
              <w:pStyle w:val="TableContents"/>
              <w:bidi w:val="0"/>
              <w:spacing w:before="0" w:after="283"/>
              <w:jc w:val="right"/>
              <w:rPr/>
            </w:pPr>
            <w:r>
              <w:rPr/>
              <w:t>32.5</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530" w:type="dxa"/>
            <w:tcBorders>
              <w:bottom w:val="single" w:sz="2" w:space="0" w:color="000000"/>
            </w:tcBorders>
            <w:shd w:fill="CCEEFF" w:val="clear"/>
            <w:tcMar>
              <w:bottom w:w="28" w:type="dxa"/>
            </w:tcMar>
            <w:vAlign w:val="center"/>
          </w:tcPr>
          <w:p>
            <w:pPr>
              <w:pStyle w:val="TableContents"/>
              <w:bidi w:val="0"/>
              <w:spacing w:before="0" w:after="283"/>
              <w:jc w:val="right"/>
              <w:rPr/>
            </w:pPr>
            <w:r>
              <w:rPr/>
              <w:t>34.0</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(10</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(14</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single" w:sz="2" w:space="0" w:color="000000"/>
            </w:tcBorders>
            <w:shd w:fill="CCEEFF" w:val="clear"/>
            <w:tcMar>
              <w:bottom w:w="28" w:type="dxa"/>
            </w:tcMar>
            <w:vAlign w:val="center"/>
          </w:tcPr>
          <w:p>
            <w:pPr>
              <w:pStyle w:val="TableContents"/>
              <w:bidi w:val="0"/>
              <w:spacing w:before="0" w:after="283"/>
              <w:jc w:val="right"/>
              <w:rPr/>
            </w:pPr>
            <w:r>
              <w:rPr/>
              <w:t>61.8</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single" w:sz="2" w:space="0" w:color="000000"/>
            </w:tcBorders>
            <w:shd w:fill="CCEEFF" w:val="clear"/>
            <w:tcMar>
              <w:bottom w:w="28" w:type="dxa"/>
            </w:tcMar>
            <w:vAlign w:val="center"/>
          </w:tcPr>
          <w:p>
            <w:pPr>
              <w:pStyle w:val="TableContents"/>
              <w:bidi w:val="0"/>
              <w:spacing w:before="0" w:after="283"/>
              <w:jc w:val="right"/>
              <w:rPr/>
            </w:pPr>
            <w:r>
              <w:rPr/>
              <w:t>61.5</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2" w:space="0" w:color="000000"/>
            </w:tcBorders>
            <w:shd w:fill="CCEEFF" w:val="clear"/>
            <w:tcMar>
              <w:bottom w:w="28" w:type="dxa"/>
            </w:tcMar>
            <w:vAlign w:val="center"/>
          </w:tcPr>
          <w:p>
            <w:pPr>
              <w:pStyle w:val="TableContents"/>
              <w:bidi w:val="0"/>
              <w:spacing w:before="0" w:after="283"/>
              <w:jc w:val="right"/>
              <w:rPr/>
            </w:pPr>
            <w:r>
              <w:rPr/>
              <w:t>0</w:t>
            </w:r>
          </w:p>
        </w:tc>
        <w:tc>
          <w:tcPr>
            <w:tcW w:w="29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r>
      <w:tr>
        <w:trPr/>
        <w:tc>
          <w:tcPr>
            <w:tcW w:w="1535" w:type="dxa"/>
            <w:tcBorders/>
            <w:vAlign w:val="center"/>
          </w:tcPr>
          <w:p>
            <w:pPr>
              <w:pStyle w:val="TableContents"/>
              <w:bidi w:val="0"/>
              <w:spacing w:before="0" w:after="283"/>
              <w:jc w:val="right"/>
              <w:rPr/>
            </w:pPr>
            <w:r>
              <w:rPr/>
              <w:t>% of Sales</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10.7</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pPr>
            <w:r>
              <w:rPr/>
              <w:t>11.0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12.2</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10.8</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11.3</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283"/>
              <w:jc w:val="left"/>
              <w:rPr/>
            </w:pPr>
            <w:r>
              <w:rPr/>
              <w:t>Engineered Solutions Segment</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single" w:sz="2" w:space="0" w:color="000000"/>
            </w:tcBorders>
            <w:shd w:fill="CCEEFF" w:val="clear"/>
            <w:tcMar>
              <w:bottom w:w="28" w:type="dxa"/>
            </w:tcMar>
            <w:vAlign w:val="center"/>
          </w:tcPr>
          <w:p>
            <w:pPr>
              <w:pStyle w:val="TableContents"/>
              <w:bidi w:val="0"/>
              <w:spacing w:before="0" w:after="283"/>
              <w:jc w:val="right"/>
              <w:rPr/>
            </w:pPr>
            <w:r>
              <w:rPr/>
              <w:t>48.8</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545" w:type="dxa"/>
            <w:tcBorders>
              <w:bottom w:val="single" w:sz="2" w:space="0" w:color="000000"/>
            </w:tcBorders>
            <w:shd w:fill="CCEEFF" w:val="clear"/>
            <w:tcMar>
              <w:bottom w:w="28" w:type="dxa"/>
            </w:tcMar>
            <w:vAlign w:val="center"/>
          </w:tcPr>
          <w:p>
            <w:pPr>
              <w:pStyle w:val="TableContents"/>
              <w:bidi w:val="0"/>
              <w:spacing w:before="0" w:after="283"/>
              <w:jc w:val="right"/>
              <w:rPr/>
            </w:pPr>
            <w:r>
              <w:rPr/>
              <w:t>39.3</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530" w:type="dxa"/>
            <w:tcBorders>
              <w:bottom w:val="single" w:sz="2" w:space="0" w:color="000000"/>
            </w:tcBorders>
            <w:shd w:fill="CCEEFF" w:val="clear"/>
            <w:tcMar>
              <w:bottom w:w="28" w:type="dxa"/>
            </w:tcMar>
            <w:vAlign w:val="center"/>
          </w:tcPr>
          <w:p>
            <w:pPr>
              <w:pStyle w:val="TableContents"/>
              <w:bidi w:val="0"/>
              <w:spacing w:before="0" w:after="283"/>
              <w:jc w:val="right"/>
              <w:rPr/>
            </w:pPr>
            <w:r>
              <w:rPr/>
              <w:t>46.8</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24</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4</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single" w:sz="2" w:space="0" w:color="000000"/>
            </w:tcBorders>
            <w:shd w:fill="CCEEFF" w:val="clear"/>
            <w:tcMar>
              <w:bottom w:w="28" w:type="dxa"/>
            </w:tcMar>
            <w:vAlign w:val="center"/>
          </w:tcPr>
          <w:p>
            <w:pPr>
              <w:pStyle w:val="TableContents"/>
              <w:bidi w:val="0"/>
              <w:spacing w:before="0" w:after="283"/>
              <w:jc w:val="right"/>
              <w:rPr/>
            </w:pPr>
            <w:r>
              <w:rPr/>
              <w:t>88.1</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single" w:sz="2" w:space="0" w:color="000000"/>
            </w:tcBorders>
            <w:shd w:fill="CCEEFF" w:val="clear"/>
            <w:tcMar>
              <w:bottom w:w="28" w:type="dxa"/>
            </w:tcMar>
            <w:vAlign w:val="center"/>
          </w:tcPr>
          <w:p>
            <w:pPr>
              <w:pStyle w:val="TableContents"/>
              <w:bidi w:val="0"/>
              <w:spacing w:before="0" w:after="283"/>
              <w:jc w:val="right"/>
              <w:rPr/>
            </w:pPr>
            <w:r>
              <w:rPr/>
              <w:t>80.4</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2" w:space="0" w:color="000000"/>
            </w:tcBorders>
            <w:shd w:fill="CCEEFF" w:val="clear"/>
            <w:tcMar>
              <w:bottom w:w="28" w:type="dxa"/>
            </w:tcMar>
            <w:vAlign w:val="center"/>
          </w:tcPr>
          <w:p>
            <w:pPr>
              <w:pStyle w:val="TableContents"/>
              <w:bidi w:val="0"/>
              <w:spacing w:before="0" w:after="283"/>
              <w:jc w:val="right"/>
              <w:rPr/>
            </w:pPr>
            <w:r>
              <w:rPr/>
              <w:t>10</w:t>
            </w:r>
          </w:p>
        </w:tc>
        <w:tc>
          <w:tcPr>
            <w:tcW w:w="29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r>
      <w:tr>
        <w:trPr/>
        <w:tc>
          <w:tcPr>
            <w:tcW w:w="1535" w:type="dxa"/>
            <w:tcBorders/>
            <w:vAlign w:val="center"/>
          </w:tcPr>
          <w:p>
            <w:pPr>
              <w:pStyle w:val="TableContents"/>
              <w:bidi w:val="0"/>
              <w:spacing w:before="0" w:after="283"/>
              <w:jc w:val="right"/>
              <w:rPr/>
            </w:pPr>
            <w:r>
              <w:rPr/>
              <w:t>% of Sales</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17.8</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pPr>
            <w:r>
              <w:rPr/>
              <w:t>15.7</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18.6</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16.8</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16.9</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283"/>
              <w:jc w:val="left"/>
              <w:rPr/>
            </w:pPr>
            <w:r>
              <w:rPr/>
              <w:t>Unallocated and Other Corporate Expenses</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single" w:sz="2" w:space="0" w:color="000000"/>
            </w:tcBorders>
            <w:shd w:fill="CCEEFF" w:val="clear"/>
            <w:tcMar>
              <w:bottom w:w="28" w:type="dxa"/>
            </w:tcMar>
            <w:vAlign w:val="center"/>
          </w:tcPr>
          <w:p>
            <w:pPr>
              <w:pStyle w:val="TableContents"/>
              <w:bidi w:val="0"/>
              <w:spacing w:before="0" w:after="283"/>
              <w:jc w:val="right"/>
              <w:rPr/>
            </w:pPr>
            <w:r>
              <w:rPr/>
              <w:t>(298.4</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545" w:type="dxa"/>
            <w:tcBorders>
              <w:bottom w:val="single" w:sz="2" w:space="0" w:color="000000"/>
            </w:tcBorders>
            <w:shd w:fill="CCEEFF" w:val="clear"/>
            <w:tcMar>
              <w:bottom w:w="28" w:type="dxa"/>
            </w:tcMar>
            <w:vAlign w:val="center"/>
          </w:tcPr>
          <w:p>
            <w:pPr>
              <w:pStyle w:val="TableContents"/>
              <w:bidi w:val="0"/>
              <w:spacing w:before="0" w:after="283"/>
              <w:jc w:val="right"/>
              <w:rPr/>
            </w:pPr>
            <w:r>
              <w:rPr/>
              <w:t>(13.1</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530" w:type="dxa"/>
            <w:tcBorders>
              <w:bottom w:val="single" w:sz="2" w:space="0" w:color="000000"/>
            </w:tcBorders>
            <w:shd w:fill="CCEEFF" w:val="clear"/>
            <w:tcMar>
              <w:bottom w:w="28" w:type="dxa"/>
            </w:tcMar>
            <w:vAlign w:val="center"/>
          </w:tcPr>
          <w:p>
            <w:pPr>
              <w:pStyle w:val="TableContents"/>
              <w:bidi w:val="0"/>
              <w:spacing w:before="0" w:after="283"/>
              <w:jc w:val="right"/>
              <w:rPr/>
            </w:pPr>
            <w:r>
              <w:rPr/>
              <w:t>(6.2</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single" w:sz="2" w:space="0" w:color="000000"/>
            </w:tcBorders>
            <w:shd w:fill="CCEEFF" w:val="clear"/>
            <w:tcMar>
              <w:bottom w:w="28" w:type="dxa"/>
            </w:tcMar>
            <w:vAlign w:val="center"/>
          </w:tcPr>
          <w:p>
            <w:pPr>
              <w:pStyle w:val="TableContents"/>
              <w:bidi w:val="0"/>
              <w:spacing w:before="0" w:after="283"/>
              <w:jc w:val="right"/>
              <w:rPr/>
            </w:pPr>
            <w:r>
              <w:rPr/>
              <w:t>(311.5</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single" w:sz="2" w:space="0" w:color="000000"/>
            </w:tcBorders>
            <w:shd w:fill="CCEEFF" w:val="clear"/>
            <w:tcMar>
              <w:bottom w:w="28" w:type="dxa"/>
            </w:tcMar>
            <w:vAlign w:val="center"/>
          </w:tcPr>
          <w:p>
            <w:pPr>
              <w:pStyle w:val="TableContents"/>
              <w:bidi w:val="0"/>
              <w:spacing w:before="0" w:after="283"/>
              <w:jc w:val="right"/>
              <w:rPr/>
            </w:pPr>
            <w:r>
              <w:rPr/>
              <w:t>(227.4</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283"/>
              <w:jc w:val="left"/>
              <w:rPr/>
            </w:pPr>
            <w:r>
              <w:rPr/>
              <w:t>MTI Consolidated</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single" w:sz="2" w:space="0" w:color="000000"/>
            </w:tcBorders>
            <w:shd w:fill="CCEEFF" w:val="clear"/>
            <w:tcMar>
              <w:bottom w:w="28" w:type="dxa"/>
            </w:tcMar>
            <w:vAlign w:val="center"/>
          </w:tcPr>
          <w:p>
            <w:pPr>
              <w:pStyle w:val="TableContents"/>
              <w:bidi w:val="0"/>
              <w:spacing w:before="0" w:after="283"/>
              <w:jc w:val="right"/>
              <w:rPr/>
            </w:pPr>
            <w:r>
              <w:rPr/>
              <w:t>(220.3</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545" w:type="dxa"/>
            <w:tcBorders>
              <w:bottom w:val="single" w:sz="2" w:space="0" w:color="000000"/>
            </w:tcBorders>
            <w:shd w:fill="CCEEFF" w:val="clear"/>
            <w:tcMar>
              <w:bottom w:w="28" w:type="dxa"/>
            </w:tcMar>
            <w:vAlign w:val="center"/>
          </w:tcPr>
          <w:p>
            <w:pPr>
              <w:pStyle w:val="TableContents"/>
              <w:bidi w:val="0"/>
              <w:spacing w:before="0" w:after="283"/>
              <w:jc w:val="right"/>
              <w:rPr/>
            </w:pPr>
            <w:r>
              <w:rPr/>
              <w:t>58.7</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530" w:type="dxa"/>
            <w:tcBorders>
              <w:bottom w:val="single" w:sz="2" w:space="0" w:color="000000"/>
            </w:tcBorders>
            <w:shd w:fill="CCEEFF" w:val="clear"/>
            <w:tcMar>
              <w:bottom w:w="28" w:type="dxa"/>
            </w:tcMar>
            <w:vAlign w:val="center"/>
          </w:tcPr>
          <w:p>
            <w:pPr>
              <w:pStyle w:val="TableContents"/>
              <w:bidi w:val="0"/>
              <w:spacing w:before="0" w:after="283"/>
              <w:jc w:val="right"/>
              <w:rPr/>
            </w:pPr>
            <w:r>
              <w:rPr/>
              <w:t>74.6</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single" w:sz="2" w:space="0" w:color="000000"/>
            </w:tcBorders>
            <w:shd w:fill="CCEEFF" w:val="clear"/>
            <w:tcMar>
              <w:bottom w:w="28" w:type="dxa"/>
            </w:tcMar>
            <w:vAlign w:val="center"/>
          </w:tcPr>
          <w:p>
            <w:pPr>
              <w:pStyle w:val="TableContents"/>
              <w:bidi w:val="0"/>
              <w:spacing w:before="0" w:after="283"/>
              <w:jc w:val="right"/>
              <w:rPr/>
            </w:pPr>
            <w:r>
              <w:rPr/>
              <w:t>(161.6</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single" w:sz="2" w:space="0" w:color="000000"/>
            </w:tcBorders>
            <w:shd w:fill="CCEEFF" w:val="clear"/>
            <w:tcMar>
              <w:bottom w:w="28" w:type="dxa"/>
            </w:tcMar>
            <w:vAlign w:val="center"/>
          </w:tcPr>
          <w:p>
            <w:pPr>
              <w:pStyle w:val="TableContents"/>
              <w:bidi w:val="0"/>
              <w:spacing w:before="0" w:after="283"/>
              <w:jc w:val="right"/>
              <w:rPr/>
            </w:pPr>
            <w:r>
              <w:rPr/>
              <w:t>(85.5</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right"/>
              <w:rPr/>
            </w:pPr>
            <w:r>
              <w:rPr/>
              <w:t>% of Sales</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pPr>
            <w:r>
              <w:rPr/>
              <w:t>10.7</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14.1</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b/>
              </w:rPr>
            </w:pPr>
            <w:r>
              <w:rPr>
                <w:b/>
              </w:rPr>
              <w:t>SPECIAL ITEMS</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Consumer &amp; Specialties Segment</w:t>
            </w:r>
          </w:p>
        </w:tc>
        <w:tc>
          <w:tcPr>
            <w:tcW w:w="170" w:type="dxa"/>
            <w:tcBorders>
              <w:bottom w:val="single" w:sz="2" w:space="0" w:color="000000"/>
            </w:tcBorders>
            <w:tcMar>
              <w:bottom w:w="28" w:type="dxa"/>
            </w:tcMar>
            <w:vAlign w:val="center"/>
          </w:tcPr>
          <w:p>
            <w:pPr>
              <w:pStyle w:val="TableContents"/>
              <w:bidi w:val="0"/>
              <w:spacing w:before="0" w:after="283"/>
              <w:jc w:val="left"/>
              <w:rPr/>
            </w:pPr>
            <w:r>
              <w:rPr/>
              <w:t>$</w:t>
            </w:r>
          </w:p>
        </w:tc>
        <w:tc>
          <w:tcPr>
            <w:tcW w:w="665"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w:t>
            </w:r>
          </w:p>
        </w:tc>
        <w:tc>
          <w:tcPr>
            <w:tcW w:w="545"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w:t>
            </w:r>
          </w:p>
        </w:tc>
        <w:tc>
          <w:tcPr>
            <w:tcW w:w="530" w:type="dxa"/>
            <w:tcBorders>
              <w:bottom w:val="single" w:sz="2" w:space="0" w:color="000000"/>
            </w:tcBorders>
            <w:tcMar>
              <w:bottom w:w="28" w:type="dxa"/>
            </w:tcMar>
            <w:vAlign w:val="center"/>
          </w:tcPr>
          <w:p>
            <w:pPr>
              <w:pStyle w:val="TableContents"/>
              <w:bidi w:val="0"/>
              <w:spacing w:before="0" w:after="283"/>
              <w:jc w:val="right"/>
              <w:rPr/>
            </w:pPr>
            <w:r>
              <w:rPr/>
              <w:t>3.3</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w:t>
            </w:r>
          </w:p>
        </w:tc>
        <w:tc>
          <w:tcPr>
            <w:tcW w:w="665"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w:t>
            </w:r>
          </w:p>
        </w:tc>
        <w:tc>
          <w:tcPr>
            <w:tcW w:w="665" w:type="dxa"/>
            <w:tcBorders>
              <w:bottom w:val="single" w:sz="2" w:space="0" w:color="000000"/>
            </w:tcBorders>
            <w:tcMar>
              <w:bottom w:w="28" w:type="dxa"/>
            </w:tcMar>
            <w:vAlign w:val="center"/>
          </w:tcPr>
          <w:p>
            <w:pPr>
              <w:pStyle w:val="TableContents"/>
              <w:bidi w:val="0"/>
              <w:spacing w:before="0" w:after="283"/>
              <w:jc w:val="right"/>
              <w:rPr/>
            </w:pPr>
            <w:r>
              <w:rPr/>
              <w:t>5.8</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2" w:space="0" w:color="000000"/>
            </w:tcBorders>
            <w:tcMar>
              <w:bottom w:w="28" w:type="dxa"/>
            </w:tcMar>
            <w:vAlign w:val="center"/>
          </w:tcPr>
          <w:p>
            <w:pPr>
              <w:pStyle w:val="TableContents"/>
              <w:bidi w:val="0"/>
              <w:spacing w:before="0" w:after="283"/>
              <w:jc w:val="right"/>
              <w:rPr/>
            </w:pPr>
            <w:r>
              <w:rPr/>
              <w:t>*</w:t>
            </w:r>
          </w:p>
        </w:tc>
        <w:tc>
          <w:tcPr>
            <w:tcW w:w="29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Engineered Solutions Segment</w:t>
            </w:r>
          </w:p>
        </w:tc>
        <w:tc>
          <w:tcPr>
            <w:tcW w:w="170" w:type="dxa"/>
            <w:tcBorders>
              <w:bottom w:val="single" w:sz="2" w:space="0" w:color="000000"/>
            </w:tcBorders>
            <w:tcMar>
              <w:bottom w:w="28" w:type="dxa"/>
            </w:tcMar>
            <w:vAlign w:val="center"/>
          </w:tcPr>
          <w:p>
            <w:pPr>
              <w:pStyle w:val="TableContents"/>
              <w:bidi w:val="0"/>
              <w:spacing w:before="0" w:after="283"/>
              <w:jc w:val="left"/>
              <w:rPr/>
            </w:pPr>
            <w:r>
              <w:rPr/>
              <w:t>$</w:t>
            </w:r>
          </w:p>
        </w:tc>
        <w:tc>
          <w:tcPr>
            <w:tcW w:w="665"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w:t>
            </w:r>
          </w:p>
        </w:tc>
        <w:tc>
          <w:tcPr>
            <w:tcW w:w="545"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w:t>
            </w:r>
          </w:p>
        </w:tc>
        <w:tc>
          <w:tcPr>
            <w:tcW w:w="530" w:type="dxa"/>
            <w:tcBorders>
              <w:bottom w:val="single" w:sz="2" w:space="0" w:color="000000"/>
            </w:tcBorders>
            <w:tcMar>
              <w:bottom w:w="28" w:type="dxa"/>
            </w:tcMar>
            <w:vAlign w:val="center"/>
          </w:tcPr>
          <w:p>
            <w:pPr>
              <w:pStyle w:val="TableContents"/>
              <w:bidi w:val="0"/>
              <w:spacing w:before="0" w:after="283"/>
              <w:jc w:val="right"/>
              <w:rPr/>
            </w:pPr>
            <w:r>
              <w:rPr/>
              <w:t>(3.1</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w:t>
            </w:r>
          </w:p>
        </w:tc>
        <w:tc>
          <w:tcPr>
            <w:tcW w:w="665"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w:t>
            </w:r>
          </w:p>
        </w:tc>
        <w:tc>
          <w:tcPr>
            <w:tcW w:w="665" w:type="dxa"/>
            <w:tcBorders>
              <w:bottom w:val="single" w:sz="2" w:space="0" w:color="000000"/>
            </w:tcBorders>
            <w:tcMar>
              <w:bottom w:w="28" w:type="dxa"/>
            </w:tcMar>
            <w:vAlign w:val="center"/>
          </w:tcPr>
          <w:p>
            <w:pPr>
              <w:pStyle w:val="TableContents"/>
              <w:bidi w:val="0"/>
              <w:spacing w:before="0" w:after="283"/>
              <w:jc w:val="right"/>
              <w:rPr/>
            </w:pPr>
            <w:r>
              <w:rPr/>
              <w:t>(2.3</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2" w:space="0" w:color="000000"/>
            </w:tcBorders>
            <w:tcMar>
              <w:bottom w:w="28" w:type="dxa"/>
            </w:tcMar>
            <w:vAlign w:val="center"/>
          </w:tcPr>
          <w:p>
            <w:pPr>
              <w:pStyle w:val="TableContents"/>
              <w:bidi w:val="0"/>
              <w:spacing w:before="0" w:after="283"/>
              <w:jc w:val="right"/>
              <w:rPr/>
            </w:pPr>
            <w:r>
              <w:rPr/>
              <w:t>*</w:t>
            </w:r>
          </w:p>
        </w:tc>
        <w:tc>
          <w:tcPr>
            <w:tcW w:w="29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Unallocated and Other Corporate Expenses</w:t>
            </w:r>
          </w:p>
        </w:tc>
        <w:tc>
          <w:tcPr>
            <w:tcW w:w="170" w:type="dxa"/>
            <w:tcBorders>
              <w:bottom w:val="single" w:sz="2" w:space="0" w:color="000000"/>
            </w:tcBorders>
            <w:tcMar>
              <w:bottom w:w="28" w:type="dxa"/>
            </w:tcMar>
            <w:vAlign w:val="center"/>
          </w:tcPr>
          <w:p>
            <w:pPr>
              <w:pStyle w:val="TableContents"/>
              <w:bidi w:val="0"/>
              <w:spacing w:before="0" w:after="283"/>
              <w:jc w:val="left"/>
              <w:rPr/>
            </w:pPr>
            <w:r>
              <w:rPr/>
              <w:t>$</w:t>
            </w:r>
          </w:p>
        </w:tc>
        <w:tc>
          <w:tcPr>
            <w:tcW w:w="665" w:type="dxa"/>
            <w:tcBorders>
              <w:bottom w:val="single" w:sz="2" w:space="0" w:color="000000"/>
            </w:tcBorders>
            <w:tcMar>
              <w:bottom w:w="28" w:type="dxa"/>
            </w:tcMar>
            <w:vAlign w:val="center"/>
          </w:tcPr>
          <w:p>
            <w:pPr>
              <w:pStyle w:val="TableContents"/>
              <w:bidi w:val="0"/>
              <w:spacing w:before="0" w:after="283"/>
              <w:jc w:val="right"/>
              <w:rPr/>
            </w:pPr>
            <w:r>
              <w:rPr/>
              <w:t>294.9</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w:t>
            </w:r>
          </w:p>
        </w:tc>
        <w:tc>
          <w:tcPr>
            <w:tcW w:w="545" w:type="dxa"/>
            <w:tcBorders>
              <w:bottom w:val="single" w:sz="2" w:space="0" w:color="000000"/>
            </w:tcBorders>
            <w:tcMar>
              <w:bottom w:w="28" w:type="dxa"/>
            </w:tcMar>
            <w:vAlign w:val="center"/>
          </w:tcPr>
          <w:p>
            <w:pPr>
              <w:pStyle w:val="TableContents"/>
              <w:bidi w:val="0"/>
              <w:spacing w:before="0" w:after="283"/>
              <w:jc w:val="right"/>
              <w:rPr/>
            </w:pPr>
            <w:r>
              <w:rPr/>
              <w:t>8.8</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w:t>
            </w:r>
          </w:p>
        </w:tc>
        <w:tc>
          <w:tcPr>
            <w:tcW w:w="530" w:type="dxa"/>
            <w:tcBorders>
              <w:bottom w:val="single" w:sz="2" w:space="0" w:color="000000"/>
            </w:tcBorders>
            <w:tcMar>
              <w:bottom w:w="28" w:type="dxa"/>
            </w:tcMar>
            <w:vAlign w:val="center"/>
          </w:tcPr>
          <w:p>
            <w:pPr>
              <w:pStyle w:val="TableContents"/>
              <w:bidi w:val="0"/>
              <w:spacing w:before="0" w:after="283"/>
              <w:jc w:val="right"/>
              <w:rPr/>
            </w:pPr>
            <w:r>
              <w:rPr/>
              <w:t>4.2</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w:t>
            </w:r>
          </w:p>
        </w:tc>
        <w:tc>
          <w:tcPr>
            <w:tcW w:w="665" w:type="dxa"/>
            <w:tcBorders>
              <w:bottom w:val="single" w:sz="2" w:space="0" w:color="000000"/>
            </w:tcBorders>
            <w:tcMar>
              <w:bottom w:w="28" w:type="dxa"/>
            </w:tcMar>
            <w:vAlign w:val="center"/>
          </w:tcPr>
          <w:p>
            <w:pPr>
              <w:pStyle w:val="TableContents"/>
              <w:bidi w:val="0"/>
              <w:spacing w:before="0" w:after="283"/>
              <w:jc w:val="right"/>
              <w:rPr/>
            </w:pPr>
            <w:r>
              <w:rPr/>
              <w:t>303.7</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w:t>
            </w:r>
          </w:p>
        </w:tc>
        <w:tc>
          <w:tcPr>
            <w:tcW w:w="665" w:type="dxa"/>
            <w:tcBorders>
              <w:bottom w:val="single" w:sz="2" w:space="0" w:color="000000"/>
            </w:tcBorders>
            <w:tcMar>
              <w:bottom w:w="28" w:type="dxa"/>
            </w:tcMar>
            <w:vAlign w:val="center"/>
          </w:tcPr>
          <w:p>
            <w:pPr>
              <w:pStyle w:val="TableContents"/>
              <w:bidi w:val="0"/>
              <w:spacing w:before="0" w:after="283"/>
              <w:jc w:val="right"/>
              <w:rPr/>
            </w:pPr>
            <w:r>
              <w:rPr/>
              <w:t>224.2</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2" w:space="0" w:color="000000"/>
            </w:tcBorders>
            <w:tcMar>
              <w:bottom w:w="28" w:type="dxa"/>
            </w:tcMar>
            <w:vAlign w:val="center"/>
          </w:tcPr>
          <w:p>
            <w:pPr>
              <w:pStyle w:val="TableContents"/>
              <w:bidi w:val="0"/>
              <w:spacing w:before="0" w:after="283"/>
              <w:jc w:val="right"/>
              <w:rPr/>
            </w:pPr>
            <w:r>
              <w:rPr/>
              <w:t>*</w:t>
            </w:r>
          </w:p>
        </w:tc>
        <w:tc>
          <w:tcPr>
            <w:tcW w:w="29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MTI Consolidated</w:t>
            </w:r>
          </w:p>
        </w:tc>
        <w:tc>
          <w:tcPr>
            <w:tcW w:w="170" w:type="dxa"/>
            <w:tcBorders>
              <w:bottom w:val="single" w:sz="2" w:space="0" w:color="000000"/>
            </w:tcBorders>
            <w:tcMar>
              <w:bottom w:w="28" w:type="dxa"/>
            </w:tcMar>
            <w:vAlign w:val="center"/>
          </w:tcPr>
          <w:p>
            <w:pPr>
              <w:pStyle w:val="TableContents"/>
              <w:bidi w:val="0"/>
              <w:spacing w:before="0" w:after="283"/>
              <w:jc w:val="left"/>
              <w:rPr/>
            </w:pPr>
            <w:r>
              <w:rPr/>
              <w:t>$</w:t>
            </w:r>
          </w:p>
        </w:tc>
        <w:tc>
          <w:tcPr>
            <w:tcW w:w="665" w:type="dxa"/>
            <w:tcBorders>
              <w:bottom w:val="single" w:sz="2" w:space="0" w:color="000000"/>
            </w:tcBorders>
            <w:tcMar>
              <w:bottom w:w="28" w:type="dxa"/>
            </w:tcMar>
            <w:vAlign w:val="center"/>
          </w:tcPr>
          <w:p>
            <w:pPr>
              <w:pStyle w:val="TableContents"/>
              <w:bidi w:val="0"/>
              <w:spacing w:before="0" w:after="283"/>
              <w:jc w:val="right"/>
              <w:rPr/>
            </w:pPr>
            <w:r>
              <w:rPr/>
              <w:t>294.9</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w:t>
            </w:r>
          </w:p>
        </w:tc>
        <w:tc>
          <w:tcPr>
            <w:tcW w:w="545" w:type="dxa"/>
            <w:tcBorders>
              <w:bottom w:val="single" w:sz="2" w:space="0" w:color="000000"/>
            </w:tcBorders>
            <w:tcMar>
              <w:bottom w:w="28" w:type="dxa"/>
            </w:tcMar>
            <w:vAlign w:val="center"/>
          </w:tcPr>
          <w:p>
            <w:pPr>
              <w:pStyle w:val="TableContents"/>
              <w:bidi w:val="0"/>
              <w:spacing w:before="0" w:after="283"/>
              <w:jc w:val="right"/>
              <w:rPr/>
            </w:pPr>
            <w:r>
              <w:rPr/>
              <w:t>8.8</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w:t>
            </w:r>
          </w:p>
        </w:tc>
        <w:tc>
          <w:tcPr>
            <w:tcW w:w="530" w:type="dxa"/>
            <w:tcBorders>
              <w:bottom w:val="single" w:sz="2" w:space="0" w:color="000000"/>
            </w:tcBorders>
            <w:tcMar>
              <w:bottom w:w="28" w:type="dxa"/>
            </w:tcMar>
            <w:vAlign w:val="center"/>
          </w:tcPr>
          <w:p>
            <w:pPr>
              <w:pStyle w:val="TableContents"/>
              <w:bidi w:val="0"/>
              <w:spacing w:before="0" w:after="283"/>
              <w:jc w:val="right"/>
              <w:rPr/>
            </w:pPr>
            <w:r>
              <w:rPr/>
              <w:t>4.4</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w:t>
            </w:r>
          </w:p>
        </w:tc>
        <w:tc>
          <w:tcPr>
            <w:tcW w:w="665" w:type="dxa"/>
            <w:tcBorders>
              <w:bottom w:val="single" w:sz="2" w:space="0" w:color="000000"/>
            </w:tcBorders>
            <w:tcMar>
              <w:bottom w:w="28" w:type="dxa"/>
            </w:tcMar>
            <w:vAlign w:val="center"/>
          </w:tcPr>
          <w:p>
            <w:pPr>
              <w:pStyle w:val="TableContents"/>
              <w:bidi w:val="0"/>
              <w:spacing w:before="0" w:after="283"/>
              <w:jc w:val="right"/>
              <w:rPr/>
            </w:pPr>
            <w:r>
              <w:rPr/>
              <w:t>303.7</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w:t>
            </w:r>
          </w:p>
        </w:tc>
        <w:tc>
          <w:tcPr>
            <w:tcW w:w="665" w:type="dxa"/>
            <w:tcBorders>
              <w:bottom w:val="single" w:sz="2" w:space="0" w:color="000000"/>
            </w:tcBorders>
            <w:tcMar>
              <w:bottom w:w="28" w:type="dxa"/>
            </w:tcMar>
            <w:vAlign w:val="center"/>
          </w:tcPr>
          <w:p>
            <w:pPr>
              <w:pStyle w:val="TableContents"/>
              <w:bidi w:val="0"/>
              <w:spacing w:before="0" w:after="283"/>
              <w:jc w:val="right"/>
              <w:rPr/>
            </w:pPr>
            <w:r>
              <w:rPr/>
              <w:t>227.7</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2" w:space="0" w:color="000000"/>
            </w:tcBorders>
            <w:tcMar>
              <w:bottom w:w="28" w:type="dxa"/>
            </w:tcMar>
            <w:vAlign w:val="center"/>
          </w:tcPr>
          <w:p>
            <w:pPr>
              <w:pStyle w:val="TableContents"/>
              <w:bidi w:val="0"/>
              <w:spacing w:before="0" w:after="283"/>
              <w:jc w:val="right"/>
              <w:rPr/>
            </w:pPr>
            <w:r>
              <w:rPr/>
              <w:t>*</w:t>
            </w:r>
          </w:p>
        </w:tc>
        <w:tc>
          <w:tcPr>
            <w:tcW w:w="290" w:type="dxa"/>
            <w:tcBorders>
              <w:bottom w:val="single" w:sz="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20"/>
              </w:rPr>
            </w:pPr>
            <w:r>
              <w:rPr>
                <w:sz w:val="20"/>
              </w:rPr>
              <w:t>To supplement the Company's consolidated financial statements presented in accordance with GAAP, the following is a presentation of the Company's non-GAAP operating income, excluding special items (set forth in the above table), for the quarterly periods ended July 5, 2026, April 5, 2026, and June 29, 2025, and the six month periods ended July 5, 2026 and June 29, 2025, constituting a reconciliation to GAAP operating income (loss) set forth above. The Company's management believe these non-GAAP measures provide meaningful supplemental information regarding its performance as inclusion of such special items are not indicative of ongoing operating results and thereby affect the comparability of results between periods. The Company believes inclusion of these non-GAAP measures also provides consistency in its financial reporting and facilitates investors' understanding of historic operating trends.</w:t>
            </w:r>
          </w:p>
        </w:tc>
      </w:tr>
    </w:tbl>
    <w:p>
      <w:pPr>
        <w:pStyle w:val="TextBody"/>
        <w:bidi w:val="0"/>
        <w:spacing w:before="0" w:after="0"/>
        <w:jc w:val="left"/>
        <w:rPr/>
      </w:pPr>
      <w:r>
        <w:rPr/>
        <w:t> </w:t>
      </w:r>
    </w:p>
    <w:p>
      <w:pPr>
        <w:pStyle w:val="TextBody"/>
        <w:bidi w:val="0"/>
        <w:spacing w:before="0" w:after="0"/>
        <w:jc w:val="left"/>
        <w:rPr/>
      </w:pPr>
      <w:r>
        <w:rPr/>
        <w:t> </w:t>
      </w:r>
    </w:p>
    <w:tbl>
      <w:tblPr>
        <w:tblW w:w="10415" w:type="dxa"/>
        <w:jc w:val="left"/>
        <w:tblInd w:w="0" w:type="dxa"/>
        <w:tblLayout w:type="fixed"/>
        <w:tblCellMar>
          <w:top w:w="0" w:type="dxa"/>
          <w:left w:w="0" w:type="dxa"/>
          <w:bottom w:w="0" w:type="dxa"/>
          <w:right w:w="0" w:type="dxa"/>
        </w:tblCellMar>
      </w:tblPr>
      <w:tblGrid>
        <w:gridCol w:w="1565"/>
        <w:gridCol w:w="170"/>
        <w:gridCol w:w="530"/>
        <w:gridCol w:w="245"/>
        <w:gridCol w:w="90"/>
        <w:gridCol w:w="170"/>
        <w:gridCol w:w="530"/>
        <w:gridCol w:w="245"/>
        <w:gridCol w:w="90"/>
        <w:gridCol w:w="170"/>
        <w:gridCol w:w="530"/>
        <w:gridCol w:w="245"/>
        <w:gridCol w:w="90"/>
        <w:gridCol w:w="90"/>
        <w:gridCol w:w="590"/>
        <w:gridCol w:w="245"/>
        <w:gridCol w:w="90"/>
        <w:gridCol w:w="90"/>
        <w:gridCol w:w="590"/>
        <w:gridCol w:w="245"/>
        <w:gridCol w:w="90"/>
        <w:gridCol w:w="170"/>
        <w:gridCol w:w="590"/>
        <w:gridCol w:w="245"/>
        <w:gridCol w:w="90"/>
        <w:gridCol w:w="170"/>
        <w:gridCol w:w="590"/>
        <w:gridCol w:w="245"/>
        <w:gridCol w:w="90"/>
        <w:gridCol w:w="90"/>
        <w:gridCol w:w="1145"/>
        <w:gridCol w:w="290"/>
      </w:tblGrid>
      <w:tr>
        <w:trPr/>
        <w:tc>
          <w:tcPr>
            <w:tcW w:w="156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56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565" w:type="dxa"/>
            <w:tcBorders/>
            <w:vAlign w:val="center"/>
          </w:tcPr>
          <w:p>
            <w:pPr>
              <w:pStyle w:val="TableContents"/>
              <w:bidi w:val="0"/>
              <w:spacing w:before="0" w:after="283"/>
              <w:jc w:val="left"/>
              <w:rPr/>
            </w:pPr>
            <w:r>
              <w:rPr/>
              <w:t> </w:t>
            </w:r>
          </w:p>
        </w:tc>
        <w:tc>
          <w:tcPr>
            <w:tcW w:w="3015" w:type="dxa"/>
            <w:gridSpan w:val="11"/>
            <w:tcBorders>
              <w:bottom w:val="single" w:sz="6" w:space="0" w:color="000000"/>
            </w:tcBorders>
            <w:tcMar>
              <w:bottom w:w="28" w:type="dxa"/>
            </w:tcMar>
            <w:vAlign w:val="center"/>
          </w:tcPr>
          <w:p>
            <w:pPr>
              <w:pStyle w:val="TableContents"/>
              <w:bidi w:val="0"/>
              <w:spacing w:before="0" w:after="283"/>
              <w:jc w:val="center"/>
              <w:rPr>
                <w:b/>
              </w:rPr>
            </w:pPr>
            <w:r>
              <w:rPr>
                <w:b/>
              </w:rPr>
              <w:t>Quarter Ended</w:t>
            </w:r>
          </w:p>
        </w:tc>
        <w:tc>
          <w:tcPr>
            <w:tcW w:w="90" w:type="dxa"/>
            <w:tcBorders/>
            <w:vAlign w:val="center"/>
          </w:tcPr>
          <w:p>
            <w:pPr>
              <w:pStyle w:val="TableContents"/>
              <w:bidi w:val="0"/>
              <w:spacing w:before="0" w:after="283"/>
              <w:jc w:val="left"/>
              <w:rPr/>
            </w:pPr>
            <w:r>
              <w:rPr/>
              <w:t> </w:t>
            </w:r>
          </w:p>
        </w:tc>
        <w:tc>
          <w:tcPr>
            <w:tcW w:w="1940" w:type="dxa"/>
            <w:gridSpan w:val="7"/>
            <w:tcBorders>
              <w:bottom w:val="single" w:sz="6" w:space="0" w:color="000000"/>
            </w:tcBorders>
            <w:tcMar>
              <w:bottom w:w="28" w:type="dxa"/>
            </w:tcMar>
            <w:vAlign w:val="center"/>
          </w:tcPr>
          <w:p>
            <w:pPr>
              <w:pStyle w:val="TableContents"/>
              <w:bidi w:val="0"/>
              <w:spacing w:before="0" w:after="283"/>
              <w:jc w:val="center"/>
              <w:rPr>
                <w:b/>
              </w:rPr>
            </w:pPr>
            <w:r>
              <w:rPr>
                <w:b/>
              </w:rPr>
              <w:t>% Growth</w:t>
            </w:r>
          </w:p>
        </w:tc>
        <w:tc>
          <w:tcPr>
            <w:tcW w:w="90" w:type="dxa"/>
            <w:tcBorders/>
            <w:vAlign w:val="center"/>
          </w:tcPr>
          <w:p>
            <w:pPr>
              <w:pStyle w:val="TableContents"/>
              <w:bidi w:val="0"/>
              <w:spacing w:before="0" w:after="283"/>
              <w:jc w:val="left"/>
              <w:rPr/>
            </w:pPr>
            <w:r>
              <w:rPr/>
              <w:t> </w:t>
            </w:r>
          </w:p>
        </w:tc>
        <w:tc>
          <w:tcPr>
            <w:tcW w:w="2100" w:type="dxa"/>
            <w:gridSpan w:val="7"/>
            <w:tcBorders>
              <w:bottom w:val="single" w:sz="6" w:space="0" w:color="000000"/>
            </w:tcBorders>
            <w:tcMar>
              <w:bottom w:w="28" w:type="dxa"/>
            </w:tcMar>
            <w:vAlign w:val="center"/>
          </w:tcPr>
          <w:p>
            <w:pPr>
              <w:pStyle w:val="TableContents"/>
              <w:bidi w:val="0"/>
              <w:spacing w:before="0" w:after="283"/>
              <w:jc w:val="center"/>
              <w:rPr>
                <w:b/>
              </w:rPr>
            </w:pPr>
            <w:r>
              <w:rPr>
                <w:b/>
              </w:rPr>
              <w:t>Six Months Ended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bottom w:val="single" w:sz="6" w:space="0" w:color="000000"/>
            </w:tcBorders>
            <w:tcMar>
              <w:bottom w:w="28" w:type="dxa"/>
            </w:tcMar>
            <w:vAlign w:val="center"/>
          </w:tcPr>
          <w:p>
            <w:pPr>
              <w:pStyle w:val="TableContents"/>
              <w:bidi w:val="0"/>
              <w:spacing w:before="0" w:after="283"/>
              <w:jc w:val="center"/>
              <w:rPr>
                <w:b/>
              </w:rPr>
            </w:pPr>
            <w:r>
              <w:rPr>
                <w:b/>
              </w:rPr>
              <w:t>% Growth</w:t>
            </w:r>
          </w:p>
        </w:tc>
        <w:tc>
          <w:tcPr>
            <w:tcW w:w="290"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b/>
              </w:rPr>
            </w:pPr>
            <w:r>
              <w:rPr>
                <w:b/>
              </w:rPr>
              <w:t>SEGMENT OPERATING INCOME,</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b/>
              </w:rPr>
            </w:pPr>
            <w:r>
              <w:rPr>
                <w:b/>
              </w:rPr>
              <w:t>Jul. 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b/>
              </w:rPr>
            </w:pPr>
            <w:r>
              <w:rPr>
                <w:b/>
              </w:rPr>
              <w:t>Apr. 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b/>
              </w:rPr>
            </w:pPr>
            <w:r>
              <w:rPr>
                <w:b/>
              </w:rPr>
              <w:t>Jun. 29,</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b/>
              </w:rPr>
            </w:pPr>
            <w:r>
              <w:rPr>
                <w:b/>
              </w:rPr>
              <w:t>Prior</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b/>
              </w:rPr>
            </w:pPr>
            <w:r>
              <w:rPr>
                <w:b/>
              </w:rPr>
              <w:t>Prior</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b/>
              </w:rPr>
            </w:pPr>
            <w:r>
              <w:rPr>
                <w:b/>
              </w:rPr>
              <w:t>Jul. 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b/>
              </w:rPr>
            </w:pPr>
            <w:r>
              <w:rPr>
                <w:b/>
              </w:rPr>
              <w:t>Jun. 29,</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Prior</w:t>
            </w:r>
          </w:p>
        </w:tc>
        <w:tc>
          <w:tcPr>
            <w:tcW w:w="290"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b/>
              </w:rPr>
            </w:pPr>
            <w:r>
              <w:rPr>
                <w:b/>
              </w:rPr>
              <w:t>EXCLUDING SPECIAL ITEMS</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530"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530"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530"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tcMar>
              <w:bottom w:w="28" w:type="dxa"/>
            </w:tcMar>
            <w:vAlign w:val="center"/>
          </w:tcPr>
          <w:p>
            <w:pPr>
              <w:pStyle w:val="TableContents"/>
              <w:bidi w:val="0"/>
              <w:spacing w:before="0" w:after="283"/>
              <w:jc w:val="center"/>
              <w:rPr>
                <w:b/>
              </w:rPr>
            </w:pPr>
            <w:r>
              <w:rPr>
                <w:b/>
              </w:rPr>
              <w:t>Qtr.</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tcMar>
              <w:bottom w:w="28" w:type="dxa"/>
            </w:tcMar>
            <w:vAlign w:val="center"/>
          </w:tcPr>
          <w:p>
            <w:pPr>
              <w:pStyle w:val="TableContents"/>
              <w:bidi w:val="0"/>
              <w:spacing w:before="0" w:after="283"/>
              <w:jc w:val="center"/>
              <w:rPr>
                <w:b/>
              </w:rPr>
            </w:pPr>
            <w:r>
              <w:rPr>
                <w:b/>
              </w:rPr>
              <w:t>Year</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bottom w:val="single" w:sz="6" w:space="0" w:color="000000"/>
            </w:tcBorders>
            <w:tcMar>
              <w:bottom w:w="28" w:type="dxa"/>
            </w:tcMar>
            <w:vAlign w:val="center"/>
          </w:tcPr>
          <w:p>
            <w:pPr>
              <w:pStyle w:val="TableContents"/>
              <w:bidi w:val="0"/>
              <w:spacing w:before="0" w:after="283"/>
              <w:jc w:val="center"/>
              <w:rPr>
                <w:b/>
              </w:rPr>
            </w:pPr>
            <w:r>
              <w:rPr>
                <w:b/>
              </w:rPr>
              <w:t>Year</w:t>
            </w:r>
          </w:p>
        </w:tc>
        <w:tc>
          <w:tcPr>
            <w:tcW w:w="290"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283"/>
              <w:jc w:val="left"/>
              <w:rPr/>
            </w:pPr>
            <w:r>
              <w:rPr/>
              <w:t>Consumer &amp; Specialties Segment</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530" w:type="dxa"/>
            <w:tcBorders>
              <w:bottom w:val="single" w:sz="6" w:space="0" w:color="000000"/>
            </w:tcBorders>
            <w:shd w:fill="CCEEFF" w:val="clear"/>
            <w:tcMar>
              <w:bottom w:w="28" w:type="dxa"/>
            </w:tcMar>
            <w:vAlign w:val="center"/>
          </w:tcPr>
          <w:p>
            <w:pPr>
              <w:pStyle w:val="TableContents"/>
              <w:bidi w:val="0"/>
              <w:spacing w:before="0" w:after="283"/>
              <w:jc w:val="right"/>
              <w:rPr/>
            </w:pPr>
            <w:r>
              <w:rPr/>
              <w:t>29.3</w:t>
            </w:r>
          </w:p>
        </w:tc>
        <w:tc>
          <w:tcPr>
            <w:tcW w:w="24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530" w:type="dxa"/>
            <w:tcBorders>
              <w:bottom w:val="single" w:sz="6" w:space="0" w:color="000000"/>
            </w:tcBorders>
            <w:shd w:fill="CCEEFF" w:val="clear"/>
            <w:tcMar>
              <w:bottom w:w="28" w:type="dxa"/>
            </w:tcMar>
            <w:vAlign w:val="center"/>
          </w:tcPr>
          <w:p>
            <w:pPr>
              <w:pStyle w:val="TableContents"/>
              <w:bidi w:val="0"/>
              <w:spacing w:before="0" w:after="283"/>
              <w:jc w:val="right"/>
              <w:rPr/>
            </w:pPr>
            <w:r>
              <w:rPr/>
              <w:t>32.5</w:t>
            </w:r>
          </w:p>
        </w:tc>
        <w:tc>
          <w:tcPr>
            <w:tcW w:w="24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530" w:type="dxa"/>
            <w:tcBorders>
              <w:bottom w:val="single" w:sz="6" w:space="0" w:color="000000"/>
            </w:tcBorders>
            <w:shd w:fill="CCEEFF" w:val="clear"/>
            <w:tcMar>
              <w:bottom w:w="28" w:type="dxa"/>
            </w:tcMar>
            <w:vAlign w:val="center"/>
          </w:tcPr>
          <w:p>
            <w:pPr>
              <w:pStyle w:val="TableContents"/>
              <w:bidi w:val="0"/>
              <w:spacing w:before="0" w:after="283"/>
              <w:jc w:val="right"/>
              <w:rPr/>
            </w:pPr>
            <w:r>
              <w:rPr/>
              <w:t>37.3</w:t>
            </w:r>
          </w:p>
        </w:tc>
        <w:tc>
          <w:tcPr>
            <w:tcW w:w="24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shd w:fill="CCEEFF" w:val="clear"/>
            <w:tcMar>
              <w:bottom w:w="28" w:type="dxa"/>
            </w:tcMar>
            <w:vAlign w:val="center"/>
          </w:tcPr>
          <w:p>
            <w:pPr>
              <w:pStyle w:val="TableContents"/>
              <w:bidi w:val="0"/>
              <w:spacing w:before="0" w:after="283"/>
              <w:jc w:val="right"/>
              <w:rPr/>
            </w:pPr>
            <w:r>
              <w:rPr/>
              <w:t>(10</w:t>
            </w:r>
          </w:p>
        </w:tc>
        <w:tc>
          <w:tcPr>
            <w:tcW w:w="245"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shd w:fill="CCEEFF" w:val="clear"/>
            <w:tcMar>
              <w:bottom w:w="28" w:type="dxa"/>
            </w:tcMar>
            <w:vAlign w:val="center"/>
          </w:tcPr>
          <w:p>
            <w:pPr>
              <w:pStyle w:val="TableContents"/>
              <w:bidi w:val="0"/>
              <w:spacing w:before="0" w:after="283"/>
              <w:jc w:val="right"/>
              <w:rPr/>
            </w:pPr>
            <w:r>
              <w:rPr/>
              <w:t>(21</w:t>
            </w:r>
          </w:p>
        </w:tc>
        <w:tc>
          <w:tcPr>
            <w:tcW w:w="245"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590" w:type="dxa"/>
            <w:tcBorders>
              <w:bottom w:val="single" w:sz="6" w:space="0" w:color="000000"/>
            </w:tcBorders>
            <w:shd w:fill="CCEEFF" w:val="clear"/>
            <w:tcMar>
              <w:bottom w:w="28" w:type="dxa"/>
            </w:tcMar>
            <w:vAlign w:val="center"/>
          </w:tcPr>
          <w:p>
            <w:pPr>
              <w:pStyle w:val="TableContents"/>
              <w:bidi w:val="0"/>
              <w:spacing w:before="0" w:after="283"/>
              <w:jc w:val="right"/>
              <w:rPr/>
            </w:pPr>
            <w:r>
              <w:rPr/>
              <w:t>61.8</w:t>
            </w:r>
          </w:p>
        </w:tc>
        <w:tc>
          <w:tcPr>
            <w:tcW w:w="24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590" w:type="dxa"/>
            <w:tcBorders>
              <w:bottom w:val="single" w:sz="6" w:space="0" w:color="000000"/>
            </w:tcBorders>
            <w:shd w:fill="CCEEFF" w:val="clear"/>
            <w:tcMar>
              <w:bottom w:w="28" w:type="dxa"/>
            </w:tcMar>
            <w:vAlign w:val="center"/>
          </w:tcPr>
          <w:p>
            <w:pPr>
              <w:pStyle w:val="TableContents"/>
              <w:bidi w:val="0"/>
              <w:spacing w:before="0" w:after="283"/>
              <w:jc w:val="right"/>
              <w:rPr/>
            </w:pPr>
            <w:r>
              <w:rPr/>
              <w:t>67.3</w:t>
            </w:r>
          </w:p>
        </w:tc>
        <w:tc>
          <w:tcPr>
            <w:tcW w:w="24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6" w:space="0" w:color="000000"/>
            </w:tcBorders>
            <w:shd w:fill="CCEEFF" w:val="clear"/>
            <w:tcMar>
              <w:bottom w:w="28" w:type="dxa"/>
            </w:tcMar>
            <w:vAlign w:val="center"/>
          </w:tcPr>
          <w:p>
            <w:pPr>
              <w:pStyle w:val="TableContents"/>
              <w:bidi w:val="0"/>
              <w:spacing w:before="0" w:after="283"/>
              <w:jc w:val="right"/>
              <w:rPr/>
            </w:pPr>
            <w:r>
              <w:rPr/>
              <w:t>(8</w:t>
            </w:r>
          </w:p>
        </w:tc>
        <w:tc>
          <w:tcPr>
            <w:tcW w:w="29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r>
      <w:tr>
        <w:trPr/>
        <w:tc>
          <w:tcPr>
            <w:tcW w:w="1565" w:type="dxa"/>
            <w:tcBorders/>
            <w:vAlign w:val="center"/>
          </w:tcPr>
          <w:p>
            <w:pPr>
              <w:pStyle w:val="TableContents"/>
              <w:bidi w:val="0"/>
              <w:spacing w:before="0" w:after="283"/>
              <w:jc w:val="right"/>
              <w:rPr/>
            </w:pPr>
            <w:r>
              <w:rPr/>
              <w:t>% of Sales</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10.7</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11.0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13.4</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10.8</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12.3</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283"/>
              <w:jc w:val="left"/>
              <w:rPr/>
            </w:pPr>
            <w:r>
              <w:rPr/>
              <w:t>Engineered Solutions Segment</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530" w:type="dxa"/>
            <w:tcBorders>
              <w:bottom w:val="single" w:sz="6" w:space="0" w:color="000000"/>
            </w:tcBorders>
            <w:shd w:fill="CCEEFF" w:val="clear"/>
            <w:tcMar>
              <w:bottom w:w="28" w:type="dxa"/>
            </w:tcMar>
            <w:vAlign w:val="center"/>
          </w:tcPr>
          <w:p>
            <w:pPr>
              <w:pStyle w:val="TableContents"/>
              <w:bidi w:val="0"/>
              <w:spacing w:before="0" w:after="283"/>
              <w:jc w:val="right"/>
              <w:rPr/>
            </w:pPr>
            <w:r>
              <w:rPr/>
              <w:t>48.8</w:t>
            </w:r>
          </w:p>
        </w:tc>
        <w:tc>
          <w:tcPr>
            <w:tcW w:w="24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530" w:type="dxa"/>
            <w:tcBorders>
              <w:bottom w:val="single" w:sz="6" w:space="0" w:color="000000"/>
            </w:tcBorders>
            <w:shd w:fill="CCEEFF" w:val="clear"/>
            <w:tcMar>
              <w:bottom w:w="28" w:type="dxa"/>
            </w:tcMar>
            <w:vAlign w:val="center"/>
          </w:tcPr>
          <w:p>
            <w:pPr>
              <w:pStyle w:val="TableContents"/>
              <w:bidi w:val="0"/>
              <w:spacing w:before="0" w:after="283"/>
              <w:jc w:val="right"/>
              <w:rPr/>
            </w:pPr>
            <w:r>
              <w:rPr/>
              <w:t>39.3</w:t>
            </w:r>
          </w:p>
        </w:tc>
        <w:tc>
          <w:tcPr>
            <w:tcW w:w="24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530" w:type="dxa"/>
            <w:tcBorders>
              <w:bottom w:val="single" w:sz="6" w:space="0" w:color="000000"/>
            </w:tcBorders>
            <w:shd w:fill="CCEEFF" w:val="clear"/>
            <w:tcMar>
              <w:bottom w:w="28" w:type="dxa"/>
            </w:tcMar>
            <w:vAlign w:val="center"/>
          </w:tcPr>
          <w:p>
            <w:pPr>
              <w:pStyle w:val="TableContents"/>
              <w:bidi w:val="0"/>
              <w:spacing w:before="0" w:after="283"/>
              <w:jc w:val="right"/>
              <w:rPr/>
            </w:pPr>
            <w:r>
              <w:rPr/>
              <w:t>43.7</w:t>
            </w:r>
          </w:p>
        </w:tc>
        <w:tc>
          <w:tcPr>
            <w:tcW w:w="24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shd w:fill="CCEEFF" w:val="clear"/>
            <w:tcMar>
              <w:bottom w:w="28" w:type="dxa"/>
            </w:tcMar>
            <w:vAlign w:val="center"/>
          </w:tcPr>
          <w:p>
            <w:pPr>
              <w:pStyle w:val="TableContents"/>
              <w:bidi w:val="0"/>
              <w:spacing w:before="0" w:after="283"/>
              <w:jc w:val="right"/>
              <w:rPr/>
            </w:pPr>
            <w:r>
              <w:rPr/>
              <w:t>24</w:t>
            </w:r>
          </w:p>
        </w:tc>
        <w:tc>
          <w:tcPr>
            <w:tcW w:w="245"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shd w:fill="CCEEFF" w:val="clear"/>
            <w:tcMar>
              <w:bottom w:w="28" w:type="dxa"/>
            </w:tcMar>
            <w:vAlign w:val="center"/>
          </w:tcPr>
          <w:p>
            <w:pPr>
              <w:pStyle w:val="TableContents"/>
              <w:bidi w:val="0"/>
              <w:spacing w:before="0" w:after="283"/>
              <w:jc w:val="right"/>
              <w:rPr/>
            </w:pPr>
            <w:r>
              <w:rPr/>
              <w:t>12</w:t>
            </w:r>
          </w:p>
        </w:tc>
        <w:tc>
          <w:tcPr>
            <w:tcW w:w="245"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590" w:type="dxa"/>
            <w:tcBorders>
              <w:bottom w:val="single" w:sz="6" w:space="0" w:color="000000"/>
            </w:tcBorders>
            <w:shd w:fill="CCEEFF" w:val="clear"/>
            <w:tcMar>
              <w:bottom w:w="28" w:type="dxa"/>
            </w:tcMar>
            <w:vAlign w:val="center"/>
          </w:tcPr>
          <w:p>
            <w:pPr>
              <w:pStyle w:val="TableContents"/>
              <w:bidi w:val="0"/>
              <w:spacing w:before="0" w:after="283"/>
              <w:jc w:val="right"/>
              <w:rPr/>
            </w:pPr>
            <w:r>
              <w:rPr/>
              <w:t>88.1</w:t>
            </w:r>
          </w:p>
        </w:tc>
        <w:tc>
          <w:tcPr>
            <w:tcW w:w="24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590" w:type="dxa"/>
            <w:tcBorders>
              <w:bottom w:val="single" w:sz="6" w:space="0" w:color="000000"/>
            </w:tcBorders>
            <w:shd w:fill="CCEEFF" w:val="clear"/>
            <w:tcMar>
              <w:bottom w:w="28" w:type="dxa"/>
            </w:tcMar>
            <w:vAlign w:val="center"/>
          </w:tcPr>
          <w:p>
            <w:pPr>
              <w:pStyle w:val="TableContents"/>
              <w:bidi w:val="0"/>
              <w:spacing w:before="0" w:after="283"/>
              <w:jc w:val="right"/>
              <w:rPr/>
            </w:pPr>
            <w:r>
              <w:rPr/>
              <w:t>78.1</w:t>
            </w:r>
          </w:p>
        </w:tc>
        <w:tc>
          <w:tcPr>
            <w:tcW w:w="24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6" w:space="0" w:color="000000"/>
            </w:tcBorders>
            <w:shd w:fill="CCEEFF" w:val="clear"/>
            <w:tcMar>
              <w:bottom w:w="28" w:type="dxa"/>
            </w:tcMar>
            <w:vAlign w:val="center"/>
          </w:tcPr>
          <w:p>
            <w:pPr>
              <w:pStyle w:val="TableContents"/>
              <w:bidi w:val="0"/>
              <w:spacing w:before="0" w:after="283"/>
              <w:jc w:val="right"/>
              <w:rPr/>
            </w:pPr>
            <w:r>
              <w:rPr/>
              <w:t>13</w:t>
            </w:r>
          </w:p>
        </w:tc>
        <w:tc>
          <w:tcPr>
            <w:tcW w:w="29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r>
      <w:tr>
        <w:trPr/>
        <w:tc>
          <w:tcPr>
            <w:tcW w:w="1565" w:type="dxa"/>
            <w:tcBorders/>
            <w:vAlign w:val="center"/>
          </w:tcPr>
          <w:p>
            <w:pPr>
              <w:pStyle w:val="TableContents"/>
              <w:bidi w:val="0"/>
              <w:spacing w:before="0" w:after="283"/>
              <w:jc w:val="right"/>
              <w:rPr/>
            </w:pPr>
            <w:r>
              <w:rPr/>
              <w:t>% of Sales</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17.8</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15.7</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17.4</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16.8</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16.5</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283"/>
              <w:jc w:val="left"/>
              <w:rPr/>
            </w:pPr>
            <w:r>
              <w:rPr/>
              <w:t>Unallocated and Other Corporate Expenses</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530" w:type="dxa"/>
            <w:tcBorders>
              <w:bottom w:val="single" w:sz="6" w:space="0" w:color="000000"/>
            </w:tcBorders>
            <w:shd w:fill="CCEEFF" w:val="clear"/>
            <w:tcMar>
              <w:bottom w:w="28" w:type="dxa"/>
            </w:tcMar>
            <w:vAlign w:val="center"/>
          </w:tcPr>
          <w:p>
            <w:pPr>
              <w:pStyle w:val="TableContents"/>
              <w:bidi w:val="0"/>
              <w:spacing w:before="0" w:after="283"/>
              <w:jc w:val="right"/>
              <w:rPr/>
            </w:pPr>
            <w:r>
              <w:rPr/>
              <w:t>(3.5</w:t>
            </w:r>
          </w:p>
        </w:tc>
        <w:tc>
          <w:tcPr>
            <w:tcW w:w="24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530" w:type="dxa"/>
            <w:tcBorders>
              <w:bottom w:val="single" w:sz="6" w:space="0" w:color="000000"/>
            </w:tcBorders>
            <w:shd w:fill="CCEEFF" w:val="clear"/>
            <w:tcMar>
              <w:bottom w:w="28" w:type="dxa"/>
            </w:tcMar>
            <w:vAlign w:val="center"/>
          </w:tcPr>
          <w:p>
            <w:pPr>
              <w:pStyle w:val="TableContents"/>
              <w:bidi w:val="0"/>
              <w:spacing w:before="0" w:after="283"/>
              <w:jc w:val="right"/>
              <w:rPr/>
            </w:pPr>
            <w:r>
              <w:rPr/>
              <w:t>(4.3</w:t>
            </w:r>
          </w:p>
        </w:tc>
        <w:tc>
          <w:tcPr>
            <w:tcW w:w="24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530" w:type="dxa"/>
            <w:tcBorders>
              <w:bottom w:val="single" w:sz="6" w:space="0" w:color="000000"/>
            </w:tcBorders>
            <w:shd w:fill="CCEEFF" w:val="clear"/>
            <w:tcMar>
              <w:bottom w:w="28" w:type="dxa"/>
            </w:tcMar>
            <w:vAlign w:val="center"/>
          </w:tcPr>
          <w:p>
            <w:pPr>
              <w:pStyle w:val="TableContents"/>
              <w:bidi w:val="0"/>
              <w:spacing w:before="0" w:after="283"/>
              <w:jc w:val="right"/>
              <w:rPr/>
            </w:pPr>
            <w:r>
              <w:rPr/>
              <w:t>(2.0</w:t>
            </w:r>
          </w:p>
        </w:tc>
        <w:tc>
          <w:tcPr>
            <w:tcW w:w="24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shd w:fill="CCEEFF" w:val="clear"/>
            <w:tcMar>
              <w:bottom w:w="28" w:type="dxa"/>
            </w:tcMar>
            <w:vAlign w:val="center"/>
          </w:tcPr>
          <w:p>
            <w:pPr>
              <w:pStyle w:val="TableContents"/>
              <w:bidi w:val="0"/>
              <w:spacing w:before="0" w:after="283"/>
              <w:jc w:val="right"/>
              <w:rPr/>
            </w:pPr>
            <w:r>
              <w:rPr/>
              <w:t>(19</w:t>
            </w:r>
          </w:p>
        </w:tc>
        <w:tc>
          <w:tcPr>
            <w:tcW w:w="245"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shd w:fill="CCEEFF" w:val="clear"/>
            <w:tcMar>
              <w:bottom w:w="28" w:type="dxa"/>
            </w:tcMar>
            <w:vAlign w:val="center"/>
          </w:tcPr>
          <w:p>
            <w:pPr>
              <w:pStyle w:val="TableContents"/>
              <w:bidi w:val="0"/>
              <w:spacing w:before="0" w:after="283"/>
              <w:jc w:val="right"/>
              <w:rPr/>
            </w:pPr>
            <w:r>
              <w:rPr/>
              <w:t>75</w:t>
            </w:r>
          </w:p>
        </w:tc>
        <w:tc>
          <w:tcPr>
            <w:tcW w:w="245"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590" w:type="dxa"/>
            <w:tcBorders>
              <w:bottom w:val="single" w:sz="6" w:space="0" w:color="000000"/>
            </w:tcBorders>
            <w:shd w:fill="CCEEFF" w:val="clear"/>
            <w:tcMar>
              <w:bottom w:w="28" w:type="dxa"/>
            </w:tcMar>
            <w:vAlign w:val="center"/>
          </w:tcPr>
          <w:p>
            <w:pPr>
              <w:pStyle w:val="TableContents"/>
              <w:bidi w:val="0"/>
              <w:spacing w:before="0" w:after="283"/>
              <w:jc w:val="right"/>
              <w:rPr/>
            </w:pPr>
            <w:r>
              <w:rPr/>
              <w:t>(7.8</w:t>
            </w:r>
          </w:p>
        </w:tc>
        <w:tc>
          <w:tcPr>
            <w:tcW w:w="24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590" w:type="dxa"/>
            <w:tcBorders>
              <w:bottom w:val="single" w:sz="6" w:space="0" w:color="000000"/>
            </w:tcBorders>
            <w:shd w:fill="CCEEFF" w:val="clear"/>
            <w:tcMar>
              <w:bottom w:w="28" w:type="dxa"/>
            </w:tcMar>
            <w:vAlign w:val="center"/>
          </w:tcPr>
          <w:p>
            <w:pPr>
              <w:pStyle w:val="TableContents"/>
              <w:bidi w:val="0"/>
              <w:spacing w:before="0" w:after="283"/>
              <w:jc w:val="right"/>
              <w:rPr/>
            </w:pPr>
            <w:r>
              <w:rPr/>
              <w:t>(3.2</w:t>
            </w:r>
          </w:p>
        </w:tc>
        <w:tc>
          <w:tcPr>
            <w:tcW w:w="24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6" w:space="0" w:color="000000"/>
            </w:tcBorders>
            <w:shd w:fill="CCEEFF" w:val="clear"/>
            <w:tcMar>
              <w:bottom w:w="28" w:type="dxa"/>
            </w:tcMar>
            <w:vAlign w:val="center"/>
          </w:tcPr>
          <w:p>
            <w:pPr>
              <w:pStyle w:val="TableContents"/>
              <w:bidi w:val="0"/>
              <w:spacing w:before="0" w:after="283"/>
              <w:jc w:val="right"/>
              <w:rPr/>
            </w:pPr>
            <w:r>
              <w:rPr/>
              <w:t>144</w:t>
            </w:r>
          </w:p>
        </w:tc>
        <w:tc>
          <w:tcPr>
            <w:tcW w:w="29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r>
      <w:tr>
        <w:trPr/>
        <w:tc>
          <w:tcPr>
            <w:tcW w:w="156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283"/>
              <w:jc w:val="left"/>
              <w:rPr/>
            </w:pPr>
            <w:r>
              <w:rPr/>
              <w:t>MTI Consolidated</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530" w:type="dxa"/>
            <w:tcBorders>
              <w:bottom w:val="single" w:sz="6" w:space="0" w:color="000000"/>
            </w:tcBorders>
            <w:shd w:fill="CCEEFF" w:val="clear"/>
            <w:tcMar>
              <w:bottom w:w="28" w:type="dxa"/>
            </w:tcMar>
            <w:vAlign w:val="center"/>
          </w:tcPr>
          <w:p>
            <w:pPr>
              <w:pStyle w:val="TableContents"/>
              <w:bidi w:val="0"/>
              <w:spacing w:before="0" w:after="283"/>
              <w:jc w:val="right"/>
              <w:rPr/>
            </w:pPr>
            <w:r>
              <w:rPr/>
              <w:t>74.6</w:t>
            </w:r>
          </w:p>
        </w:tc>
        <w:tc>
          <w:tcPr>
            <w:tcW w:w="24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530" w:type="dxa"/>
            <w:tcBorders>
              <w:bottom w:val="single" w:sz="6" w:space="0" w:color="000000"/>
            </w:tcBorders>
            <w:shd w:fill="CCEEFF" w:val="clear"/>
            <w:tcMar>
              <w:bottom w:w="28" w:type="dxa"/>
            </w:tcMar>
            <w:vAlign w:val="center"/>
          </w:tcPr>
          <w:p>
            <w:pPr>
              <w:pStyle w:val="TableContents"/>
              <w:bidi w:val="0"/>
              <w:spacing w:before="0" w:after="283"/>
              <w:jc w:val="right"/>
              <w:rPr/>
            </w:pPr>
            <w:r>
              <w:rPr/>
              <w:t>67.5</w:t>
            </w:r>
          </w:p>
        </w:tc>
        <w:tc>
          <w:tcPr>
            <w:tcW w:w="24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530" w:type="dxa"/>
            <w:tcBorders>
              <w:bottom w:val="single" w:sz="6" w:space="0" w:color="000000"/>
            </w:tcBorders>
            <w:shd w:fill="CCEEFF" w:val="clear"/>
            <w:tcMar>
              <w:bottom w:w="28" w:type="dxa"/>
            </w:tcMar>
            <w:vAlign w:val="center"/>
          </w:tcPr>
          <w:p>
            <w:pPr>
              <w:pStyle w:val="TableContents"/>
              <w:bidi w:val="0"/>
              <w:spacing w:before="0" w:after="283"/>
              <w:jc w:val="right"/>
              <w:rPr/>
            </w:pPr>
            <w:r>
              <w:rPr/>
              <w:t>79.0</w:t>
            </w:r>
          </w:p>
        </w:tc>
        <w:tc>
          <w:tcPr>
            <w:tcW w:w="24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shd w:fill="CCEEFF" w:val="clear"/>
            <w:tcMar>
              <w:bottom w:w="28" w:type="dxa"/>
            </w:tcMar>
            <w:vAlign w:val="center"/>
          </w:tcPr>
          <w:p>
            <w:pPr>
              <w:pStyle w:val="TableContents"/>
              <w:bidi w:val="0"/>
              <w:spacing w:before="0" w:after="283"/>
              <w:jc w:val="right"/>
              <w:rPr/>
            </w:pPr>
            <w:r>
              <w:rPr/>
              <w:t>11</w:t>
            </w:r>
          </w:p>
        </w:tc>
        <w:tc>
          <w:tcPr>
            <w:tcW w:w="245"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shd w:fill="CCEEFF" w:val="clear"/>
            <w:tcMar>
              <w:bottom w:w="28" w:type="dxa"/>
            </w:tcMar>
            <w:vAlign w:val="center"/>
          </w:tcPr>
          <w:p>
            <w:pPr>
              <w:pStyle w:val="TableContents"/>
              <w:bidi w:val="0"/>
              <w:spacing w:before="0" w:after="283"/>
              <w:jc w:val="right"/>
              <w:rPr/>
            </w:pPr>
            <w:r>
              <w:rPr/>
              <w:t>(6</w:t>
            </w:r>
          </w:p>
        </w:tc>
        <w:tc>
          <w:tcPr>
            <w:tcW w:w="245"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590" w:type="dxa"/>
            <w:tcBorders>
              <w:bottom w:val="single" w:sz="6" w:space="0" w:color="000000"/>
            </w:tcBorders>
            <w:shd w:fill="CCEEFF" w:val="clear"/>
            <w:tcMar>
              <w:bottom w:w="28" w:type="dxa"/>
            </w:tcMar>
            <w:vAlign w:val="center"/>
          </w:tcPr>
          <w:p>
            <w:pPr>
              <w:pStyle w:val="TableContents"/>
              <w:bidi w:val="0"/>
              <w:spacing w:before="0" w:after="283"/>
              <w:jc w:val="right"/>
              <w:rPr/>
            </w:pPr>
            <w:r>
              <w:rPr/>
              <w:t>142.1</w:t>
            </w:r>
          </w:p>
        </w:tc>
        <w:tc>
          <w:tcPr>
            <w:tcW w:w="24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590" w:type="dxa"/>
            <w:tcBorders>
              <w:bottom w:val="single" w:sz="6" w:space="0" w:color="000000"/>
            </w:tcBorders>
            <w:shd w:fill="CCEEFF" w:val="clear"/>
            <w:tcMar>
              <w:bottom w:w="28" w:type="dxa"/>
            </w:tcMar>
            <w:vAlign w:val="center"/>
          </w:tcPr>
          <w:p>
            <w:pPr>
              <w:pStyle w:val="TableContents"/>
              <w:bidi w:val="0"/>
              <w:spacing w:before="0" w:after="283"/>
              <w:jc w:val="right"/>
              <w:rPr/>
            </w:pPr>
            <w:r>
              <w:rPr/>
              <w:t>142.2</w:t>
            </w:r>
          </w:p>
        </w:tc>
        <w:tc>
          <w:tcPr>
            <w:tcW w:w="24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6" w:space="0" w:color="000000"/>
            </w:tcBorders>
            <w:shd w:fill="CCEEFF" w:val="clear"/>
            <w:tcMar>
              <w:bottom w:w="28" w:type="dxa"/>
            </w:tcMar>
            <w:vAlign w:val="center"/>
          </w:tcPr>
          <w:p>
            <w:pPr>
              <w:pStyle w:val="TableContents"/>
              <w:bidi w:val="0"/>
              <w:spacing w:before="0" w:after="283"/>
              <w:jc w:val="right"/>
              <w:rPr/>
            </w:pPr>
            <w:r>
              <w:rPr/>
              <w:t>0</w:t>
            </w:r>
          </w:p>
        </w:tc>
        <w:tc>
          <w:tcPr>
            <w:tcW w:w="29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r>
      <w:tr>
        <w:trPr/>
        <w:tc>
          <w:tcPr>
            <w:tcW w:w="1565" w:type="dxa"/>
            <w:tcBorders/>
            <w:vAlign w:val="center"/>
          </w:tcPr>
          <w:p>
            <w:pPr>
              <w:pStyle w:val="TableContents"/>
              <w:bidi w:val="0"/>
              <w:spacing w:before="0" w:after="283"/>
              <w:jc w:val="right"/>
              <w:rPr/>
            </w:pPr>
            <w:r>
              <w:rPr/>
              <w:t>% of Sales</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13.6</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12.3</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14.9</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13.0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13.9</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 Percentage not meaningful</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5</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pPr>
      <w:r>
        <w:rPr/>
        <w:t> </w:t>
      </w:r>
    </w:p>
    <w:p>
      <w:pPr>
        <w:pStyle w:val="TextBody"/>
        <w:bidi w:val="0"/>
        <w:spacing w:before="0" w:after="0"/>
        <w:jc w:val="center"/>
        <w:rPr/>
      </w:pPr>
      <w:r>
        <w:rPr/>
        <w:t> </w:t>
      </w:r>
      <w:r>
        <w:rPr>
          <w:b/>
          <w:spacing w:val="0"/>
        </w:rPr>
        <w:t>MINERALS TECHNOLOGIES INC. AND SUBSIDIARY COMPANIES</w:t>
      </w:r>
    </w:p>
    <w:p>
      <w:pPr>
        <w:pStyle w:val="TextBody"/>
        <w:bidi w:val="0"/>
        <w:spacing w:before="0" w:after="0"/>
        <w:jc w:val="center"/>
        <w:rPr/>
      </w:pPr>
      <w:r>
        <w:rPr/>
        <w:t> </w:t>
      </w:r>
      <w:r>
        <w:rPr>
          <w:b/>
          <w:spacing w:val="0"/>
        </w:rPr>
        <w:t>CONDENSED CONSOLIDATED BALANCE SHEETS</w:t>
      </w:r>
    </w:p>
    <w:p>
      <w:pPr>
        <w:pStyle w:val="TextBody"/>
        <w:bidi w:val="0"/>
        <w:spacing w:before="0" w:after="0"/>
        <w:jc w:val="center"/>
        <w:rPr>
          <w:b/>
          <w:spacing w:val="0"/>
          <w:sz w:val="20"/>
        </w:rPr>
      </w:pPr>
      <w:r>
        <w:rPr>
          <w:b/>
          <w:spacing w:val="0"/>
          <w:sz w:val="20"/>
        </w:rPr>
        <w:t>(in millions of dollars)</w:t>
      </w:r>
    </w:p>
    <w:p>
      <w:pPr>
        <w:pStyle w:val="TextBody"/>
        <w:bidi w:val="0"/>
        <w:spacing w:before="0" w:after="0"/>
        <w:jc w:val="left"/>
        <w:rPr/>
      </w:pPr>
      <w:r>
        <w:rPr/>
        <w:t> </w:t>
      </w:r>
    </w:p>
    <w:tbl>
      <w:tblPr>
        <w:tblW w:w="7675" w:type="dxa"/>
        <w:jc w:val="left"/>
        <w:tblInd w:w="0" w:type="dxa"/>
        <w:tblLayout w:type="fixed"/>
        <w:tblCellMar>
          <w:top w:w="0" w:type="dxa"/>
          <w:left w:w="0" w:type="dxa"/>
          <w:bottom w:w="0" w:type="dxa"/>
          <w:right w:w="0" w:type="dxa"/>
        </w:tblCellMar>
      </w:tblPr>
      <w:tblGrid>
        <w:gridCol w:w="4715"/>
        <w:gridCol w:w="90"/>
        <w:gridCol w:w="170"/>
        <w:gridCol w:w="770"/>
        <w:gridCol w:w="90"/>
        <w:gridCol w:w="90"/>
        <w:gridCol w:w="170"/>
        <w:gridCol w:w="1445"/>
        <w:gridCol w:w="135"/>
      </w:tblGrid>
      <w:tr>
        <w:trPr/>
        <w:tc>
          <w:tcPr>
            <w:tcW w:w="471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7675" w:type="dxa"/>
            <w:gridSpan w:val="9"/>
            <w:tcBorders/>
            <w:vAlign w:val="center"/>
          </w:tcPr>
          <w:p>
            <w:pPr>
              <w:pStyle w:val="TableContents"/>
              <w:bidi w:val="0"/>
              <w:spacing w:before="0" w:after="283"/>
              <w:jc w:val="center"/>
              <w:rPr>
                <w:b/>
              </w:rPr>
            </w:pPr>
            <w:r>
              <w:rPr>
                <w:b/>
              </w:rPr>
              <w:t>ASSETS</w:t>
            </w:r>
          </w:p>
        </w:tc>
      </w:tr>
      <w:tr>
        <w:trPr/>
        <w:tc>
          <w:tcPr>
            <w:tcW w:w="47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b/>
              </w:rPr>
            </w:pPr>
            <w:r>
              <w:rPr>
                <w:b/>
              </w:rPr>
              <w:t>July 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770"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5"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13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Cash &amp; cash equivalents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jc w:val="right"/>
              <w:rPr/>
            </w:pPr>
            <w:r>
              <w:rPr/>
              <w:t>342.2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45" w:type="dxa"/>
            <w:tcBorders/>
            <w:shd w:fill="CCEEFF" w:val="clear"/>
            <w:vAlign w:val="center"/>
          </w:tcPr>
          <w:p>
            <w:pPr>
              <w:pStyle w:val="TableContents"/>
              <w:bidi w:val="0"/>
              <w:spacing w:before="0" w:after="283"/>
              <w:jc w:val="right"/>
              <w:rPr/>
            </w:pPr>
            <w:r>
              <w:rPr/>
              <w:t>329.0</w:t>
            </w:r>
          </w:p>
        </w:tc>
        <w:tc>
          <w:tcPr>
            <w:tcW w:w="135" w:type="dxa"/>
            <w:tcBorders/>
            <w:shd w:fill="CCEEFF" w:val="clear"/>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Short-term investments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4.0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3.6</w:t>
            </w:r>
          </w:p>
        </w:tc>
        <w:tc>
          <w:tcPr>
            <w:tcW w:w="135"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Accounts receivable,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412.6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pPr>
            <w:r>
              <w:rPr/>
              <w:t>400.1</w:t>
            </w:r>
          </w:p>
        </w:tc>
        <w:tc>
          <w:tcPr>
            <w:tcW w:w="135" w:type="dxa"/>
            <w:tcBorders/>
            <w:shd w:fill="CCEEFF" w:val="clear"/>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Inventories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355.6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350.2</w:t>
            </w:r>
          </w:p>
        </w:tc>
        <w:tc>
          <w:tcPr>
            <w:tcW w:w="135"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Prepaid expenses and other 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2" w:space="0" w:color="000000"/>
            </w:tcBorders>
            <w:shd w:fill="CCEEFF" w:val="clear"/>
            <w:tcMar>
              <w:bottom w:w="28" w:type="dxa"/>
            </w:tcMar>
            <w:vAlign w:val="center"/>
          </w:tcPr>
          <w:p>
            <w:pPr>
              <w:pStyle w:val="TableContents"/>
              <w:bidi w:val="0"/>
              <w:spacing w:before="0" w:after="283"/>
              <w:jc w:val="right"/>
              <w:rPr/>
            </w:pPr>
            <w:r>
              <w:rPr/>
              <w:t>69.3</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shd w:fill="CCEEFF" w:val="clear"/>
            <w:tcMar>
              <w:bottom w:w="28" w:type="dxa"/>
            </w:tcMar>
            <w:vAlign w:val="center"/>
          </w:tcPr>
          <w:p>
            <w:pPr>
              <w:pStyle w:val="TableContents"/>
              <w:bidi w:val="0"/>
              <w:spacing w:before="0" w:after="283"/>
              <w:jc w:val="right"/>
              <w:rPr/>
            </w:pPr>
            <w:r>
              <w:rPr/>
              <w:t>72.7</w:t>
            </w:r>
          </w:p>
        </w:tc>
        <w:tc>
          <w:tcPr>
            <w:tcW w:w="13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Total current assets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70" w:type="dxa"/>
            <w:tcBorders>
              <w:bottom w:val="single" w:sz="2" w:space="0" w:color="000000"/>
            </w:tcBorders>
            <w:tcMar>
              <w:bottom w:w="28" w:type="dxa"/>
            </w:tcMar>
            <w:vAlign w:val="center"/>
          </w:tcPr>
          <w:p>
            <w:pPr>
              <w:pStyle w:val="TableContents"/>
              <w:bidi w:val="0"/>
              <w:spacing w:before="0" w:after="283"/>
              <w:jc w:val="right"/>
              <w:rPr/>
            </w:pPr>
            <w:r>
              <w:rPr/>
              <w:t>1,183.7</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right"/>
              <w:rPr/>
            </w:pPr>
            <w:r>
              <w:rPr/>
              <w:t>1,155.6</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Property, plant, and equipment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2,329.9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2,308.9</w:t>
            </w:r>
          </w:p>
        </w:tc>
        <w:tc>
          <w:tcPr>
            <w:tcW w:w="135"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Less accumulated depreciation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2" w:space="0" w:color="000000"/>
            </w:tcBorders>
            <w:shd w:fill="CCEEFF" w:val="clear"/>
            <w:tcMar>
              <w:bottom w:w="28" w:type="dxa"/>
            </w:tcMar>
            <w:vAlign w:val="center"/>
          </w:tcPr>
          <w:p>
            <w:pPr>
              <w:pStyle w:val="TableContents"/>
              <w:bidi w:val="0"/>
              <w:spacing w:before="0" w:after="283"/>
              <w:jc w:val="right"/>
              <w:rPr/>
            </w:pPr>
            <w:r>
              <w:rPr/>
              <w:t>1,297.0</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shd w:fill="CCEEFF" w:val="clear"/>
            <w:tcMar>
              <w:bottom w:w="28" w:type="dxa"/>
            </w:tcMar>
            <w:vAlign w:val="center"/>
          </w:tcPr>
          <w:p>
            <w:pPr>
              <w:pStyle w:val="TableContents"/>
              <w:bidi w:val="0"/>
              <w:spacing w:before="0" w:after="283"/>
              <w:jc w:val="right"/>
              <w:rPr/>
            </w:pPr>
            <w:r>
              <w:rPr/>
              <w:t>1,283.9</w:t>
            </w:r>
          </w:p>
        </w:tc>
        <w:tc>
          <w:tcPr>
            <w:tcW w:w="13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Net property, plant, and equipment</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70" w:type="dxa"/>
            <w:tcBorders>
              <w:bottom w:val="single" w:sz="2" w:space="0" w:color="000000"/>
            </w:tcBorders>
            <w:tcMar>
              <w:bottom w:w="28" w:type="dxa"/>
            </w:tcMar>
            <w:vAlign w:val="center"/>
          </w:tcPr>
          <w:p>
            <w:pPr>
              <w:pStyle w:val="TableContents"/>
              <w:bidi w:val="0"/>
              <w:spacing w:before="0" w:after="283"/>
              <w:jc w:val="right"/>
              <w:rPr/>
            </w:pPr>
            <w:r>
              <w:rPr/>
              <w:t>1,032.9</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right"/>
              <w:rPr/>
            </w:pPr>
            <w:r>
              <w:rPr/>
              <w:t>1,025.0</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Goodwill</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915.9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915.9</w:t>
            </w:r>
          </w:p>
        </w:tc>
        <w:tc>
          <w:tcPr>
            <w:tcW w:w="135"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Intangible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pPr>
            <w:r>
              <w:rPr/>
              <w:t>208.7</w:t>
            </w:r>
          </w:p>
        </w:tc>
        <w:tc>
          <w:tcPr>
            <w:tcW w:w="135" w:type="dxa"/>
            <w:tcBorders/>
            <w:shd w:fill="CCEEFF" w:val="clear"/>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Other assets and deferred charges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70" w:type="dxa"/>
            <w:tcBorders>
              <w:bottom w:val="single" w:sz="2" w:space="0" w:color="000000"/>
            </w:tcBorders>
            <w:tcMar>
              <w:bottom w:w="28" w:type="dxa"/>
            </w:tcMar>
            <w:vAlign w:val="center"/>
          </w:tcPr>
          <w:p>
            <w:pPr>
              <w:pStyle w:val="TableContents"/>
              <w:bidi w:val="0"/>
              <w:spacing w:before="0" w:after="283"/>
              <w:jc w:val="right"/>
              <w:rPr/>
            </w:pPr>
            <w:r>
              <w:rPr/>
              <w:t>160.3</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right"/>
              <w:rPr/>
            </w:pPr>
            <w:r>
              <w:rPr/>
              <w:t>163.8</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Total assets</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70" w:type="dxa"/>
            <w:tcBorders>
              <w:bottom w:val="double" w:sz="6" w:space="0" w:color="000000"/>
            </w:tcBorders>
            <w:tcMar>
              <w:bottom w:w="28" w:type="dxa"/>
            </w:tcMar>
            <w:vAlign w:val="center"/>
          </w:tcPr>
          <w:p>
            <w:pPr>
              <w:pStyle w:val="TableContents"/>
              <w:bidi w:val="0"/>
              <w:spacing w:before="0" w:after="283"/>
              <w:jc w:val="right"/>
              <w:rPr/>
            </w:pPr>
            <w:r>
              <w:rPr/>
              <w:t>3,495.2</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445" w:type="dxa"/>
            <w:tcBorders>
              <w:bottom w:val="double" w:sz="6" w:space="0" w:color="000000"/>
            </w:tcBorders>
            <w:tcMar>
              <w:bottom w:w="28" w:type="dxa"/>
            </w:tcMar>
            <w:vAlign w:val="center"/>
          </w:tcPr>
          <w:p>
            <w:pPr>
              <w:pStyle w:val="TableContents"/>
              <w:bidi w:val="0"/>
              <w:spacing w:before="0" w:after="283"/>
              <w:jc w:val="right"/>
              <w:rPr/>
            </w:pPr>
            <w:r>
              <w:rPr/>
              <w:t>3,469.0</w:t>
            </w:r>
          </w:p>
        </w:tc>
        <w:tc>
          <w:tcPr>
            <w:tcW w:w="135"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7675" w:type="dxa"/>
            <w:gridSpan w:val="9"/>
            <w:tcBorders/>
            <w:shd w:fill="CCEEFF" w:val="clear"/>
            <w:vAlign w:val="center"/>
          </w:tcPr>
          <w:p>
            <w:pPr>
              <w:pStyle w:val="TableContents"/>
              <w:bidi w:val="0"/>
              <w:spacing w:before="0" w:after="283"/>
              <w:jc w:val="center"/>
              <w:rPr>
                <w:b/>
              </w:rPr>
            </w:pPr>
            <w:r>
              <w:rPr>
                <w:b/>
              </w:rPr>
              <w:t>LIABILITIES AND SHAREHOLDERS' EQUITY</w:t>
            </w:r>
          </w:p>
        </w:tc>
      </w:tr>
      <w:tr>
        <w:trPr/>
        <w:tc>
          <w:tcPr>
            <w:tcW w:w="47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Short-term debt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right"/>
              <w:rPr/>
            </w:pPr>
            <w:r>
              <w:rPr/>
              <w:t>6.0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445" w:type="dxa"/>
            <w:tcBorders/>
            <w:vAlign w:val="center"/>
          </w:tcPr>
          <w:p>
            <w:pPr>
              <w:pStyle w:val="TableContents"/>
              <w:bidi w:val="0"/>
              <w:spacing w:before="0" w:after="283"/>
              <w:jc w:val="right"/>
              <w:rPr/>
            </w:pPr>
            <w:r>
              <w:rPr/>
              <w:t>0.4</w:t>
            </w:r>
          </w:p>
        </w:tc>
        <w:tc>
          <w:tcPr>
            <w:tcW w:w="135"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Current maturities of long-term debt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pPr>
            <w:r>
              <w:rPr/>
              <w:t>6.3</w:t>
            </w:r>
          </w:p>
        </w:tc>
        <w:tc>
          <w:tcPr>
            <w:tcW w:w="135" w:type="dxa"/>
            <w:tcBorders/>
            <w:shd w:fill="CCEEFF" w:val="clear"/>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Accounts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187.9</w:t>
            </w:r>
          </w:p>
        </w:tc>
        <w:tc>
          <w:tcPr>
            <w:tcW w:w="135"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Other 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2" w:space="0" w:color="000000"/>
            </w:tcBorders>
            <w:shd w:fill="CCEEFF" w:val="clear"/>
            <w:tcMar>
              <w:bottom w:w="28" w:type="dxa"/>
            </w:tcMar>
            <w:vAlign w:val="center"/>
          </w:tcPr>
          <w:p>
            <w:pPr>
              <w:pStyle w:val="TableContents"/>
              <w:bidi w:val="0"/>
              <w:spacing w:before="0" w:after="283"/>
              <w:jc w:val="right"/>
              <w:rPr/>
            </w:pPr>
            <w:r>
              <w:rPr/>
              <w:t>613.9</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shd w:fill="CCEEFF" w:val="clear"/>
            <w:tcMar>
              <w:bottom w:w="28" w:type="dxa"/>
            </w:tcMar>
            <w:vAlign w:val="center"/>
          </w:tcPr>
          <w:p>
            <w:pPr>
              <w:pStyle w:val="TableContents"/>
              <w:bidi w:val="0"/>
              <w:spacing w:before="0" w:after="283"/>
              <w:jc w:val="right"/>
              <w:rPr/>
            </w:pPr>
            <w:r>
              <w:rPr/>
              <w:t>360.8</w:t>
            </w:r>
          </w:p>
        </w:tc>
        <w:tc>
          <w:tcPr>
            <w:tcW w:w="13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Total current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828.5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555.4</w:t>
            </w:r>
          </w:p>
        </w:tc>
        <w:tc>
          <w:tcPr>
            <w:tcW w:w="135"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Long-term debt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952.9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955.0</w:t>
            </w:r>
          </w:p>
        </w:tc>
        <w:tc>
          <w:tcPr>
            <w:tcW w:w="135"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Deferred income taxes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29.7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pPr>
            <w:r>
              <w:rPr/>
              <w:t>90.7</w:t>
            </w:r>
          </w:p>
        </w:tc>
        <w:tc>
          <w:tcPr>
            <w:tcW w:w="135" w:type="dxa"/>
            <w:tcBorders/>
            <w:shd w:fill="CCEEFF" w:val="clear"/>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Other non-current liabilities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70" w:type="dxa"/>
            <w:tcBorders>
              <w:bottom w:val="single" w:sz="2" w:space="0" w:color="000000"/>
            </w:tcBorders>
            <w:tcMar>
              <w:bottom w:w="28" w:type="dxa"/>
            </w:tcMar>
            <w:vAlign w:val="center"/>
          </w:tcPr>
          <w:p>
            <w:pPr>
              <w:pStyle w:val="TableContents"/>
              <w:bidi w:val="0"/>
              <w:spacing w:before="0" w:after="283"/>
              <w:jc w:val="right"/>
              <w:rPr/>
            </w:pPr>
            <w:r>
              <w:rPr/>
              <w:t>107.3</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right"/>
              <w:rPr/>
            </w:pPr>
            <w:r>
              <w:rPr/>
              <w:t>118.2</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Total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2" w:space="0" w:color="000000"/>
            </w:tcBorders>
            <w:shd w:fill="CCEEFF" w:val="clear"/>
            <w:tcMar>
              <w:bottom w:w="28" w:type="dxa"/>
            </w:tcMar>
            <w:vAlign w:val="center"/>
          </w:tcPr>
          <w:p>
            <w:pPr>
              <w:pStyle w:val="TableContents"/>
              <w:bidi w:val="0"/>
              <w:spacing w:before="0" w:after="283"/>
              <w:jc w:val="right"/>
              <w:rPr/>
            </w:pPr>
            <w:r>
              <w:rPr/>
              <w:t>1,918.4</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shd w:fill="CCEEFF" w:val="clear"/>
            <w:tcMar>
              <w:bottom w:w="28" w:type="dxa"/>
            </w:tcMar>
            <w:vAlign w:val="center"/>
          </w:tcPr>
          <w:p>
            <w:pPr>
              <w:pStyle w:val="TableContents"/>
              <w:bidi w:val="0"/>
              <w:spacing w:before="0" w:after="283"/>
              <w:jc w:val="right"/>
              <w:rPr/>
            </w:pPr>
            <w:r>
              <w:rPr/>
              <w:t>1,719.3</w:t>
            </w:r>
          </w:p>
        </w:tc>
        <w:tc>
          <w:tcPr>
            <w:tcW w:w="13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Total MTI shareholders' equity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1,544.9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pPr>
            <w:r>
              <w:rPr/>
              <w:t>1,713.4</w:t>
            </w:r>
          </w:p>
        </w:tc>
        <w:tc>
          <w:tcPr>
            <w:tcW w:w="135" w:type="dxa"/>
            <w:tcBorders/>
            <w:shd w:fill="CCEEFF" w:val="clear"/>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Non-controlling interests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70" w:type="dxa"/>
            <w:tcBorders>
              <w:bottom w:val="single" w:sz="2" w:space="0" w:color="000000"/>
            </w:tcBorders>
            <w:tcMar>
              <w:bottom w:w="28" w:type="dxa"/>
            </w:tcMar>
            <w:vAlign w:val="center"/>
          </w:tcPr>
          <w:p>
            <w:pPr>
              <w:pStyle w:val="TableContents"/>
              <w:bidi w:val="0"/>
              <w:spacing w:before="0" w:after="283"/>
              <w:jc w:val="right"/>
              <w:rPr/>
            </w:pPr>
            <w:r>
              <w:rPr/>
              <w:t>31.9</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right"/>
              <w:rPr/>
            </w:pPr>
            <w:r>
              <w:rPr/>
              <w:t>36.3</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Total shareholders' equity</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2" w:space="0" w:color="000000"/>
            </w:tcBorders>
            <w:shd w:fill="CCEEFF" w:val="clear"/>
            <w:tcMar>
              <w:bottom w:w="28" w:type="dxa"/>
            </w:tcMar>
            <w:vAlign w:val="center"/>
          </w:tcPr>
          <w:p>
            <w:pPr>
              <w:pStyle w:val="TableContents"/>
              <w:bidi w:val="0"/>
              <w:spacing w:before="0" w:after="283"/>
              <w:jc w:val="right"/>
              <w:rPr/>
            </w:pPr>
            <w:r>
              <w:rPr/>
              <w:t>1,576.8</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shd w:fill="CCEEFF" w:val="clear"/>
            <w:tcMar>
              <w:bottom w:w="28" w:type="dxa"/>
            </w:tcMar>
            <w:vAlign w:val="center"/>
          </w:tcPr>
          <w:p>
            <w:pPr>
              <w:pStyle w:val="TableContents"/>
              <w:bidi w:val="0"/>
              <w:spacing w:before="0" w:after="283"/>
              <w:jc w:val="right"/>
              <w:rPr/>
            </w:pPr>
            <w:r>
              <w:rPr/>
              <w:t>1,749.7</w:t>
            </w:r>
          </w:p>
        </w:tc>
        <w:tc>
          <w:tcPr>
            <w:tcW w:w="13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Total liabilities and shareholders' equity</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0" w:type="dxa"/>
            <w:tcBorders>
              <w:bottom w:val="double" w:sz="6" w:space="0" w:color="000000"/>
            </w:tcBorders>
            <w:shd w:fill="CCEEFF" w:val="clear"/>
            <w:tcMar>
              <w:bottom w:w="28" w:type="dxa"/>
            </w:tcMar>
            <w:vAlign w:val="center"/>
          </w:tcPr>
          <w:p>
            <w:pPr>
              <w:pStyle w:val="TableContents"/>
              <w:bidi w:val="0"/>
              <w:spacing w:before="0" w:after="283"/>
              <w:jc w:val="right"/>
              <w:rPr/>
            </w:pPr>
            <w:r>
              <w:rPr/>
              <w:t>3,495.2</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45" w:type="dxa"/>
            <w:tcBorders>
              <w:bottom w:val="double" w:sz="6" w:space="0" w:color="000000"/>
            </w:tcBorders>
            <w:shd w:fill="CCEEFF" w:val="clear"/>
            <w:tcMar>
              <w:bottom w:w="28" w:type="dxa"/>
            </w:tcMar>
            <w:vAlign w:val="center"/>
          </w:tcPr>
          <w:p>
            <w:pPr>
              <w:pStyle w:val="TableContents"/>
              <w:bidi w:val="0"/>
              <w:spacing w:before="0" w:after="283"/>
              <w:jc w:val="right"/>
              <w:rPr/>
            </w:pPr>
            <w:r>
              <w:rPr/>
              <w:t>3,469.0</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 Unaudited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 xml:space="preserve">** Condensed from audited financial statements.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MS Mincho">
    <w:charset w:val="01"/>
    <w:family w:val="auto"/>
    <w:pitch w:val="default"/>
  </w:font>
  <w:font w:name="TimesNewRoman">
    <w:altName w:val="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4916</Words>
  <Characters>24432</Characters>
  <CharactersWithSpaces>32136</CharactersWithSpaces>
  <Paragraphs>5410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