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40" w:right="6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-228600</wp:posOffset>
            </wp:positionV>
            <wp:extent cx="120650" cy="1206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-570230</wp:posOffset>
            </wp:positionV>
            <wp:extent cx="120650" cy="1206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7"/>
        </w:trPr>
        <w:tc>
          <w:tcPr>
            <w:tcW w:w="6240" w:type="dxa"/>
            <w:vAlign w:val="bottom"/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5230495</wp:posOffset>
            </wp:positionH>
            <wp:positionV relativeFrom="paragraph">
              <wp:posOffset>-616585</wp:posOffset>
            </wp:positionV>
            <wp:extent cx="57785" cy="6299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3949065</wp:posOffset>
            </wp:positionH>
            <wp:positionV relativeFrom="paragraph">
              <wp:posOffset>-616585</wp:posOffset>
            </wp:positionV>
            <wp:extent cx="57785" cy="629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730250</wp:posOffset>
            </wp:positionV>
            <wp:extent cx="7047230" cy="45783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578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34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ROBINSON MARC E</w:t>
        </w:r>
      </w:hyperlink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622 THIRD AVE.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38TH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3840" w:type="dxa"/>
            <w:vAlign w:val="bottom"/>
            <w:gridSpan w:val="4"/>
          </w:tcPr>
          <w:p>
            <w:pPr>
              <w:ind w:left="80"/>
              <w:spacing w:after="0" w:line="215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MINERALS TECHNOLOGIES INC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MTX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31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06/18/2026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20" w:space="720"/>
            <w:col w:w="7240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NEW YORK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NY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10017-6707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40.992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06/18/2026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40.992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26,914.581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phantom stock unit is the economic equivalent of one share of Minerals Technologies Inc. Common Stock.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620"/>
        <w:spacing w:after="0" w:line="249" w:lineRule="auto"/>
        <w:tabs>
          <w:tab w:leader="none" w:pos="16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phantom stock units were accrued under the Minerals Technologies Inc. Non-Funded Deferred Compensation and Unit Award Plan for Non-Employee Directors and are to be settled in cash upon the reporting person's termination of service as a director.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18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TIMOTHY JORDAN FOR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06/22/2026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3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MARC ROBINSON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3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20"/>
        <w:spacing w:after="0" w:line="331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538886" TargetMode="External"/><Relationship Id="rId14" Type="http://schemas.openxmlformats.org/officeDocument/2006/relationships/hyperlink" Target="http://www.sec.gov/cgi-bin/browse-edgar?action=getcompany&amp;CIK=00008910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2026-06-22T14:13:43Z</dcterms:created>
  <dcterms:modified xsi:type="dcterms:W3CDTF">2026-06-22T14:13:43Z</dcterms:modified>
</cp:coreProperties>
</file>