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8"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5"/>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32" w:lineRule="exact"/>
        <w:rPr>
          <w:sz w:val="24"/>
          <w:szCs w:val="24"/>
          <w:color w:val="auto"/>
        </w:rPr>
      </w:pPr>
    </w:p>
    <w:p>
      <w:pPr>
        <w:ind w:left="4655"/>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37" w:lineRule="exact"/>
        <w:rPr>
          <w:sz w:val="24"/>
          <w:szCs w:val="24"/>
          <w:color w:val="auto"/>
        </w:rPr>
      </w:pPr>
    </w:p>
    <w:p>
      <w:pPr>
        <w:ind w:left="4735"/>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18"/>
          <w:szCs w:val="18"/>
          <w:color w:val="auto"/>
        </w:rPr>
        <w:t>PURSUANT TO SECTION 15(d) OF</w:t>
      </w:r>
    </w:p>
    <w:p>
      <w:pPr>
        <w:spacing w:after="0" w:line="27"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7"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18"/>
          <w:szCs w:val="18"/>
          <w:color w:val="auto"/>
        </w:rPr>
        <w:t>Commission file no. 1-11430</w:t>
      </w:r>
    </w:p>
    <w:p>
      <w:pPr>
        <w:spacing w:after="0" w:line="234" w:lineRule="exact"/>
        <w:rPr>
          <w:sz w:val="24"/>
          <w:szCs w:val="24"/>
          <w:color w:val="auto"/>
        </w:rPr>
      </w:pPr>
    </w:p>
    <w:p>
      <w:pPr>
        <w:ind w:left="375" w:hanging="375"/>
        <w:spacing w:after="0"/>
        <w:tabs>
          <w:tab w:leader="none" w:pos="3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05" w:lineRule="exact"/>
        <w:rPr>
          <w:sz w:val="24"/>
          <w:szCs w:val="24"/>
          <w:color w:val="auto"/>
        </w:rPr>
      </w:pPr>
    </w:p>
    <w:p>
      <w:pPr>
        <w:ind w:left="3155"/>
        <w:spacing w:after="0"/>
        <w:rPr>
          <w:sz w:val="20"/>
          <w:szCs w:val="20"/>
          <w:color w:val="auto"/>
        </w:rPr>
      </w:pPr>
      <w:r>
        <w:rPr>
          <w:rFonts w:ascii="Times New Roman" w:cs="Times New Roman" w:eastAsia="Times New Roman" w:hAnsi="Times New Roman"/>
          <w:sz w:val="29"/>
          <w:szCs w:val="29"/>
          <w:b w:val="1"/>
          <w:bCs w:val="1"/>
          <w:color w:val="auto"/>
        </w:rPr>
        <w:t>MINERALS TECHNOLOGIES INC.</w:t>
      </w:r>
    </w:p>
    <w:p>
      <w:pPr>
        <w:spacing w:after="0" w:line="42" w:lineRule="exact"/>
        <w:rPr>
          <w:sz w:val="24"/>
          <w:szCs w:val="24"/>
          <w:color w:val="auto"/>
        </w:rPr>
      </w:pPr>
    </w:p>
    <w:p>
      <w:pPr>
        <w:ind w:left="3115"/>
        <w:spacing w:after="0"/>
        <w:rPr>
          <w:sz w:val="20"/>
          <w:szCs w:val="20"/>
          <w:color w:val="auto"/>
        </w:rPr>
      </w:pPr>
      <w:r>
        <w:rPr>
          <w:rFonts w:ascii="Times New Roman" w:cs="Times New Roman" w:eastAsia="Times New Roman" w:hAnsi="Times New Roman"/>
          <w:sz w:val="28"/>
          <w:szCs w:val="28"/>
          <w:b w:val="1"/>
          <w:bCs w:val="1"/>
          <w:color w:val="auto"/>
        </w:rPr>
        <w:t>SAVINGS AND INVESTMENT PLAN</w:t>
      </w:r>
    </w:p>
    <w:p>
      <w:pPr>
        <w:spacing w:after="0" w:line="200" w:lineRule="exact"/>
        <w:rPr>
          <w:sz w:val="24"/>
          <w:szCs w:val="24"/>
          <w:color w:val="auto"/>
        </w:rPr>
      </w:pPr>
    </w:p>
    <w:p>
      <w:pPr>
        <w:spacing w:after="0" w:line="256" w:lineRule="exact"/>
        <w:rPr>
          <w:sz w:val="24"/>
          <w:szCs w:val="24"/>
          <w:color w:val="auto"/>
        </w:rPr>
      </w:pPr>
    </w:p>
    <w:p>
      <w:pPr>
        <w:ind w:left="355" w:hanging="355"/>
        <w:spacing w:after="0"/>
        <w:tabs>
          <w:tab w:leader="none" w:pos="3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5" w:lineRule="exact"/>
        <w:rPr>
          <w:sz w:val="24"/>
          <w:szCs w:val="24"/>
          <w:color w:val="auto"/>
        </w:rPr>
      </w:pPr>
    </w:p>
    <w:p>
      <w:pPr>
        <w:ind w:left="3195"/>
        <w:spacing w:after="0"/>
        <w:rPr>
          <w:sz w:val="20"/>
          <w:szCs w:val="20"/>
          <w:color w:val="auto"/>
        </w:rPr>
      </w:pPr>
      <w:r>
        <w:rPr>
          <w:rFonts w:ascii="Times New Roman" w:cs="Times New Roman" w:eastAsia="Times New Roman" w:hAnsi="Times New Roman"/>
          <w:sz w:val="29"/>
          <w:szCs w:val="29"/>
          <w:b w:val="1"/>
          <w:bCs w:val="1"/>
          <w:color w:val="auto"/>
        </w:rPr>
        <w:t>MINERALS TECHNOLOGIES INC.</w:t>
      </w:r>
    </w:p>
    <w:p>
      <w:pPr>
        <w:spacing w:after="0" w:line="267"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18"/>
          <w:szCs w:val="18"/>
          <w:color w:val="auto"/>
        </w:rPr>
        <w:t>622 Third Avenue</w:t>
      </w:r>
    </w:p>
    <w:p>
      <w:pPr>
        <w:spacing w:after="0" w:line="27" w:lineRule="exact"/>
        <w:rPr>
          <w:sz w:val="24"/>
          <w:szCs w:val="24"/>
          <w:color w:val="auto"/>
        </w:rPr>
      </w:pPr>
    </w:p>
    <w:p>
      <w:pPr>
        <w:jc w:val="center"/>
        <w:ind w:right="-995"/>
        <w:spacing w:after="0"/>
        <w:rPr>
          <w:sz w:val="20"/>
          <w:szCs w:val="20"/>
          <w:color w:val="auto"/>
        </w:rPr>
      </w:pPr>
      <w:r>
        <w:rPr>
          <w:rFonts w:ascii="Times New Roman" w:cs="Times New Roman" w:eastAsia="Times New Roman" w:hAnsi="Times New Roman"/>
          <w:sz w:val="18"/>
          <w:szCs w:val="18"/>
          <w:color w:val="auto"/>
        </w:rPr>
        <w:t>New York, New York, 10017-6707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wp:posOffset>
            </wp:positionH>
            <wp:positionV relativeFrom="paragraph">
              <wp:posOffset>760095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1574800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4"/>
          </w:cols>
          <w:pgMar w:left="425" w:top="35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Audit Committee,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Technologies Inc. Savings and Investment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Minerals Technologies Inc. Savings and Investment Plan (the “Plan”) as of December 31, 2025 and 2024, and the related statements of changes in net assets available for benefits for the years then ended, and the related notes and schedules (collectively referred to as the “financial statements”). In our opinion, the financial statements present fairly, in all material respects, the net assets available for benefits of Minerals Technologies Inc. Savings and Investment Plan as of December 31, 2025 and 2024, and the changes in net assets available for benefits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Minerals Technologies Inc. Savings and Investment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4i - Schedule of Assets (Held at End of Year) as of December 31, 2025 has been subjected to audit procedures performed in conjunction with the audits of Minerals Technologies Inc. Savings and Investment Plan’s financial statements. The supplemental information is the responsibility of the Minerals Technologies Inc. Savings and Investment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 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 (Note 3):</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securities of participating employer</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43,830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 securities of unaffiliated issuers: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collective funds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74,508</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196,341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178,481</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326,467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304,747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51,336</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4,656</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380,238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360,739</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tcPr>
          <w:p>
            <w:pPr>
              <w:ind w:left="5600"/>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5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7"/>
        </w:trPr>
        <w:tc>
          <w:tcPr>
            <w:tcW w:w="3680" w:type="dxa"/>
            <w:vAlign w:val="bottom"/>
            <w:vMerge w:val="continue"/>
          </w:tcPr>
          <w:p>
            <w:pPr>
              <w:spacing w:after="0"/>
              <w:rPr>
                <w:sz w:val="16"/>
                <w:szCs w:val="16"/>
                <w:color w:val="auto"/>
              </w:rPr>
            </w:pPr>
          </w:p>
        </w:tc>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5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36,603</w:t>
            </w: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Dividends</w:t>
            </w: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42,252</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Participants</w:t>
            </w: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14,334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Employer</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6,977</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contributions</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21,311</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63,917</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Reductions from net assets attributed to:</w:t>
            </w: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reductions</w:t>
            </w:r>
          </w:p>
        </w:tc>
        <w:tc>
          <w:tcPr>
            <w:tcW w:w="5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43,526</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5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360,739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340,348</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5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380,238</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360,739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520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680" w:type="dxa"/>
            <w:vAlign w:val="bottom"/>
          </w:tcPr>
          <w:p>
            <w:pPr>
              <w:spacing w:after="0"/>
              <w:rPr>
                <w:sz w:val="24"/>
                <w:szCs w:val="24"/>
                <w:color w:val="auto"/>
              </w:rPr>
            </w:pPr>
          </w:p>
        </w:tc>
        <w:tc>
          <w:tcPr>
            <w:tcW w:w="5020" w:type="dxa"/>
            <w:vAlign w:val="bottom"/>
          </w:tcPr>
          <w:p>
            <w:pPr>
              <w:jc w:val="right"/>
              <w:ind w:right="2956"/>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680" w:type="dxa"/>
            <w:vAlign w:val="bottom"/>
            <w:tcBorders>
              <w:bottom w:val="single" w:sz="8" w:color="auto"/>
            </w:tcBorders>
          </w:tcPr>
          <w:p>
            <w:pPr>
              <w:spacing w:after="0"/>
              <w:rPr>
                <w:sz w:val="5"/>
                <w:szCs w:val="5"/>
                <w:color w:val="auto"/>
              </w:rPr>
            </w:pPr>
          </w:p>
        </w:tc>
        <w:tc>
          <w:tcPr>
            <w:tcW w:w="5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09" w:right="339" w:bottom="1440" w:gutter="0" w:footer="0" w:header="0"/>
        </w:sectPr>
      </w:pPr>
    </w:p>
    <w:bookmarkStart w:id="4" w:name="page5"/>
    <w:bookmarkEnd w:id="4"/>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Minerals Technologies Inc. Savings and Investment Plan (the “Plan”) provides only general information. Participants should refer to the Plan agreement for a more complete description of the Plan's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sponsored by Minerals Technologies Inc. (the “Company”). Employees who generally work more than 20 hours per week become eligible to participate in the Plan on the date of their employment.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subject to the provisions of the Employee Retirement Income Security Act of 1974, as amended (“ERISA”).</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 During 2025, the Plan was amended in accordance with the SECURE 2.0 Act of 2022. The age at which participants are required to begin receiving minimum distributions was increased from age 72 to age 73 for participants who attain age 72 after December 31, 2022. During 2025, the automatic cash out limit was increased to $7,000 in accordance with SECURE 2.0.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Participants may elect to contribute between 2% and 20% of eligible earnings (as defined). Contributions may be made on a pre-tax basis, on an after-tax basis, or on a combined basis. Employee contributions of the first 3% of the participants’ eligible contributions will be matched 100% by the Company and the next 2% will be matched 50% by the Company to a maximum compensation limit of $350,000. Employee contributions in excess of 5% will not be matched. While it is the Company’s intention to make matching contributions for each payroll period, the Company’s Board of Directors reserves the right to increase, reduce or eliminate matching contributions for any Plan year, or for any payroll period. The Company's matching contributions are invested solely in the Company's common stock. Participants can, at any time, transfer or reallocate amounts held in the MTI Common Stock Fund to another fund under the Plan. Certain employees of AMCOL International, hired after December 31, 2003, through the merger date receive a special retirement contribution of 3% of compensation. Employees initially eligible to participate in the Plan on or after January 1, 2023 will be automatically enrolled at a 5% contribution rate. In addition, the automatic contribution rate will automatically increase on a pre-tax basis each year by 1% until a combined pre-tax and Roth contribution rate of 10% is reached. Newly eligible participants have approximately 45 days from their initial eligibility date to choose a different pre-tax percentage, contribute on an after-tax basis or to opt not to participate in the Plan.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also contribute amounts representing distributions from other qualified defined benefit or defined contribution plans. Participants direct the investment of their contributions into various investment options offered by the Plan. The maximum before-tax contribution limit for participants under age 50 was $23,500 and $23,000 for 2025 and 2024, respectively. However, a participant's contributions may be further increased or reduced based on the rules and regulations of the Internal Revenue Code (“IRC”). All eligible employees who are projected to attain age 50 before the end of the year will be eligible to make pre-tax catch-up contributions in accordance with certain regulations.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allocations of (a) the Company's contributions and (b) Plan earnings or loss and charged with an allocation of administrative expenses. Allocations are based on participant earnings or account balances, as defined. The benefit to which a participant is entitled is the benefit that can be provided from the participant's account.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fully vested in the entire value of their accounts at the time of contribution.</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Options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participant in the Plan elects to have contributions invested in anyone or a combination of the following separate investment options as of December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New York Life Insurance Anchor Account IV</w:t>
      </w:r>
      <w:r>
        <w:rPr>
          <w:rFonts w:ascii="Times New Roman" w:cs="Times New Roman" w:eastAsia="Times New Roman" w:hAnsi="Times New Roman"/>
          <w:sz w:val="18"/>
          <w:szCs w:val="18"/>
          <w:color w:val="auto"/>
        </w:rPr>
        <w:t>: This fund is a New York Life Insurance Company pooled separate account which invests in fixed income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Prudential Total Return Bond Fund</w:t>
      </w:r>
      <w:r>
        <w:rPr>
          <w:rFonts w:ascii="Times New Roman" w:cs="Times New Roman" w:eastAsia="Times New Roman" w:hAnsi="Times New Roman"/>
          <w:sz w:val="18"/>
          <w:szCs w:val="18"/>
          <w:color w:val="auto"/>
        </w:rPr>
        <w:t>: This fund invests primarily in bonds.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State Street Target Retirement Non-Lending Series Funds (the "Strategy Funds")</w:t>
      </w:r>
      <w:r>
        <w:rPr>
          <w:rFonts w:ascii="Times New Roman" w:cs="Times New Roman" w:eastAsia="Times New Roman" w:hAnsi="Times New Roman"/>
          <w:sz w:val="18"/>
          <w:szCs w:val="18"/>
          <w:color w:val="auto"/>
        </w:rPr>
        <w:t>: These funds are designed to incorporate a broad range of asset classes to provide diversification of returns and risks consistent with a stated time horizon. The Strategy Funds asset mix becomes progressively more conservative over time as the strategy target date grows nearer. The strategy target dates range from 2025 to 2065. There is also an age-based lifetime strategy fund. The investments are in a combination of U.S. stocks, international stocks, bonds and cash.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Alliance Bernstein Discovery Value Fund</w:t>
      </w:r>
      <w:r>
        <w:rPr>
          <w:rFonts w:ascii="Times New Roman" w:cs="Times New Roman" w:eastAsia="Times New Roman" w:hAnsi="Times New Roman"/>
          <w:sz w:val="18"/>
          <w:szCs w:val="18"/>
          <w:color w:val="auto"/>
        </w:rPr>
        <w:t>: This fund invests primarily in small and mid-capitalization stocks.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Eaton Vance AtlCapSMID-Cap</w:t>
      </w:r>
      <w:r>
        <w:rPr>
          <w:rFonts w:ascii="Times New Roman" w:cs="Times New Roman" w:eastAsia="Times New Roman" w:hAnsi="Times New Roman"/>
          <w:sz w:val="18"/>
          <w:szCs w:val="18"/>
          <w:color w:val="auto"/>
        </w:rPr>
        <w:t>: This fund invests primarily in small and mid-capitalization stocks.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American Funds - Fundamental Investors Fund</w:t>
      </w:r>
      <w:r>
        <w:rPr>
          <w:rFonts w:ascii="Times New Roman" w:cs="Times New Roman" w:eastAsia="Times New Roman" w:hAnsi="Times New Roman"/>
          <w:sz w:val="18"/>
          <w:szCs w:val="18"/>
          <w:color w:val="auto"/>
        </w:rPr>
        <w:t>: This fund invests primarily in common stocks and may invest significantly in securities of issuers domiciled outside the U.S. and Canada and not included in the S&amp;P 500 Index.</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American Funds Mortgage R6</w:t>
      </w:r>
      <w:r>
        <w:rPr>
          <w:rFonts w:ascii="Times New Roman" w:cs="Times New Roman" w:eastAsia="Times New Roman" w:hAnsi="Times New Roman"/>
          <w:sz w:val="18"/>
          <w:szCs w:val="18"/>
          <w:color w:val="auto"/>
        </w:rPr>
        <w:t>: This fund invests primarily in well-established, dividend paying companies with strong balance sheets to help provide current income, growth of capital, and conservation of principal.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ClearBridge Large Cap Growth Fund (IS)</w:t>
      </w:r>
      <w:r>
        <w:rPr>
          <w:rFonts w:ascii="Times New Roman" w:cs="Times New Roman" w:eastAsia="Times New Roman" w:hAnsi="Times New Roman"/>
          <w:sz w:val="18"/>
          <w:szCs w:val="18"/>
          <w:color w:val="auto"/>
        </w:rPr>
        <w:t>: This fund seeks long-term capital growth. This fund invests at least 80% of its net assets in equity securities or other instruments with similar economic characteristics of U.S. companies with large market capitalizations.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Wilmington Large Cap Value Fund</w:t>
      </w:r>
      <w:r>
        <w:rPr>
          <w:rFonts w:ascii="Times New Roman" w:cs="Times New Roman" w:eastAsia="Times New Roman" w:hAnsi="Times New Roman"/>
          <w:sz w:val="18"/>
          <w:szCs w:val="18"/>
          <w:color w:val="auto"/>
        </w:rPr>
        <w:t>: This fund invests in a diversified portfolio of U.S. equity (or equity-related) securities of large-cap companies (primarily common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Fidelity 500 Index Fund</w:t>
      </w:r>
      <w:r>
        <w:rPr>
          <w:rFonts w:ascii="Times New Roman" w:cs="Times New Roman" w:eastAsia="Times New Roman" w:hAnsi="Times New Roman"/>
          <w:sz w:val="18"/>
          <w:szCs w:val="18"/>
          <w:color w:val="auto"/>
        </w:rPr>
        <w:t>: This fund normally invests at least 80% of assets in common stocks included in the S&amp;P 500 Index, which broadly represents the performance of common stocks publicly traded in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Janus Henderson Balanced Fund (N)</w:t>
      </w:r>
      <w:r>
        <w:rPr>
          <w:rFonts w:ascii="Times New Roman" w:cs="Times New Roman" w:eastAsia="Times New Roman" w:hAnsi="Times New Roman"/>
          <w:sz w:val="18"/>
          <w:szCs w:val="18"/>
          <w:color w:val="auto"/>
        </w:rPr>
        <w:t>: This fund is invested in stocks and bonds.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Janus Triton Fund (I)</w:t>
      </w:r>
      <w:r>
        <w:rPr>
          <w:rFonts w:ascii="Times New Roman" w:cs="Times New Roman" w:eastAsia="Times New Roman" w:hAnsi="Times New Roman"/>
          <w:sz w:val="18"/>
          <w:szCs w:val="18"/>
          <w:color w:val="auto"/>
        </w:rPr>
        <w:t>: This fund invests in equity securities of small and medium-sized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MFS International Value R4 Fund</w:t>
      </w:r>
      <w:r>
        <w:rPr>
          <w:rFonts w:ascii="Times New Roman" w:cs="Times New Roman" w:eastAsia="Times New Roman" w:hAnsi="Times New Roman"/>
          <w:sz w:val="18"/>
          <w:szCs w:val="18"/>
          <w:color w:val="auto"/>
        </w:rPr>
        <w:t>: This fund primarily invests its assets in foreign equity securities, including emerging market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MFS International Value R6 Fund</w:t>
      </w:r>
      <w:r>
        <w:rPr>
          <w:rFonts w:ascii="Times New Roman" w:cs="Times New Roman" w:eastAsia="Times New Roman" w:hAnsi="Times New Roman"/>
          <w:sz w:val="18"/>
          <w:szCs w:val="18"/>
          <w:color w:val="auto"/>
        </w:rPr>
        <w:t>: This fund primarily invests its assets in foreign equity securities, including emerging market equity securities.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Vanguard Life Strategy Conservative Growth Fund</w:t>
      </w:r>
      <w:r>
        <w:rPr>
          <w:rFonts w:ascii="Times New Roman" w:cs="Times New Roman" w:eastAsia="Times New Roman" w:hAnsi="Times New Roman"/>
          <w:sz w:val="18"/>
          <w:szCs w:val="18"/>
          <w:color w:val="auto"/>
        </w:rPr>
        <w:t>: This fund is invested in stocks, bonds and cash equivalents. Approximately 60% of the fund’s assets are invested in bonds and 40% in common stocks and cash equivalents.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Vanguard Life Strategy Growth Fund</w:t>
      </w:r>
      <w:r>
        <w:rPr>
          <w:rFonts w:ascii="Times New Roman" w:cs="Times New Roman" w:eastAsia="Times New Roman" w:hAnsi="Times New Roman"/>
          <w:sz w:val="18"/>
          <w:szCs w:val="18"/>
          <w:color w:val="auto"/>
        </w:rPr>
        <w:t>: This fund is primarily invested in stocks and bonds. Approximately 80% of the fund’s assets are invested in stocks and 20% in bonds.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Vanguard Life Strategy Moderate Growth Fund</w:t>
      </w:r>
      <w:r>
        <w:rPr>
          <w:rFonts w:ascii="Times New Roman" w:cs="Times New Roman" w:eastAsia="Times New Roman" w:hAnsi="Times New Roman"/>
          <w:sz w:val="18"/>
          <w:szCs w:val="18"/>
          <w:color w:val="auto"/>
        </w:rPr>
        <w:t>: This fund is invested in stocks, bonds and cash equivalents. Approximately 60% of the fund is invested in mid and large capitalization stock and 40% in fixed income securities and cash equivalents.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State Street Russell Small/Midcap Index Non-Lending Series Fund</w:t>
      </w:r>
      <w:r>
        <w:rPr>
          <w:rFonts w:ascii="Times New Roman" w:cs="Times New Roman" w:eastAsia="Times New Roman" w:hAnsi="Times New Roman"/>
          <w:sz w:val="18"/>
          <w:szCs w:val="18"/>
          <w:color w:val="auto"/>
        </w:rPr>
        <w:t>: This fund is designed to match the risk and return of the Russell 2000 Index, a broadly based average of the U.S. equity market.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State Street S&amp;P Midcap 400 Index Securities Lending Series Fund</w:t>
      </w:r>
      <w:r>
        <w:rPr>
          <w:rFonts w:ascii="Times New Roman" w:cs="Times New Roman" w:eastAsia="Times New Roman" w:hAnsi="Times New Roman"/>
          <w:sz w:val="18"/>
          <w:szCs w:val="18"/>
          <w:color w:val="auto"/>
        </w:rPr>
        <w:t>: This fund is designed to match the risk and return of the Standard &amp; Poor's 400 Index, a broadly based average of the U.S. equity market.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MTI Common Stock Fund</w:t>
      </w:r>
      <w:r>
        <w:rPr>
          <w:rFonts w:ascii="Times New Roman" w:cs="Times New Roman" w:eastAsia="Times New Roman" w:hAnsi="Times New Roman"/>
          <w:sz w:val="18"/>
          <w:szCs w:val="18"/>
          <w:color w:val="auto"/>
        </w:rPr>
        <w:t>: This fund invests in the Company's common stock. The MTI Common Stock Fund is a participant-directed fund. All Company matching contributions are invested in this fund, and once deposited; the investments are participant directed.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Pfizer Common Stock Fund</w:t>
      </w:r>
      <w:r>
        <w:rPr>
          <w:rFonts w:ascii="Times New Roman" w:cs="Times New Roman" w:eastAsia="Times New Roman" w:hAnsi="Times New Roman"/>
          <w:sz w:val="18"/>
          <w:szCs w:val="18"/>
          <w:color w:val="auto"/>
        </w:rPr>
        <w:t>: This fund invests in the common stock of Pfizer Inc. The fund holds contributions to the Pfizer Common Stock Fund, which were transferred from Pfizer Inc. when the Plan was established. No new contributions or transfers can be made into this fund, however, participants are allowed to transfer balances from this fund into other investment options.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Charles Schwab Participant-Directed Brokerage Account</w:t>
      </w:r>
      <w:r>
        <w:rPr>
          <w:rFonts w:ascii="Times New Roman" w:cs="Times New Roman" w:eastAsia="Times New Roman" w:hAnsi="Times New Roman"/>
          <w:sz w:val="18"/>
          <w:szCs w:val="18"/>
          <w:color w:val="auto"/>
        </w:rPr>
        <w:t>: This is a participant-directed brokerage account which invests primarily in a variety of publicly available mutual funds, common stock and cash and cash equivalents.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JP Morgan U.S. Government MMkt Fund</w:t>
      </w:r>
      <w:r>
        <w:rPr>
          <w:rFonts w:ascii="Times New Roman" w:cs="Times New Roman" w:eastAsia="Times New Roman" w:hAnsi="Times New Roman"/>
          <w:sz w:val="18"/>
          <w:szCs w:val="18"/>
          <w:color w:val="auto"/>
        </w:rPr>
        <w:t>: This fund invests exclusively in debt securities issued or guaranteed by the U.S. government to provide liquidity, capital preservation, and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borrow from their accounts an amount up to $50,000 or 50% of their account balance, whichever is less. The minimum amount a participant may borrow is $1,000. The loan repayments and interest earned are allocated to each eligible investment option based upon the participant's current contribution election percentages.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must be repaid over a period of not more than five years; however, if the loan is used to purchase a principal residence, the loan can be repaid over a period of not more than fifteen years. The loans are secured by the balance in the participant's account and bear interest at rates that range from 4.25% to 9.75% for both 2025 and 2024 which are fixed at the time of the loan, and which are commensurate with prevailing rates as determined quarterly by the Plan administrator.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termination of service due to death, disability, retirement, or other reasons, a participant would receive a lump-sum amount equal to the value of the participant's account. In-service withdrawals, including hardship withdrawals, may also be made under certain circumstances.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Valuation and Income Recognition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Plan's investments are stated at fair value except for the fully benefit responsive contract which is stated at contract value. Short-term investments are recorded at cost, which approximates fair value. The common stock within the MTI Common Stock Fund, Pfizer Common Stock Fund, and the shares of mutual funds, including those held in the brokerage account are valued using quoted market prices. Common collective funds are stated at fair value reported by the fund manager based on the underlying investments within each fund and are expressed in units representing the net asset value of each fund. The value of a unit will fluctuate in response to various factors including, but not limited to, the price of the underlying shares, dividends paid, earnings and losses, and the mix of assets in the respective fund.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The net appreciation in fair value of investments consists of the net realized gains and losses from the sale of investments and the unrealized appreciation (depreciation) of the fair value for the investments remaining in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income is recorded on the ex-dividend date. Interest income is recorded on an accrual basis.</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reclassified as distributions based upon the terms of the Plan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about which little or no market data exists, therefore requiring an entity to develop its own assumptions.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 There have been no changes in the methodologies used at December 31, 2025 or 2024.</w:t>
      </w:r>
    </w:p>
    <w:p>
      <w:pPr>
        <w:spacing w:after="0" w:line="16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The fair value is based on the unadjusted closing price reported on the active market on which the security is traded and is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Level 1 of the fair value hierarchy.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Mutual funds</w:t>
      </w:r>
      <w:r>
        <w:rPr>
          <w:rFonts w:ascii="Times New Roman" w:cs="Times New Roman" w:eastAsia="Times New Roman" w:hAnsi="Times New Roman"/>
          <w:sz w:val="18"/>
          <w:szCs w:val="18"/>
          <w:color w:val="auto"/>
        </w:rPr>
        <w:t>: Registered investment companies are public investment vehicles valued using net asset value (“NAV”) provided by the administrator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mutual fund. These securities are valued using quoted market prices. The NAV is an unadjusted quoted price on an active market and classified within Level 1 of the fair value hierarchy.</w:t>
      </w:r>
    </w:p>
    <w:p>
      <w:pPr>
        <w:spacing w:after="0" w:line="200"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Common collective funds</w:t>
      </w:r>
      <w:r>
        <w:rPr>
          <w:rFonts w:ascii="Times New Roman" w:cs="Times New Roman" w:eastAsia="Times New Roman" w:hAnsi="Times New Roman"/>
          <w:sz w:val="18"/>
          <w:szCs w:val="18"/>
          <w:color w:val="auto"/>
        </w:rPr>
        <w:t>: Valued at fair value using the NAV provided by the fund trustee as a practical expedient based on the value of the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owned by the trust, minus its liabilities, and then divided by the number of shares outstanding. There are no imposed redemption restrictions, nor does the Plan have any contractual obligations to further invest in the common collective trust funds. There are no unfunded commitments. The NAV for these funds is published on a daily basis and is the basis for the Plan participant transactions. In accordance with subtopic 820-10, these investments have not been classified in the fair value hierarchy. The amounts presented in the fair value table are intended to permit reconciliation of the fair value hierarchy to the amounts presented in the statements of assets available for benefits.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The carrying value approximates fair value and is classified within Level 1 of the fair value hierarchy.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tables sets forth by level, the Plan's financial assets at fair value as of December 31, 2025 and 2024.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 The method described above may produce a fair value that may not be indicative of net realizable value or reflective of future fair value. There were no transfers between fair value levels during 2025 and 2024.</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Valuation techniques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Fair Value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incorporating</w:t>
            </w: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determined by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techniques based</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information other</w:t>
            </w: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Quoted or Published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 observable</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than observable</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measured at</w:t>
            </w: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Prices in active markets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 data</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market data</w:t>
            </w: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38"/>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20"/>
                <w:szCs w:val="20"/>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r>
      <w:tr>
        <w:trPr>
          <w:trHeight w:val="210"/>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Fixed income funds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12,668</w:t>
            </w:r>
          </w:p>
        </w:tc>
      </w:tr>
      <w:tr>
        <w:trPr>
          <w:trHeight w:val="216"/>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53,228</w:t>
            </w:r>
          </w:p>
        </w:tc>
      </w:tr>
      <w:tr>
        <w:trPr>
          <w:trHeight w:val="216"/>
        </w:trPr>
        <w:tc>
          <w:tcPr>
            <w:tcW w:w="3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Growth &amp; income funds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127,413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127,413</w:t>
            </w:r>
          </w:p>
        </w:tc>
      </w:tr>
      <w:tr>
        <w:trPr>
          <w:trHeight w:val="216"/>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Mutual funds - participant-directed brokerage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funds - capital growth</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3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funds - current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Balanced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3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Fixed income funds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mutual funds</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196,341</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196,341</w:t>
            </w:r>
          </w:p>
        </w:tc>
      </w:tr>
      <w:tr>
        <w:trPr>
          <w:trHeight w:val="210"/>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Participant-directed brokerage account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3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Pharmaceuticals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4,957</w:t>
            </w:r>
          </w:p>
        </w:tc>
      </w:tr>
      <w:tr>
        <w:trPr>
          <w:trHeight w:val="216"/>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37,028</w:t>
            </w:r>
          </w:p>
        </w:tc>
      </w:tr>
      <w:tr>
        <w:trPr>
          <w:trHeight w:val="209"/>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43,014</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43,014</w:t>
            </w:r>
          </w:p>
        </w:tc>
      </w:tr>
      <w:tr>
        <w:trPr>
          <w:trHeight w:val="210"/>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NAV</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85,187</w:t>
            </w:r>
          </w:p>
        </w:tc>
      </w:tr>
      <w:tr>
        <w:trPr>
          <w:trHeight w:val="210"/>
        </w:trPr>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6"/>
        </w:trPr>
        <w:tc>
          <w:tcPr>
            <w:tcW w:w="3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241,280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326,467</w:t>
            </w:r>
          </w:p>
        </w:tc>
      </w:tr>
      <w:tr>
        <w:trPr>
          <w:trHeight w:val="20"/>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85"/>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91"/>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2"/>
        </w:trPr>
        <w:tc>
          <w:tcPr>
            <w:tcW w:w="35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sectPr>
      </w:pPr>
    </w:p>
    <w:bookmarkStart w:id="10" w:name="page11"/>
    <w:bookmarkEnd w:id="10"/>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Valuation techniques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Fair Value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incorporating</w:t>
            </w: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determined by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techniques based</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information other</w:t>
            </w: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Quoted or Published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 observable</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than observable</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measured at</w:t>
            </w: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Prices in active markets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 data</w:t>
            </w: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market data</w:t>
            </w: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38"/>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20"/>
                <w:szCs w:val="20"/>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r>
      <w:tr>
        <w:trPr>
          <w:trHeight w:val="210"/>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income funds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13,937</w:t>
            </w:r>
          </w:p>
        </w:tc>
      </w:tr>
      <w:tr>
        <w:trPr>
          <w:trHeight w:val="216"/>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46,967</w:t>
            </w:r>
          </w:p>
        </w:tc>
      </w:tr>
      <w:tr>
        <w:trPr>
          <w:trHeight w:val="216"/>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Growth &amp; income funds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115,152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115,152</w:t>
            </w:r>
          </w:p>
        </w:tc>
      </w:tr>
      <w:tr>
        <w:trPr>
          <w:trHeight w:val="216"/>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Mutual funds - participant-directed brokerage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funds - capital growth</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r>
      <w:tr>
        <w:trPr>
          <w:trHeight w:val="216"/>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funds - current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income funds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mutual funds</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178,481</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178,481</w:t>
            </w:r>
          </w:p>
        </w:tc>
      </w:tr>
      <w:tr>
        <w:trPr>
          <w:trHeight w:val="209"/>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Participant-directed brokerage account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Pharmaceuticals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5,404</w:t>
            </w:r>
          </w:p>
        </w:tc>
      </w:tr>
      <w:tr>
        <w:trPr>
          <w:trHeight w:val="216"/>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43,830</w:t>
            </w:r>
          </w:p>
        </w:tc>
      </w:tr>
      <w:tr>
        <w:trPr>
          <w:trHeight w:val="210"/>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50,082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50,082</w:t>
            </w:r>
          </w:p>
        </w:tc>
      </w:tr>
      <w:tr>
        <w:trPr>
          <w:trHeight w:val="209"/>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NAV</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74,508</w:t>
            </w:r>
          </w:p>
        </w:tc>
      </w:tr>
      <w:tr>
        <w:trPr>
          <w:trHeight w:val="210"/>
        </w:trPr>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6"/>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304,747</w:t>
            </w:r>
          </w:p>
        </w:tc>
      </w:tr>
      <w:tr>
        <w:trPr>
          <w:trHeight w:val="20"/>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85"/>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111"/>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1"/>
        </w:trPr>
        <w:tc>
          <w:tcPr>
            <w:tcW w:w="35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sectPr>
      </w:pPr>
    </w:p>
    <w:bookmarkStart w:id="11" w:name="page12"/>
    <w:bookmarkEnd w:id="11"/>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 Benefit Responsive Contract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invests in the New York Life Insurance Anchor Acct IV, which is considered a fully benefit responsive contract (the “Contract”). This investment is valued at contract value reported by the fund manager based on the underlying investments within each fund. There are no imposed redemption restrictions. The existence of certain conditions can limit the Contract's ability to transact at contract value with the issuers of its investment contracts. Specifically, any event outside the normal operation of the Contract that causes a withdrawal from an investment contract may result in a negative market value adjustment with respect to such withdrawal. Examples of such events include, but are not limited to, partial or complete legal termination of the Contract or a unitholder, tax disqualification of the Contract or a unitholder, and certain Contract amendments if issuers' consent is not obtained. As of December 31, 2025, the occurrence of an event outside the normal operation of the Contract that would cause a withdrawal from an investment contract is not considered to be probable. To the extent a unitholder suffers a tax disqualification or legal termination event, under normal circumstances it is anticipated that liquid assets would be available to satisfy the redemption of such unitholder's interest in the Contract without the need to access investment contracts.</w:t>
      </w:r>
    </w:p>
    <w:p>
      <w:pPr>
        <w:spacing w:after="0" w:line="21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by action of the Company's Board of Directors, subject to the provisions of ERISA. Upon termination of the Plan, each participant thereby affected would receive the entire value of his or her account as of the date of such termination. No part of the assets in the investment funds established pursuant to the Plan would at any time revert to the Company.</w:t>
      </w:r>
    </w:p>
    <w:p>
      <w:pPr>
        <w:spacing w:after="0" w:line="203"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Internal Revenue Service (“IRS”) determined and informed the Company by a letter dated December 27, 2013, that the Plan and related Trust established thereunder are properly designed and, thus qualified and are tax exempt, respectively, within the meaning of Sections 401(a) and 501(a) of the IRC. Although the Plan has been amended and restated since receiving the determination letter, the Company and legal counsel believe that the Plan is designed and is currently being operated in compliance with the applicable requirements of the IRC. U.S. GAAP requires Plan management to evaluate tax positions taken by the Plan and recognize a tax liability (or de-recognize an asset) if the Plan has taken an uncertain position that more likely than not would not be sustained upon examination by the IRS. The Plan administrator has analyzed the tax positions taken by the Plan, and has concluded that as of December 31, 2025 and 2024, there are no uncertain tax positions taken or expected to be taken that would require recognition of a liability (or de-recognition of an asset) or disclosure in the financial statements. The Plan is subject to routine audits by taxing jurisdictions; however, there are currently no audits for any tax periods in progress. The Plan administrator believes it is no longer subject to income tax audits for years prior to 2022.</w:t>
      </w:r>
    </w:p>
    <w:p>
      <w:pPr>
        <w:spacing w:after="0" w:line="21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Administrative and Investment Advisor Costs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costs of administering the Plan are paid by the Plan and amounted to $140,909 and $226,381 for the years ended December 31, 2025 and 2024, respectively. Participants are responsible for any origination and maintenance fees for each loan, and certain expenses for participating in the participant directed brokerage account. Investment advisers are reimbursed for costs incurred or receive a management fee for providing investment advisory services. Investment advisory fees and costs are deducted and reflected in the net appreciation in the fair value of investments on the Statements of Changes in Net Assets Available for Benefits.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2" w:name="page13"/>
    <w:bookmarkEnd w:id="12"/>
    <w:p>
      <w:pPr>
        <w:ind w:left="414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John Hancock Trust Company LLC is Trustee and record keeper of the Plan. Certain Plan investments in the pooled separate account are managed by New York Life Investment Management LLC, an affiliate of John Hancock Trust Company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Plan investments are shares of the Company's common stock, which qualify as party-in-interest transactions.</w:t>
      </w:r>
    </w:p>
    <w:p>
      <w:pPr>
        <w:spacing w:after="0" w:line="221"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Risks and Uncertainties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Plan's exposure to a concentration of credit risk is limited by the diversification of investments across several participant-directed fund elections. Additionally, the investments within each participant-directed fund election are further diversified into varied financial instruments, with the exception of the MTI and Pfizer Common Stock Funds, which principally invest in securities of a single issuer. At December 31, 2025 and 2024, investments in the New York Life Insurance Anchor Acct IV of $48,684,668 and $51,335,857 represent 13% and 14%, respectively, of the Plan's net assets. At December 31, 2025 and 2024, investments in the Fidelity 500 Index Fund of $68,337,737 and $59,030,537 represent 18% and 16%, respectively, of the Plan's net assets. At December 31, 2025 and 2024, investments in MTI common stock of $37,027,735 and $43,829,819 represent 10% and 12%, respectively, of the Plan's net assets.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investments include a number of investment options including MTI and Pfizer common stock and a variety of investment funds, some of which are mutual funds or common collective funds. Investment securities, in general, are exposed to various risks, such as interest rate, credit, and overall market volatility risk. Due to the level of risk associated with certain investment securities, it is reasonably possible that changes in the values of investment securities will occur in the near term and that such changes could materially affect the amounts reported in the statements of net assets for benefits and participant account balances. Plan investments included a variety of investments that may directly or indirectly invest in securities with contractual cash flows. The value, liquidity, and related income of these securities are sensitive to changes in economic conditions and may be adversely affected by shifts in the market’s perception of the issuers and changes in interest 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evaluated events subsequent to December 31, 2025, and through June 17, 2026, the date on which the financial statements were issued, and determined there have not been any events that have occurred that would require adjustment to or disclosure in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ind w:left="418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NUMBER 25-1190717 PLAN NUMBER 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6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w:t>
            </w:r>
          </w:p>
        </w:tc>
        <w:tc>
          <w:tcPr>
            <w:tcW w:w="2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6"/>
        </w:trPr>
        <w:tc>
          <w:tcPr>
            <w:tcW w:w="340" w:type="dxa"/>
            <w:vAlign w:val="bottom"/>
          </w:tcPr>
          <w:p>
            <w:pPr>
              <w:spacing w:after="0"/>
              <w:rPr>
                <w:sz w:val="18"/>
                <w:szCs w:val="18"/>
                <w:color w:val="auto"/>
              </w:rPr>
            </w:pP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Identity of issue, borrower,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Description of</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38"/>
        </w:trPr>
        <w:tc>
          <w:tcPr>
            <w:tcW w:w="340" w:type="dxa"/>
            <w:vAlign w:val="bottom"/>
          </w:tcPr>
          <w:p>
            <w:pPr>
              <w:spacing w:after="0"/>
              <w:rPr>
                <w:sz w:val="20"/>
                <w:szCs w:val="20"/>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lessor or similar party</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investment/interest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425"/>
        </w:trPr>
        <w:tc>
          <w:tcPr>
            <w:tcW w:w="3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PMCO Government Money Market</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Money market account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34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Various money market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40" w:type="dxa"/>
            <w:vAlign w:val="bottom"/>
            <w:shd w:val="clear" w:color="auto" w:fill="CCEEFF"/>
          </w:tcPr>
          <w:p>
            <w:pPr>
              <w:spacing w:after="0"/>
              <w:rPr>
                <w:sz w:val="20"/>
                <w:szCs w:val="20"/>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Schwab Participant-Directed Brokerage Account</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accounts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09"/>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tcBorders>
              <w:bottom w:val="single" w:sz="8" w:color="CCEEFF"/>
            </w:tcBorders>
            <w:shd w:val="clear" w:color="auto" w:fill="CCEEFF"/>
          </w:tcPr>
          <w:p>
            <w:pPr>
              <w:spacing w:after="0"/>
              <w:rPr>
                <w:sz w:val="18"/>
                <w:szCs w:val="18"/>
                <w:color w:val="auto"/>
              </w:rPr>
            </w:pPr>
          </w:p>
        </w:tc>
        <w:tc>
          <w:tcPr>
            <w:tcW w:w="6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r>
      <w:tr>
        <w:trPr>
          <w:trHeight w:val="20"/>
        </w:trPr>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Fully benefit responsive investment contract, at contract value: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6"/>
        </w:trPr>
        <w:tc>
          <w:tcPr>
            <w:tcW w:w="65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Life Insurance Anchor Acct IV</w:t>
            </w:r>
          </w:p>
        </w:tc>
        <w:tc>
          <w:tcPr>
            <w:tcW w:w="21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36,565 units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48,685</w:t>
            </w:r>
          </w:p>
        </w:tc>
      </w:tr>
      <w:tr>
        <w:trPr>
          <w:trHeight w:val="197"/>
        </w:trPr>
        <w:tc>
          <w:tcPr>
            <w:tcW w:w="34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collective funds: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Retirement 2025 Strategy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Retirement 2025 Securities Non-Lending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317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10,299</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Retirement 2030 Strategy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Retirement 2030 Securities Non-Lending Series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261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9,312</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Retirement 2035 Strategy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Retirement 2035 Securities Non-Lending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210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8,067</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Retirement 2040 Strategy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Retirement 2040 Securities Non-Lending Series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182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7,166</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Retirement 2045 Strategy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Retirement 2045 Securities Non-Lending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242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9,870</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Retirement 2050 Strategy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Retirement 2050 Securities Non-Lending Series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157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6,556</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Retirement 2055 Strategy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Retirement 2055 Securities Non-Lending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167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4,721</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Retirement 2060 Strategy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Retirement 2060 Securities Non-Lending Series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69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1,794</w:t>
            </w:r>
          </w:p>
        </w:tc>
      </w:tr>
      <w:tr>
        <w:trPr>
          <w:trHeight w:val="593"/>
        </w:trPr>
        <w:tc>
          <w:tcPr>
            <w:tcW w:w="340" w:type="dxa"/>
            <w:vAlign w:val="bottom"/>
          </w:tcPr>
          <w:p>
            <w:pPr>
              <w:spacing w:after="0"/>
              <w:rPr>
                <w:sz w:val="24"/>
                <w:szCs w:val="24"/>
                <w:color w:val="auto"/>
              </w:rPr>
            </w:pPr>
          </w:p>
        </w:tc>
        <w:tc>
          <w:tcPr>
            <w:tcW w:w="6140" w:type="dxa"/>
            <w:vAlign w:val="bottom"/>
          </w:tcPr>
          <w:p>
            <w:pPr>
              <w:ind w:left="522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2"/>
        </w:trPr>
        <w:tc>
          <w:tcPr>
            <w:tcW w:w="340" w:type="dxa"/>
            <w:vAlign w:val="bottom"/>
            <w:tcBorders>
              <w:bottom w:val="single" w:sz="8" w:color="auto"/>
            </w:tcBorders>
          </w:tcPr>
          <w:p>
            <w:pPr>
              <w:spacing w:after="0"/>
              <w:rPr>
                <w:sz w:val="5"/>
                <w:szCs w:val="5"/>
                <w:color w:val="auto"/>
              </w:rPr>
            </w:pPr>
          </w:p>
        </w:tc>
        <w:tc>
          <w:tcPr>
            <w:tcW w:w="6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sectPr>
      </w:pPr>
    </w:p>
    <w:bookmarkStart w:id="14" w:name="page15"/>
    <w:bookmarkEnd w:id="14"/>
    <w:p>
      <w:pPr>
        <w:ind w:left="418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NUMBER 25-1190717 PLAN NUMBER 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6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w:t>
            </w:r>
          </w:p>
        </w:tc>
        <w:tc>
          <w:tcPr>
            <w:tcW w:w="2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6"/>
        </w:trPr>
        <w:tc>
          <w:tcPr>
            <w:tcW w:w="340" w:type="dxa"/>
            <w:vAlign w:val="bottom"/>
          </w:tcPr>
          <w:p>
            <w:pPr>
              <w:spacing w:after="0"/>
              <w:rPr>
                <w:sz w:val="18"/>
                <w:szCs w:val="18"/>
                <w:color w:val="auto"/>
              </w:rPr>
            </w:pP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Identity of issue, borrower,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Description of</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38"/>
        </w:trPr>
        <w:tc>
          <w:tcPr>
            <w:tcW w:w="340" w:type="dxa"/>
            <w:vAlign w:val="bottom"/>
          </w:tcPr>
          <w:p>
            <w:pPr>
              <w:spacing w:after="0"/>
              <w:rPr>
                <w:sz w:val="20"/>
                <w:szCs w:val="20"/>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lessor or similar party</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investment/interest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426"/>
        </w:trPr>
        <w:tc>
          <w:tcPr>
            <w:tcW w:w="3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Retirement 2065 Strategy</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Retirement 2065 Securities Non-Lending Series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104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Retirement Income Strategy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SSgA Target Retirement Income Non-Lending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93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Street Russell Small/Midcap Index Non-Lending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45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4,683</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Street S&amp;P Midcap 400 Index Securities Lending Series Fund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40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8,221</w:t>
            </w: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 w:type="dxa"/>
            <w:vAlign w:val="bottom"/>
            <w:tcBorders>
              <w:bottom w:val="single" w:sz="8" w:color="CCEEFF"/>
            </w:tcBorders>
          </w:tcPr>
          <w:p>
            <w:pPr>
              <w:spacing w:after="0"/>
              <w:rPr>
                <w:sz w:val="18"/>
                <w:szCs w:val="18"/>
                <w:color w:val="auto"/>
              </w:rPr>
            </w:pPr>
          </w:p>
        </w:tc>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Wilmington Large Cap Value Fund</w:t>
            </w:r>
          </w:p>
        </w:tc>
        <w:tc>
          <w:tcPr>
            <w:tcW w:w="21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404 units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10,516</w:t>
            </w:r>
          </w:p>
        </w:tc>
      </w:tr>
      <w:tr>
        <w:trPr>
          <w:trHeight w:val="209"/>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6"/>
        </w:trPr>
        <w:tc>
          <w:tcPr>
            <w:tcW w:w="340" w:type="dxa"/>
            <w:vAlign w:val="bottom"/>
            <w:tcBorders>
              <w:bottom w:val="single" w:sz="8" w:color="CCEEFF"/>
            </w:tcBorders>
          </w:tcPr>
          <w:p>
            <w:pPr>
              <w:spacing w:after="0"/>
              <w:rPr>
                <w:sz w:val="22"/>
                <w:szCs w:val="22"/>
                <w:color w:val="auto"/>
              </w:rPr>
            </w:pPr>
          </w:p>
        </w:tc>
        <w:tc>
          <w:tcPr>
            <w:tcW w:w="6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common collective funds</w:t>
            </w: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58,377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85,187</w:t>
            </w:r>
          </w:p>
        </w:tc>
      </w:tr>
      <w:tr>
        <w:trPr>
          <w:trHeight w:val="197"/>
        </w:trPr>
        <w:tc>
          <w:tcPr>
            <w:tcW w:w="34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Alliance Bernstein Discovery Value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85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American Funds - Fundamental Investors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352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32,234</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American Funds Mortgage R6</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243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2,176</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ClearBridge Large Cap Growth Fund (IS)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213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15,838</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Eaton Vance AltCapSMID-Cap</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89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3,279</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Janus Triton Fund (I)</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107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Janus Henderson Balanced Fund (N)</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265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12,784</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JP Morgan U.S. Govt MMkt Cap</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54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MFS International Value R4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122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5,363</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MFS International Value R6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301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7,753</w:t>
            </w: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Prudential Total Return Bond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863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10,492</w:t>
            </w:r>
          </w:p>
        </w:tc>
      </w:tr>
      <w:tr>
        <w:trPr>
          <w:trHeight w:val="593"/>
        </w:trPr>
        <w:tc>
          <w:tcPr>
            <w:tcW w:w="340" w:type="dxa"/>
            <w:vAlign w:val="bottom"/>
          </w:tcPr>
          <w:p>
            <w:pPr>
              <w:spacing w:after="0"/>
              <w:rPr>
                <w:sz w:val="24"/>
                <w:szCs w:val="24"/>
                <w:color w:val="auto"/>
              </w:rPr>
            </w:pPr>
          </w:p>
        </w:tc>
        <w:tc>
          <w:tcPr>
            <w:tcW w:w="6140" w:type="dxa"/>
            <w:vAlign w:val="bottom"/>
          </w:tcPr>
          <w:p>
            <w:pPr>
              <w:ind w:left="522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2"/>
        </w:trPr>
        <w:tc>
          <w:tcPr>
            <w:tcW w:w="340" w:type="dxa"/>
            <w:vAlign w:val="bottom"/>
            <w:tcBorders>
              <w:bottom w:val="single" w:sz="8" w:color="auto"/>
            </w:tcBorders>
          </w:tcPr>
          <w:p>
            <w:pPr>
              <w:spacing w:after="0"/>
              <w:rPr>
                <w:sz w:val="5"/>
                <w:szCs w:val="5"/>
                <w:color w:val="auto"/>
              </w:rPr>
            </w:pPr>
          </w:p>
        </w:tc>
        <w:tc>
          <w:tcPr>
            <w:tcW w:w="6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sectPr>
      </w:pPr>
    </w:p>
    <w:bookmarkStart w:id="15" w:name="page16"/>
    <w:bookmarkEnd w:id="15"/>
    <w:p>
      <w:pPr>
        <w:ind w:left="4180"/>
        <w:spacing w:after="0"/>
        <w:rPr>
          <w:sz w:val="20"/>
          <w:szCs w:val="20"/>
          <w:color w:val="auto"/>
        </w:rPr>
      </w:pPr>
      <w:r>
        <w:rPr>
          <w:rFonts w:ascii="Times New Roman" w:cs="Times New Roman" w:eastAsia="Times New Roman" w:hAnsi="Times New Roman"/>
          <w:sz w:val="18"/>
          <w:szCs w:val="18"/>
          <w:b w:val="1"/>
          <w:bCs w:val="1"/>
          <w:color w:val="auto"/>
        </w:rPr>
        <w:t>MINERALS TECHNOLOGIES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NUMBER 25-1190717 PLAN NUMBER 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Identity of issue, borrower,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Description of</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lessor or similar party</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investment/interest</w:t>
            </w:r>
          </w:p>
        </w:tc>
        <w:tc>
          <w:tcPr>
            <w:tcW w:w="2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Vanguard Life Strategy Conservative Growth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254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Vanguard Life Strategy Growth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169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Vanguard Life Strategy Moderate Growth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472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Fidelity 500 Index Fund</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287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Mutual Fund Window</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Various mutual fund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Borders>
              <w:bottom w:val="single" w:sz="8" w:color="CCEEFF"/>
            </w:tcBorders>
          </w:tcPr>
          <w:p>
            <w:pPr>
              <w:spacing w:after="0"/>
              <w:rPr>
                <w:sz w:val="20"/>
                <w:szCs w:val="20"/>
                <w:color w:val="auto"/>
              </w:rPr>
            </w:pPr>
          </w:p>
        </w:tc>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Charles Schwab Participant-Directed Brokerage Account</w:t>
            </w:r>
          </w:p>
        </w:tc>
        <w:tc>
          <w:tcPr>
            <w:tcW w:w="21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investments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0" w:type="dxa"/>
            <w:vAlign w:val="bottom"/>
            <w:tcBorders>
              <w:bottom w:val="single" w:sz="8" w:color="CCEEFF"/>
            </w:tcBorders>
          </w:tcPr>
          <w:p>
            <w:pPr>
              <w:spacing w:after="0"/>
              <w:rPr>
                <w:sz w:val="22"/>
                <w:szCs w:val="22"/>
                <w:color w:val="auto"/>
              </w:rPr>
            </w:pPr>
          </w:p>
        </w:tc>
        <w:tc>
          <w:tcPr>
            <w:tcW w:w="6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mutual funds</w:t>
            </w: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157,063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196,341</w:t>
            </w:r>
          </w:p>
        </w:tc>
        <w:tc>
          <w:tcPr>
            <w:tcW w:w="0" w:type="dxa"/>
            <w:vAlign w:val="bottom"/>
          </w:tcPr>
          <w:p>
            <w:pPr>
              <w:spacing w:after="0"/>
              <w:rPr>
                <w:sz w:val="1"/>
                <w:szCs w:val="1"/>
                <w:color w:val="auto"/>
              </w:rPr>
            </w:pPr>
          </w:p>
        </w:tc>
      </w:tr>
      <w:tr>
        <w:trPr>
          <w:trHeight w:val="197"/>
        </w:trPr>
        <w:tc>
          <w:tcPr>
            <w:tcW w:w="34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Charles Schwab Participant-Directed Brokerage Account</w:t>
            </w:r>
          </w:p>
        </w:tc>
        <w:tc>
          <w:tcPr>
            <w:tcW w:w="21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Various common stock</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240" w:type="dxa"/>
            <w:vAlign w:val="bottom"/>
            <w:gridSpan w:val="2"/>
            <w:vMerge w:val="continue"/>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investments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6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MTI Common Stock Fund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Minerals Technologies Inc. Common Stock</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608 units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33,358</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37,028</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Pfizer Common Stock Fund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 Inc. Common Stock</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199 units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bottom w:val="single" w:sz="8" w:color="CCEEFF"/>
            </w:tcBorders>
            <w:shd w:val="clear" w:color="auto" w:fill="CCEEFF"/>
          </w:tcPr>
          <w:p>
            <w:pPr>
              <w:spacing w:after="0"/>
              <w:rPr>
                <w:sz w:val="18"/>
                <w:szCs w:val="18"/>
                <w:color w:val="auto"/>
              </w:rPr>
            </w:pPr>
          </w:p>
        </w:tc>
        <w:tc>
          <w:tcPr>
            <w:tcW w:w="6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common stock</w:t>
            </w: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509 loans to participants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with interest rates of 4.25%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 9.75% with various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Notes receivable from participants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maturity dates through</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21"/>
        </w:trPr>
        <w:tc>
          <w:tcPr>
            <w:tcW w:w="6580" w:type="dxa"/>
            <w:vAlign w:val="bottom"/>
            <w:tcBorders>
              <w:bottom w:val="single" w:sz="8" w:color="CCEEFF"/>
            </w:tcBorders>
            <w:gridSpan w:val="3"/>
            <w:vMerge w:val="continue"/>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bottom w:val="single" w:sz="8" w:color="CCEEFF"/>
            </w:tcBorders>
            <w:shd w:val="clear" w:color="auto" w:fill="CCEEFF"/>
          </w:tcPr>
          <w:p>
            <w:pPr>
              <w:spacing w:after="0"/>
              <w:rPr>
                <w:sz w:val="18"/>
                <w:szCs w:val="18"/>
                <w:color w:val="auto"/>
              </w:rPr>
            </w:pPr>
          </w:p>
        </w:tc>
        <w:tc>
          <w:tcPr>
            <w:tcW w:w="6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assets available for benefits</w:t>
            </w: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380,238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Parties in interest, as defined by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Savings and Investment Plan Committee, which administers the Minerals Technologies Inc. Savings and Investment Plan, have duly caused this annual report to be signed on their behalf by the undersigned thereunto duly authorized.</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Minerals Technologies Inc. Savings and Investment Plan</w:t>
      </w:r>
    </w:p>
    <w:p>
      <w:pPr>
        <w:spacing w:after="0" w:line="252" w:lineRule="exact"/>
        <w:rPr>
          <w:sz w:val="20"/>
          <w:szCs w:val="20"/>
          <w:color w:val="auto"/>
        </w:rPr>
      </w:pPr>
    </w:p>
    <w:p>
      <w:pPr>
        <w:ind w:left="100"/>
        <w:spacing w:after="0"/>
        <w:tabs>
          <w:tab w:leader="none" w:pos="1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C. Aldag</w:t>
      </w:r>
    </w:p>
    <w:p>
      <w:pPr>
        <w:spacing w:after="0" w:line="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Erik C. Aldag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Senior Vice President - Finance and Treasury,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Member, Minerals Technologies Inc. Savings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and Investment Plan Committee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filled as part of this Annual Report on Form 11-K: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34"/>
        </w:trPr>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120" w:type="dxa"/>
            <w:vAlign w:val="bottom"/>
          </w:tcPr>
          <w:p>
            <w:pPr>
              <w:spacing w:after="0"/>
              <w:rPr>
                <w:sz w:val="2"/>
                <w:szCs w:val="2"/>
                <w:color w:val="auto"/>
              </w:rPr>
            </w:pPr>
          </w:p>
        </w:tc>
      </w:tr>
      <w:tr>
        <w:trPr>
          <w:trHeight w:val="189"/>
        </w:trPr>
        <w:tc>
          <w:tcPr>
            <w:tcW w:w="11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520" w:type="dxa"/>
            <w:vAlign w:val="bottom"/>
            <w:shd w:val="clear" w:color="auto" w:fill="CCEEFF"/>
          </w:tcPr>
          <w:p>
            <w:pPr>
              <w:spacing w:after="0"/>
              <w:rPr>
                <w:sz w:val="16"/>
                <w:szCs w:val="16"/>
                <w:color w:val="auto"/>
              </w:rPr>
            </w:pPr>
          </w:p>
        </w:tc>
        <w:tc>
          <w:tcPr>
            <w:tcW w:w="9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Withum+Brown, PC</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81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Savings and Investment Plan Committee of Minerals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Technologies Inc. Savings and Investment Plan:</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333-160002, 33-59080, 333-62739, 333-138245, 333-206244, 333-249761 and 333-282854) on Form S-8 of Minerals Technologies Inc. of our report dated June 17, 2026, with respect to the statements of net assets available for benefits of Minerals Technologies Inc. Savings and Investment Plan as of December 31, 2025 and 2024, the related statements of changes in net assets available for benefits for the years ended December 31, 2025 and 2024, and the related notes, and the supplemental schedule, Schedule H, Line 4i – Schedule of Assets (Held at End of Year) as of December 31, 2025, which report appears in the December 31, 2025 annual report for Form 11-K of the Minerals Technologies Inc. Savings and Investment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 Smith+Brown, PC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abstractNum>
  <w:abstractNum w:abstractNumId="1">
    <w:nsid w:val="2EB141F2"/>
    <w:multiLevelType w:val="hybridMultilevel"/>
    <w:lvl w:ilvl="0">
      <w:lvlJc w:val="left"/>
      <w:lvlText w:val="%1."/>
      <w:numFmt w:val="upperLetter"/>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decimal"/>
      <w:start w:val="8"/>
    </w:lvl>
  </w:abstractNum>
  <w:abstractNum w:abstractNumId="10">
    <w:nsid w:val="1F16E9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2026-06-17T15:30:11Z</dcterms:created>
  <dcterms:modified xsi:type="dcterms:W3CDTF">2026-06-17T15:30:11Z</dcterms:modified>
</cp:coreProperties>
</file>