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2" w:lineRule="exact"/>
        <w:rPr>
          <w:sz w:val="24"/>
          <w:szCs w:val="24"/>
          <w:color w:val="auto"/>
        </w:rPr>
      </w:pPr>
    </w:p>
    <w:p>
      <w:pPr>
        <w:ind w:left="3440" w:hanging="198"/>
        <w:spacing w:after="0"/>
        <w:tabs>
          <w:tab w:leader="none" w:pos="34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w:t>
      </w:r>
    </w:p>
    <w:p>
      <w:pPr>
        <w:spacing w:after="0" w:line="24" w:lineRule="exact"/>
        <w:rPr>
          <w:rFonts w:ascii="MS PGothic" w:cs="MS PGothic" w:eastAsia="MS PGothic" w:hAnsi="MS PGothic"/>
          <w:sz w:val="16"/>
          <w:szCs w:val="16"/>
          <w:color w:val="auto"/>
          <w:highlight w:val="black"/>
        </w:rPr>
      </w:pPr>
    </w:p>
    <w:p>
      <w:pPr>
        <w:ind w:left="38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OF THE SECURITIES EXCHANGE ACT OF 1934</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quarterly period ended April 5, 2026</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3420" w:hanging="184"/>
        <w:spacing w:after="0"/>
        <w:tabs>
          <w:tab w:leader="none" w:pos="34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w:t>
      </w:r>
    </w:p>
    <w:p>
      <w:pPr>
        <w:spacing w:after="0" w:line="38" w:lineRule="exact"/>
        <w:rPr>
          <w:rFonts w:ascii="MS PGothic" w:cs="MS PGothic" w:eastAsia="MS PGothic" w:hAnsi="MS PGothic"/>
          <w:sz w:val="16"/>
          <w:szCs w:val="16"/>
          <w:color w:val="auto"/>
          <w:highlight w:val="black"/>
        </w:rPr>
      </w:pPr>
    </w:p>
    <w:p>
      <w:pPr>
        <w:ind w:left="38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OF THE SECURITIES EXCHANGE ACT OF 1934</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1-11430</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MINERALS TECHNOLOGIES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216" w:right="339" w:bottom="1440" w:gutter="0" w:footer="0" w:header="0"/>
        </w:sectPr>
      </w:pPr>
    </w:p>
    <w:p>
      <w:pPr>
        <w:spacing w:after="0" w:line="20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6"/>
          <w:szCs w:val="16"/>
          <w:b w:val="1"/>
          <w:bCs w:val="1"/>
          <w:color w:val="auto"/>
        </w:rPr>
        <w:t>25-1190717</w:t>
      </w:r>
    </w:p>
    <w:p>
      <w:pPr>
        <w:spacing w:after="0" w:line="28"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44" w:lineRule="exact"/>
        <w:rPr>
          <w:sz w:val="24"/>
          <w:szCs w:val="24"/>
          <w:color w:val="auto"/>
        </w:rPr>
      </w:pPr>
    </w:p>
    <w:p>
      <w:pPr>
        <w:sectPr>
          <w:pgSz w:w="11900" w:h="16838" w:orient="portrait"/>
          <w:cols w:equalWidth="0" w:num="2">
            <w:col w:w="6600" w:space="720"/>
            <w:col w:w="3920"/>
          </w:cols>
          <w:pgMar w:left="320" w:top="21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622 Third Avenue, New York, New York 10017-6707</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878-1800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40"/>
          </w:cols>
          <w:pgMar w:left="320" w:top="216" w:right="339" w:bottom="1440" w:gutter="0" w:footer="0" w:header="0"/>
          <w:type w:val="continuous"/>
        </w:sectPr>
      </w:pPr>
    </w:p>
    <w:p>
      <w:pPr>
        <w:spacing w:after="0" w:line="17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color w:val="auto"/>
        </w:rPr>
        <w:t>Common Stock, $0.10 par value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Trading Symbol</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MTX</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p>
      <w:pPr>
        <w:spacing w:after="0" w:line="28"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6"/>
          <w:szCs w:val="16"/>
          <w:color w:val="auto"/>
        </w:rPr>
        <w:t>New York Stock Exchange LLC</w:t>
      </w:r>
    </w:p>
    <w:p>
      <w:pPr>
        <w:spacing w:after="0" w:line="146" w:lineRule="exact"/>
        <w:rPr>
          <w:sz w:val="24"/>
          <w:szCs w:val="24"/>
          <w:color w:val="auto"/>
        </w:rPr>
      </w:pPr>
    </w:p>
    <w:p>
      <w:pPr>
        <w:sectPr>
          <w:pgSz w:w="11900" w:h="16838" w:orient="portrait"/>
          <w:cols w:equalWidth="0" w:num="3">
            <w:col w:w="4360" w:space="720"/>
            <w:col w:w="2220" w:space="720"/>
            <w:col w:w="3220"/>
          </w:cols>
          <w:pgMar w:left="320" w:top="216" w:right="339" w:bottom="1440" w:gutter="0" w:footer="0" w:header="0"/>
          <w:type w:val="continuous"/>
        </w:sect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47" w:lineRule="exact"/>
        <w:rPr>
          <w:sz w:val="24"/>
          <w:szCs w:val="24"/>
          <w:color w:val="auto"/>
        </w:rPr>
      </w:pPr>
    </w:p>
    <w:p>
      <w:pPr>
        <w:jc w:val="center"/>
        <w:ind w:right="20"/>
        <w:spacing w:after="0" w:line="184" w:lineRule="exact"/>
        <w:tabs>
          <w:tab w:leader="none" w:pos="20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highlight w:val="black"/>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highlight w:val="black"/>
        </w:rPr>
        <w:t>☐</w:t>
      </w:r>
    </w:p>
    <w:p>
      <w:pPr>
        <w:spacing w:after="0" w:line="203"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7" w:lineRule="exact"/>
        <w:rPr>
          <w:sz w:val="24"/>
          <w:szCs w:val="24"/>
          <w:color w:val="auto"/>
        </w:rPr>
      </w:pPr>
    </w:p>
    <w:p>
      <w:pPr>
        <w:jc w:val="center"/>
        <w:ind w:right="20"/>
        <w:spacing w:after="0" w:line="184" w:lineRule="exact"/>
        <w:tabs>
          <w:tab w:leader="none" w:pos="20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highlight w:val="black"/>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highlight w:val="black"/>
        </w:rPr>
        <w:t>☐</w:t>
      </w:r>
    </w:p>
    <w:p>
      <w:pPr>
        <w:spacing w:after="0" w:line="190"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and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6" w:right="339" w:bottom="1440" w:gutter="0" w:footer="0" w:header="0"/>
          <w:type w:val="continuous"/>
        </w:sectPr>
      </w:pPr>
    </w:p>
    <w:p>
      <w:pPr>
        <w:spacing w:after="0" w:line="6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Non-accelerated Filer </w:t>
      </w:r>
      <w:r>
        <w:rPr>
          <w:rFonts w:ascii="MS PGothic" w:cs="MS PGothic" w:eastAsia="MS PGothic" w:hAnsi="MS PGothic"/>
          <w:sz w:val="16"/>
          <w:szCs w:val="16"/>
          <w:color w:val="auto"/>
          <w:highlight w:val="black"/>
        </w:rPr>
        <w:t>☐</w:t>
      </w:r>
    </w:p>
    <w:p>
      <w:pPr>
        <w:spacing w:after="0" w:line="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Emerging Growth Company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Accelerated Filer </w:t>
      </w:r>
      <w:r>
        <w:rPr>
          <w:rFonts w:ascii="MS PGothic" w:cs="MS PGothic" w:eastAsia="MS PGothic" w:hAnsi="MS PGothic"/>
          <w:sz w:val="16"/>
          <w:szCs w:val="16"/>
          <w:color w:val="auto"/>
          <w:highlight w:val="black"/>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Smaller Reporting Company </w:t>
      </w:r>
      <w:r>
        <w:rPr>
          <w:rFonts w:ascii="MS PGothic" w:cs="MS PGothic" w:eastAsia="MS PGothic" w:hAnsi="MS PGothic"/>
          <w:sz w:val="16"/>
          <w:szCs w:val="16"/>
          <w:color w:val="auto"/>
          <w:highlight w:val="black"/>
        </w:rPr>
        <w:t>☐</w:t>
      </w:r>
    </w:p>
    <w:p>
      <w:pPr>
        <w:spacing w:after="0" w:line="338" w:lineRule="exact"/>
        <w:rPr>
          <w:sz w:val="24"/>
          <w:szCs w:val="24"/>
          <w:color w:val="auto"/>
        </w:rPr>
      </w:pPr>
    </w:p>
    <w:p>
      <w:pPr>
        <w:sectPr>
          <w:pgSz w:w="11900" w:h="16838" w:orient="portrait"/>
          <w:cols w:equalWidth="0" w:num="2">
            <w:col w:w="6040" w:space="720"/>
            <w:col w:w="4480"/>
          </w:cols>
          <w:pgMar w:left="320" w:top="216" w:right="339" w:bottom="1440" w:gutter="0" w:footer="0" w:header="0"/>
          <w:type w:val="continuous"/>
        </w:sect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118" w:lineRule="exact"/>
        <w:rPr>
          <w:sz w:val="24"/>
          <w:szCs w:val="24"/>
          <w:color w:val="auto"/>
        </w:rPr>
      </w:pPr>
    </w:p>
    <w:p>
      <w:pPr>
        <w:ind w:left="5100"/>
        <w:spacing w:after="0" w:line="184" w:lineRule="exact"/>
        <w:tabs>
          <w:tab w:leader="none" w:pos="572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highlight w:val="black"/>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highlight w:val="black"/>
        </w:rPr>
        <w:t>☒</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22, 2026, there were 31,008,734 shares of common stock, par value of $0.10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96"/>
        </w:trPr>
        <w:tc>
          <w:tcPr>
            <w:tcW w:w="10440" w:type="dxa"/>
            <w:vAlign w:val="bottom"/>
            <w:gridSpan w:val="22"/>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Income (Loss) for the three-month periods ended April 5, 2026 and March 30, 2025</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7"/>
        </w:trPr>
        <w:tc>
          <w:tcPr>
            <w:tcW w:w="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900" w:type="dxa"/>
            <w:vAlign w:val="bottom"/>
            <w:tcBorders>
              <w:top w:val="single" w:sz="8" w:color="0000EE"/>
            </w:tcBorders>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00" w:type="dxa"/>
            <w:vAlign w:val="bottom"/>
            <w:tcBorders>
              <w:top w:val="single" w:sz="8" w:color="CCEEFF"/>
            </w:tcBorders>
            <w:gridSpan w:val="4"/>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6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three-month periods ended April 5, 2026 and March 30,</w:t>
            </w:r>
          </w:p>
        </w:tc>
        <w:tc>
          <w:tcPr>
            <w:tcW w:w="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7"/>
        </w:trPr>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70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2025 (Unaudited)</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April 5, 2026 (Unaudited) and December 31, 2025</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three-month periods ended April 5, 2026 and March 30, 2025 (Unaudited)</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66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Shareholders’ Equity for the three-month periods ended April 5, 2026 , and March</w:t>
            </w: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7"/>
        </w:trPr>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70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30, 2025 (Unaudited)</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PART II.</w:t>
            </w:r>
          </w:p>
        </w:tc>
        <w:tc>
          <w:tcPr>
            <w:tcW w:w="9700" w:type="dxa"/>
            <w:vAlign w:val="bottom"/>
            <w:gridSpan w:val="20"/>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 Upon Senior Securities</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378"/>
        </w:trPr>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460" w:type="dxa"/>
            <w:vAlign w:val="bottom"/>
            <w:tcBorders>
              <w:top w:val="single" w:sz="8" w:color="CCEEFF"/>
            </w:tcBorders>
            <w:gridSpan w:val="14"/>
          </w:tcPr>
          <w:p>
            <w:pPr>
              <w:ind w:left="4860"/>
              <w:spacing w:after="0"/>
              <w:rPr>
                <w:sz w:val="20"/>
                <w:szCs w:val="20"/>
                <w:color w:val="auto"/>
              </w:rPr>
            </w:pPr>
            <w:r>
              <w:rPr>
                <w:rFonts w:ascii="Times New Roman" w:cs="Times New Roman" w:eastAsia="Times New Roman" w:hAnsi="Times New Roman"/>
                <w:sz w:val="13"/>
                <w:szCs w:val="13"/>
                <w:color w:val="auto"/>
              </w:rPr>
              <w:t>2</w:t>
            </w:r>
          </w:p>
        </w:tc>
        <w:tc>
          <w:tcPr>
            <w:tcW w:w="54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7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left="340" w:right="2800"/>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CONDENSED CONSOLIDATED STATEMENTS OF INCOME (LOSS)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171"/>
        </w:trPr>
        <w:tc>
          <w:tcPr>
            <w:tcW w:w="8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line="172" w:lineRule="exact"/>
              <w:rPr>
                <w:sz w:val="20"/>
                <w:szCs w:val="20"/>
                <w:color w:val="auto"/>
              </w:rPr>
            </w:pPr>
            <w:r>
              <w:rPr>
                <w:rFonts w:ascii="Times New Roman" w:cs="Times New Roman" w:eastAsia="Times New Roman" w:hAnsi="Times New Roman"/>
                <w:sz w:val="17"/>
                <w:szCs w:val="17"/>
                <w:b w:val="1"/>
                <w:bCs w:val="1"/>
                <w:color w:val="auto"/>
              </w:rPr>
              <w:t>Apr. 5,</w:t>
            </w:r>
          </w:p>
        </w:tc>
        <w:tc>
          <w:tcPr>
            <w:tcW w:w="200" w:type="dxa"/>
            <w:vAlign w:val="bottom"/>
          </w:tcPr>
          <w:p>
            <w:pPr>
              <w:spacing w:after="0"/>
              <w:rPr>
                <w:sz w:val="14"/>
                <w:szCs w:val="14"/>
                <w:color w:val="auto"/>
              </w:rPr>
            </w:pPr>
          </w:p>
        </w:tc>
        <w:tc>
          <w:tcPr>
            <w:tcW w:w="1020" w:type="dxa"/>
            <w:vAlign w:val="bottom"/>
          </w:tcPr>
          <w:p>
            <w:pPr>
              <w:jc w:val="right"/>
              <w:ind w:right="215"/>
              <w:spacing w:after="0" w:line="172" w:lineRule="exact"/>
              <w:rPr>
                <w:sz w:val="20"/>
                <w:szCs w:val="20"/>
                <w:color w:val="auto"/>
              </w:rPr>
            </w:pPr>
            <w:r>
              <w:rPr>
                <w:rFonts w:ascii="Times New Roman" w:cs="Times New Roman" w:eastAsia="Times New Roman" w:hAnsi="Times New Roman"/>
                <w:sz w:val="17"/>
                <w:szCs w:val="17"/>
                <w:b w:val="1"/>
                <w:bCs w:val="1"/>
                <w:color w:val="auto"/>
              </w:rPr>
              <w:t>Mar. 30,</w:t>
            </w:r>
          </w:p>
        </w:tc>
      </w:tr>
      <w:tr>
        <w:trPr>
          <w:trHeight w:val="227"/>
        </w:trPr>
        <w:tc>
          <w:tcPr>
            <w:tcW w:w="8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millions of dollars, except per share data)</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197"/>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546.9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491.8</w:t>
            </w:r>
          </w:p>
        </w:tc>
      </w:tr>
      <w:tr>
        <w:trPr>
          <w:trHeight w:val="203"/>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415.8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372.2</w:t>
            </w:r>
          </w:p>
        </w:tc>
      </w:tr>
      <w:tr>
        <w:trPr>
          <w:trHeight w:val="196"/>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Production margin</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119.6</w:t>
            </w:r>
          </w:p>
        </w:tc>
      </w:tr>
      <w:tr>
        <w:trPr>
          <w:trHeight w:val="202"/>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Marketing and administrative expenses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50.6</w:t>
            </w: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5.8</w:t>
            </w: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litigation accrual and credit losses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215.0</w:t>
            </w: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and other items</w:t>
            </w: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5.5</w:t>
            </w: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Litigation expenses</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2.8</w:t>
            </w:r>
          </w:p>
        </w:tc>
      </w:tr>
      <w:tr>
        <w:trPr>
          <w:trHeight w:val="196"/>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w:t>
            </w:r>
          </w:p>
        </w:tc>
      </w:tr>
      <w:tr>
        <w:trPr>
          <w:trHeight w:val="203"/>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03"/>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non-operating income (deductions), net</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19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non-operating deductions, net</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196"/>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(loss) before tax and equity in earnings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Provision (benefit) for taxes on income</w:t>
            </w: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in earnings of affiliates, net of tax</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w:t>
            </w:r>
          </w:p>
        </w:tc>
      </w:tr>
      <w:tr>
        <w:trPr>
          <w:trHeight w:val="196"/>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(loss)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Less: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w:t>
            </w:r>
          </w:p>
        </w:tc>
      </w:tr>
      <w:tr>
        <w:trPr>
          <w:trHeight w:val="236"/>
        </w:trPr>
        <w:tc>
          <w:tcPr>
            <w:tcW w:w="8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Net income (loss) attributable to Minerals Technologies Inc.</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(144.0)</w:t>
            </w:r>
          </w:p>
        </w:tc>
      </w:tr>
      <w:tr>
        <w:trPr>
          <w:trHeight w:val="183"/>
        </w:trPr>
        <w:tc>
          <w:tcPr>
            <w:tcW w:w="8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Earnings (loss) per share:</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(loss) attributable to Minerals Technologies Inc.</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8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Net income (loss) attributable to Minerals Technologies Inc.</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w:t>
            </w:r>
          </w:p>
        </w:tc>
      </w:tr>
      <w:tr>
        <w:trPr>
          <w:trHeight w:val="183"/>
        </w:trPr>
        <w:tc>
          <w:tcPr>
            <w:tcW w:w="8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dividends declared per common share</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0.12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0.11</w:t>
            </w:r>
          </w:p>
        </w:tc>
      </w:tr>
      <w:tr>
        <w:trPr>
          <w:trHeight w:val="183"/>
        </w:trPr>
        <w:tc>
          <w:tcPr>
            <w:tcW w:w="8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Shares used in computation of earnings (loss) per share:</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31.9</w:t>
            </w:r>
          </w:p>
        </w:tc>
      </w:tr>
      <w:tr>
        <w:trPr>
          <w:trHeight w:val="222"/>
        </w:trPr>
        <w:tc>
          <w:tcPr>
            <w:tcW w:w="8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31.9</w:t>
            </w: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CONDENSED CONSOLIDATED STATEMENTS OF COMPREHENSIVE INCOME (LOSS) (Unaudited)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171"/>
        </w:trPr>
        <w:tc>
          <w:tcPr>
            <w:tcW w:w="8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line="172" w:lineRule="exact"/>
              <w:rPr>
                <w:sz w:val="20"/>
                <w:szCs w:val="20"/>
                <w:color w:val="auto"/>
              </w:rPr>
            </w:pPr>
            <w:r>
              <w:rPr>
                <w:rFonts w:ascii="Times New Roman" w:cs="Times New Roman" w:eastAsia="Times New Roman" w:hAnsi="Times New Roman"/>
                <w:sz w:val="17"/>
                <w:szCs w:val="17"/>
                <w:b w:val="1"/>
                <w:bCs w:val="1"/>
                <w:color w:val="auto"/>
              </w:rPr>
              <w:t>Apr. 5,</w:t>
            </w:r>
          </w:p>
        </w:tc>
        <w:tc>
          <w:tcPr>
            <w:tcW w:w="200" w:type="dxa"/>
            <w:vAlign w:val="bottom"/>
          </w:tcPr>
          <w:p>
            <w:pPr>
              <w:spacing w:after="0"/>
              <w:rPr>
                <w:sz w:val="14"/>
                <w:szCs w:val="14"/>
                <w:color w:val="auto"/>
              </w:rPr>
            </w:pPr>
          </w:p>
        </w:tc>
        <w:tc>
          <w:tcPr>
            <w:tcW w:w="1020" w:type="dxa"/>
            <w:vAlign w:val="bottom"/>
          </w:tcPr>
          <w:p>
            <w:pPr>
              <w:jc w:val="right"/>
              <w:ind w:right="215"/>
              <w:spacing w:after="0" w:line="172" w:lineRule="exact"/>
              <w:rPr>
                <w:sz w:val="20"/>
                <w:szCs w:val="20"/>
                <w:color w:val="auto"/>
              </w:rPr>
            </w:pPr>
            <w:r>
              <w:rPr>
                <w:rFonts w:ascii="Times New Roman" w:cs="Times New Roman" w:eastAsia="Times New Roman" w:hAnsi="Times New Roman"/>
                <w:sz w:val="17"/>
                <w:szCs w:val="17"/>
                <w:b w:val="1"/>
                <w:bCs w:val="1"/>
                <w:color w:val="auto"/>
              </w:rPr>
              <w:t>Mar. 30,</w:t>
            </w:r>
          </w:p>
        </w:tc>
      </w:tr>
      <w:tr>
        <w:trPr>
          <w:trHeight w:val="227"/>
        </w:trPr>
        <w:tc>
          <w:tcPr>
            <w:tcW w:w="8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millions of dollars)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197"/>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9.9</w:t>
            </w: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Pension and postretirement plan adjustments</w:t>
            </w: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0.1</w:t>
            </w:r>
          </w:p>
        </w:tc>
      </w:tr>
      <w:tr>
        <w:trPr>
          <w:trHeight w:val="20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gain (loss) on derivative instruments</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19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other comprehensive income (loss), net of tax</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9.7</w:t>
            </w:r>
          </w:p>
        </w:tc>
      </w:tr>
      <w:tr>
        <w:trPr>
          <w:trHeight w:val="19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income (loss) including non-controlling interests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r>
      <w:tr>
        <w:trPr>
          <w:trHeight w:val="203"/>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Comprehensive income attributable to non-controlling interests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0.4</w:t>
            </w:r>
          </w:p>
        </w:tc>
      </w:tr>
      <w:tr>
        <w:trPr>
          <w:trHeight w:val="196"/>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 (loss) attributable to Minerals Technologies Inc.</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w:t>
            </w: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Apr. 5,</w:t>
            </w:r>
          </w:p>
        </w:tc>
        <w:tc>
          <w:tcPr>
            <w:tcW w:w="20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Dec. 31,</w:t>
            </w:r>
          </w:p>
        </w:tc>
        <w:tc>
          <w:tcPr>
            <w:tcW w:w="0" w:type="dxa"/>
            <w:vAlign w:val="bottom"/>
          </w:tcPr>
          <w:p>
            <w:pPr>
              <w:spacing w:after="0"/>
              <w:rPr>
                <w:sz w:val="1"/>
                <w:szCs w:val="1"/>
                <w:color w:val="auto"/>
              </w:rPr>
            </w:pPr>
          </w:p>
        </w:tc>
      </w:tr>
      <w:tr>
        <w:trPr>
          <w:trHeight w:val="226"/>
        </w:trPr>
        <w:tc>
          <w:tcPr>
            <w:tcW w:w="3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millions of dollars)</w:t>
            </w:r>
          </w:p>
        </w:tc>
        <w:tc>
          <w:tcPr>
            <w:tcW w:w="51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83"/>
        </w:trPr>
        <w:tc>
          <w:tcPr>
            <w:tcW w:w="3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5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60" w:type="dxa"/>
            <w:vAlign w:val="bottom"/>
            <w:vMerge w:val="continue"/>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329.0</w:t>
            </w:r>
          </w:p>
        </w:tc>
        <w:tc>
          <w:tcPr>
            <w:tcW w:w="0" w:type="dxa"/>
            <w:vAlign w:val="bottom"/>
          </w:tcPr>
          <w:p>
            <w:pPr>
              <w:spacing w:after="0"/>
              <w:rPr>
                <w:sz w:val="1"/>
                <w:szCs w:val="1"/>
                <w:color w:val="auto"/>
              </w:rPr>
            </w:pPr>
          </w:p>
        </w:tc>
      </w:tr>
      <w:tr>
        <w:trPr>
          <w:trHeight w:val="203"/>
        </w:trPr>
        <w:tc>
          <w:tcPr>
            <w:tcW w:w="3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5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412.7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400.1</w:t>
            </w:r>
          </w:p>
        </w:tc>
        <w:tc>
          <w:tcPr>
            <w:tcW w:w="0" w:type="dxa"/>
            <w:vAlign w:val="bottom"/>
          </w:tcPr>
          <w:p>
            <w:pPr>
              <w:spacing w:after="0"/>
              <w:rPr>
                <w:sz w:val="1"/>
                <w:szCs w:val="1"/>
                <w:color w:val="auto"/>
              </w:rPr>
            </w:pPr>
          </w:p>
        </w:tc>
      </w:tr>
      <w:tr>
        <w:trPr>
          <w:trHeight w:val="203"/>
        </w:trPr>
        <w:tc>
          <w:tcPr>
            <w:tcW w:w="3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350.2</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5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63.6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72.7</w:t>
            </w:r>
          </w:p>
        </w:tc>
        <w:tc>
          <w:tcPr>
            <w:tcW w:w="0" w:type="dxa"/>
            <w:vAlign w:val="bottom"/>
          </w:tcPr>
          <w:p>
            <w:pPr>
              <w:spacing w:after="0"/>
              <w:rPr>
                <w:sz w:val="1"/>
                <w:szCs w:val="1"/>
                <w:color w:val="auto"/>
              </w:rPr>
            </w:pPr>
          </w:p>
        </w:tc>
      </w:tr>
      <w:tr>
        <w:trPr>
          <w:trHeight w:val="196"/>
        </w:trPr>
        <w:tc>
          <w:tcPr>
            <w:tcW w:w="3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1,155.5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1,155.6</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2,317.4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2,308.9</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depletion</w:t>
            </w:r>
          </w:p>
        </w:tc>
        <w:tc>
          <w:tcPr>
            <w:tcW w:w="5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(1,283.9)</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5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1,026.6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1,025.0</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915.6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915.9</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5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208.7</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 and deferred charges</w:t>
            </w:r>
          </w:p>
        </w:tc>
        <w:tc>
          <w:tcPr>
            <w:tcW w:w="5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146.4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148.6</w:t>
            </w:r>
          </w:p>
        </w:tc>
        <w:tc>
          <w:tcPr>
            <w:tcW w:w="0" w:type="dxa"/>
            <w:vAlign w:val="bottom"/>
          </w:tcPr>
          <w:p>
            <w:pPr>
              <w:spacing w:after="0"/>
              <w:rPr>
                <w:sz w:val="1"/>
                <w:szCs w:val="1"/>
                <w:color w:val="auto"/>
              </w:rPr>
            </w:pPr>
          </w:p>
        </w:tc>
      </w:tr>
      <w:tr>
        <w:trPr>
          <w:trHeight w:val="196"/>
        </w:trPr>
        <w:tc>
          <w:tcPr>
            <w:tcW w:w="3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assets</w:t>
            </w:r>
          </w:p>
        </w:tc>
        <w:tc>
          <w:tcPr>
            <w:tcW w:w="5140" w:type="dxa"/>
            <w:vAlign w:val="bottom"/>
          </w:tcPr>
          <w:p>
            <w:pPr>
              <w:spacing w:after="0"/>
              <w:rPr>
                <w:sz w:val="17"/>
                <w:szCs w:val="17"/>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3,465.3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3,469.0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4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00" w:type="dxa"/>
            <w:vAlign w:val="bottom"/>
          </w:tcPr>
          <w:p>
            <w:pPr>
              <w:ind w:left="2500"/>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8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debt</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0.4</w:t>
            </w: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34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6.3</w:t>
            </w:r>
          </w:p>
        </w:tc>
      </w:tr>
      <w:tr>
        <w:trPr>
          <w:trHeight w:val="20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199.7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187.9</w:t>
            </w:r>
          </w:p>
        </w:tc>
      </w:tr>
      <w:tr>
        <w:trPr>
          <w:trHeight w:val="203"/>
        </w:trPr>
        <w:tc>
          <w:tcPr>
            <w:tcW w:w="8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331.5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360.8</w:t>
            </w:r>
          </w:p>
        </w:tc>
      </w:tr>
      <w:tr>
        <w:trPr>
          <w:trHeight w:val="196"/>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543.4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555.4</w:t>
            </w:r>
          </w:p>
        </w:tc>
      </w:tr>
      <w:tr>
        <w:trPr>
          <w:trHeight w:val="203"/>
        </w:trPr>
        <w:tc>
          <w:tcPr>
            <w:tcW w:w="8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net of unamortized discount and deferred financing costs</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954.0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955.0</w:t>
            </w: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34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90.7</w:t>
            </w: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pension and postretirement benefits</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19.5</w:t>
            </w:r>
          </w:p>
        </w:tc>
      </w:tr>
      <w:tr>
        <w:trPr>
          <w:trHeight w:val="203"/>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98.8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98.7</w:t>
            </w:r>
          </w:p>
        </w:tc>
      </w:tr>
      <w:tr>
        <w:trPr>
          <w:trHeight w:val="196"/>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1,703.8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1,719.3</w:t>
            </w:r>
          </w:p>
        </w:tc>
      </w:tr>
      <w:tr>
        <w:trPr>
          <w:trHeight w:val="196"/>
        </w:trPr>
        <w:tc>
          <w:tcPr>
            <w:tcW w:w="8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34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5.0</w:t>
            </w:r>
          </w:p>
        </w:tc>
      </w:tr>
      <w:tr>
        <w:trPr>
          <w:trHeight w:val="20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535.8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535.1</w:t>
            </w: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34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2,514.4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2,481.9</w:t>
            </w:r>
          </w:p>
        </w:tc>
      </w:tr>
      <w:tr>
        <w:trPr>
          <w:trHeight w:val="20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(340.4)</w:t>
            </w:r>
          </w:p>
        </w:tc>
      </w:tr>
      <w:tr>
        <w:trPr>
          <w:trHeight w:val="203"/>
        </w:trPr>
        <w:tc>
          <w:tcPr>
            <w:tcW w:w="8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Less common stock held in treasury</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(968.2)</w:t>
            </w:r>
          </w:p>
        </w:tc>
      </w:tr>
      <w:tr>
        <w:trPr>
          <w:trHeight w:val="183"/>
        </w:trPr>
        <w:tc>
          <w:tcPr>
            <w:tcW w:w="8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Total Minerals Technologies Inc. shareholders’ equity</w:t>
            </w:r>
          </w:p>
        </w:tc>
        <w:tc>
          <w:tcPr>
            <w:tcW w:w="34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1,728.1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1,713.4</w:t>
            </w: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36.3</w:t>
            </w:r>
          </w:p>
        </w:tc>
      </w:tr>
      <w:tr>
        <w:trPr>
          <w:trHeight w:val="196"/>
        </w:trPr>
        <w:tc>
          <w:tcPr>
            <w:tcW w:w="87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1,761.5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1,749.7</w:t>
            </w:r>
          </w:p>
        </w:tc>
      </w:tr>
      <w:tr>
        <w:trPr>
          <w:trHeight w:val="196"/>
        </w:trPr>
        <w:tc>
          <w:tcPr>
            <w:tcW w:w="87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3,465.3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3,469.0</w:t>
            </w:r>
          </w:p>
        </w:tc>
      </w:tr>
      <w:tr>
        <w:trPr>
          <w:trHeight w:val="20"/>
        </w:trPr>
        <w:tc>
          <w:tcPr>
            <w:tcW w:w="8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Unaudited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Condensed from audited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left="340" w:right="2800"/>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CONDENSED CONSOLIDATED STATEMENTS OF CASH FLOWS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171"/>
        </w:trPr>
        <w:tc>
          <w:tcPr>
            <w:tcW w:w="8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line="172" w:lineRule="exact"/>
              <w:rPr>
                <w:sz w:val="20"/>
                <w:szCs w:val="20"/>
                <w:color w:val="auto"/>
              </w:rPr>
            </w:pPr>
            <w:r>
              <w:rPr>
                <w:rFonts w:ascii="Times New Roman" w:cs="Times New Roman" w:eastAsia="Times New Roman" w:hAnsi="Times New Roman"/>
                <w:sz w:val="17"/>
                <w:szCs w:val="17"/>
                <w:b w:val="1"/>
                <w:bCs w:val="1"/>
                <w:color w:val="auto"/>
              </w:rPr>
              <w:t>Apr. 5,</w:t>
            </w:r>
          </w:p>
        </w:tc>
        <w:tc>
          <w:tcPr>
            <w:tcW w:w="200" w:type="dxa"/>
            <w:vAlign w:val="bottom"/>
          </w:tcPr>
          <w:p>
            <w:pPr>
              <w:spacing w:after="0"/>
              <w:rPr>
                <w:sz w:val="14"/>
                <w:szCs w:val="14"/>
                <w:color w:val="auto"/>
              </w:rPr>
            </w:pPr>
          </w:p>
        </w:tc>
        <w:tc>
          <w:tcPr>
            <w:tcW w:w="1020" w:type="dxa"/>
            <w:vAlign w:val="bottom"/>
          </w:tcPr>
          <w:p>
            <w:pPr>
              <w:jc w:val="right"/>
              <w:ind w:right="215"/>
              <w:spacing w:after="0" w:line="172" w:lineRule="exact"/>
              <w:rPr>
                <w:sz w:val="20"/>
                <w:szCs w:val="20"/>
                <w:color w:val="auto"/>
              </w:rPr>
            </w:pPr>
            <w:r>
              <w:rPr>
                <w:rFonts w:ascii="Times New Roman" w:cs="Times New Roman" w:eastAsia="Times New Roman" w:hAnsi="Times New Roman"/>
                <w:sz w:val="17"/>
                <w:szCs w:val="17"/>
                <w:b w:val="1"/>
                <w:bCs w:val="1"/>
                <w:color w:val="auto"/>
              </w:rPr>
              <w:t>Mar. 30,</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millions of dollars)</w:t>
            </w:r>
          </w:p>
        </w:tc>
        <w:tc>
          <w:tcPr>
            <w:tcW w:w="220" w:type="dxa"/>
            <w:vAlign w:val="bottom"/>
          </w:tcPr>
          <w:p>
            <w:pPr>
              <w:spacing w:after="0"/>
              <w:rPr>
                <w:sz w:val="17"/>
                <w:szCs w:val="17"/>
                <w:color w:val="auto"/>
              </w:rPr>
            </w:pP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6"/>
        </w:trPr>
        <w:tc>
          <w:tcPr>
            <w:tcW w:w="87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(used in) operating activities: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depletion, and amortization</w:t>
            </w: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Reduction of right of use asset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for litigation accrual and credit losses</w:t>
            </w: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215.0</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and other items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non-cash items, net</w:t>
            </w: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changes in operating assets and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96"/>
        </w:trPr>
        <w:tc>
          <w:tcPr>
            <w:tcW w:w="8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sale of short-term investments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short-term investments</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196"/>
        </w:trPr>
        <w:tc>
          <w:tcPr>
            <w:tcW w:w="8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Net proceeds from issuance of short-term debt</w:t>
            </w: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Purchase of common stock for treasury</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issuance of stock under option plan</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7"/>
                <w:szCs w:val="17"/>
                <w:color w:val="auto"/>
              </w:rPr>
              <w:t>Excess tax benefits related to stock incentive programs</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 paid to non-controlling interests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dividends paid</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19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196"/>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196"/>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03"/>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329.0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333.1</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315.9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306.6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Interest paid</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183"/>
        </w:trPr>
        <w:tc>
          <w:tcPr>
            <w:tcW w:w="87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Income taxes paid</w:t>
            </w:r>
          </w:p>
        </w:tc>
        <w:tc>
          <w:tcPr>
            <w:tcW w:w="2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Non-cash financing activities: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Treasury stock purchases settled after period end</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183"/>
        </w:trPr>
        <w:tc>
          <w:tcPr>
            <w:tcW w:w="87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Excise tax charged to equity not paid</w:t>
            </w:r>
          </w:p>
        </w:tc>
        <w:tc>
          <w:tcPr>
            <w:tcW w:w="2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left="340" w:right="1760"/>
        <w:spacing w:after="0" w:line="27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CONDENSED CONSOLIDATED STATEMENTS OF CHANGES IN SHAREHOLDERS’ EQUITY (Unaudited)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 Attributable to MTI</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Balance as of December 31, 2025</w:t>
            </w: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535.1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2,481.9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(340.4)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(968.2)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1,749.7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 net</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Dividends paid to non-controlling</w:t>
            </w:r>
          </w:p>
        </w:tc>
        <w:tc>
          <w:tcPr>
            <w:tcW w:w="200" w:type="dxa"/>
            <w:vAlign w:val="bottom"/>
          </w:tcPr>
          <w:p>
            <w:pPr>
              <w:spacing w:after="0"/>
              <w:rPr>
                <w:sz w:val="10"/>
                <w:szCs w:val="10"/>
                <w:color w:val="auto"/>
              </w:rPr>
            </w:pPr>
          </w:p>
        </w:tc>
        <w:tc>
          <w:tcPr>
            <w:tcW w:w="10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2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pursuant to</w:t>
            </w: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employee stock compensation</w:t>
            </w: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2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Purchase of common stock for</w:t>
            </w:r>
          </w:p>
        </w:tc>
        <w:tc>
          <w:tcPr>
            <w:tcW w:w="200" w:type="dxa"/>
            <w:vAlign w:val="bottom"/>
          </w:tcPr>
          <w:p>
            <w:pPr>
              <w:spacing w:after="0"/>
              <w:rPr>
                <w:sz w:val="10"/>
                <w:szCs w:val="10"/>
                <w:color w:val="auto"/>
              </w:rPr>
            </w:pPr>
          </w:p>
        </w:tc>
        <w:tc>
          <w:tcPr>
            <w:tcW w:w="10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2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w:t>
            </w: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RSU's for tax</w:t>
            </w:r>
          </w:p>
        </w:tc>
        <w:tc>
          <w:tcPr>
            <w:tcW w:w="200" w:type="dxa"/>
            <w:vAlign w:val="bottom"/>
          </w:tcPr>
          <w:p>
            <w:pPr>
              <w:spacing w:after="0"/>
              <w:rPr>
                <w:sz w:val="10"/>
                <w:szCs w:val="10"/>
                <w:color w:val="auto"/>
              </w:rPr>
            </w:pPr>
          </w:p>
        </w:tc>
        <w:tc>
          <w:tcPr>
            <w:tcW w:w="10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71"/>
        </w:trPr>
        <w:tc>
          <w:tcPr>
            <w:tcW w:w="2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Balance as of April 5, 2026</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535.8</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2,514.4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(353.5)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(973.6)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1,761.5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 Attributable to MTI</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Balance as of December 31, 2024</w:t>
            </w: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523.9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2,514.5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(387.1)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(909.3)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1,783.2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net</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pursuant to</w:t>
            </w:r>
          </w:p>
        </w:tc>
        <w:tc>
          <w:tcPr>
            <w:tcW w:w="200" w:type="dxa"/>
            <w:vAlign w:val="bottom"/>
          </w:tcPr>
          <w:p>
            <w:pPr>
              <w:spacing w:after="0"/>
              <w:rPr>
                <w:sz w:val="10"/>
                <w:szCs w:val="10"/>
                <w:color w:val="auto"/>
              </w:rPr>
            </w:pPr>
          </w:p>
        </w:tc>
        <w:tc>
          <w:tcPr>
            <w:tcW w:w="10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9"/>
        </w:trPr>
        <w:tc>
          <w:tcPr>
            <w:tcW w:w="20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employee stock compensation</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Purchase of common stock for</w:t>
            </w:r>
          </w:p>
        </w:tc>
        <w:tc>
          <w:tcPr>
            <w:tcW w:w="2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07"/>
        </w:trPr>
        <w:tc>
          <w:tcPr>
            <w:tcW w:w="20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w:t>
            </w:r>
          </w:p>
        </w:tc>
        <w:tc>
          <w:tcPr>
            <w:tcW w:w="20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8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RSU's for tax</w:t>
            </w:r>
          </w:p>
        </w:tc>
        <w:tc>
          <w:tcPr>
            <w:tcW w:w="2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07"/>
        </w:trPr>
        <w:tc>
          <w:tcPr>
            <w:tcW w:w="20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20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80" w:type="dxa"/>
            <w:vAlign w:val="bottom"/>
            <w:vMerge w:val="continue"/>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Balance as of March 30, 2025</w:t>
            </w: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523.9</w:t>
            </w:r>
          </w:p>
        </w:tc>
        <w:tc>
          <w:tcPr>
            <w:tcW w:w="120" w:type="dxa"/>
            <w:vAlign w:val="bottom"/>
          </w:tcPr>
          <w:p>
            <w:pPr>
              <w:spacing w:after="0"/>
              <w:rPr>
                <w:sz w:val="12"/>
                <w:szCs w:val="12"/>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2,366.9</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(376.8)</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(920.8)</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1,634.8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NOTES TO CONDENSED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management of Minerals Technologies Inc. (together with its subsidiaries, the “Company,” “MTI,” “we,” “us,” or “our”) in accordance with the rules and regulations of the United States Securities and Exchange Commission. Accordingly, certain information and footnote disclosures normally included in financial statements prepared in accordance with U.S. generally accepted accounting principles have been condensed or omitted. Therefore, these financial statements should be read in conjunction with the consolidated financial statements and notes thereto contained in the Company’s Annual Report on Form 10-K for the year ended December 31, 2025. In the opinion of management, all adjustments, consisting solely of normal recurring adjustments necessary for a fair presentation of the financial information for the periods indicated, have been included. The results for the three-month period ended April 5, 2026 are not necessarily indicative of the results that may be expected for the year ending December 31,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 global, technology-driven specialty minerals company that develops, produces, and markets a wide range of minerals and mineral-based products and services. We utilize global mineral reserves with our core technologies and applications to deliver innovative solutions for products that are part of everyday life. We serve customers in consumer and industrial markets worldwide.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two reportable segments: Consumer &amp; Specialties and Engineered Solutions.</w:t>
      </w:r>
    </w:p>
    <w:p>
      <w:pPr>
        <w:spacing w:after="0" w:line="239" w:lineRule="exact"/>
        <w:rPr>
          <w:sz w:val="20"/>
          <w:szCs w:val="20"/>
          <w:color w:val="auto"/>
        </w:rPr>
      </w:pPr>
    </w:p>
    <w:p>
      <w:pPr>
        <w:ind w:left="660"/>
        <w:spacing w:after="0" w:line="313" w:lineRule="auto"/>
        <w:rPr>
          <w:sz w:val="20"/>
          <w:szCs w:val="20"/>
          <w:color w:val="auto"/>
        </w:rPr>
      </w:pPr>
      <w:r>
        <w:rPr>
          <w:rFonts w:ascii="Times New Roman" w:cs="Times New Roman" w:eastAsia="Times New Roman" w:hAnsi="Times New Roman"/>
          <w:sz w:val="18"/>
          <w:szCs w:val="18"/>
          <w:color w:val="auto"/>
        </w:rPr>
        <w:t>The Consumer &amp; Specialties segment serves consumer end markets directly with mineral-to-market finished products and also provides specialty mineral-based solutions and technologies that are an essential component of our customers' finished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-274955</wp:posOffset>
            </wp:positionV>
            <wp:extent cx="5143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169" w:lineRule="exact"/>
        <w:rPr>
          <w:sz w:val="20"/>
          <w:szCs w:val="20"/>
          <w:color w:val="auto"/>
        </w:rPr>
      </w:pPr>
    </w:p>
    <w:p>
      <w:pPr>
        <w:ind w:left="660"/>
        <w:spacing w:after="0" w:line="313" w:lineRule="auto"/>
        <w:rPr>
          <w:sz w:val="20"/>
          <w:szCs w:val="20"/>
          <w:color w:val="auto"/>
        </w:rPr>
      </w:pPr>
      <w:r>
        <w:rPr>
          <w:rFonts w:ascii="Times New Roman" w:cs="Times New Roman" w:eastAsia="Times New Roman" w:hAnsi="Times New Roman"/>
          <w:sz w:val="18"/>
          <w:szCs w:val="18"/>
          <w:color w:val="auto"/>
        </w:rPr>
        <w:t>The Engineered Solutions segment serves industrial end markets with engineered systems, mineral blends, and technologies that are designed to improve our customers' manufacturing processes and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-274955</wp:posOffset>
            </wp:positionV>
            <wp:extent cx="5143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employs accounting policies that are in accordance with U.S. generally accepted accounting principles and require management to make estimates and assumptions relating to the reporting of assets and liabilities and the disclosure of contingent assets and liabilities at the date of the Condensed Consolidated Financial Statements and the reported amounts of revenue and expenses during the reported period. Significant estimates include those related to revenue recognition, valuation of long-lived assets, goodwill and other intangible assets, certain pension plan assumptions, valuation of deferred income tax assets, provision for credit losses, and legal and environmental liabilities. Actual results could differ from those estimates.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 financial information to conform to the presentation used in the Condensed Consolidated Financial Statements for the three-month periods ended April 5, 2026.</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to accounting principles generally accepted in the United States of America (U.S. GAAP) are established by the Financial Accounting Standards Board (FASB) in the form of accounting standards updates (ASUs) to the FASB’s Accounting Standards Codification. The Company considers the applicability and impact of all ASUs. ASUs not listed below were assessed and determined to be either not applicable or are expected to have minimal impact on our consolidated financial position and results of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NOTES TO CONDENSED CONSOLIDATED FINANCIAL STATEMENTS (Unaudited)</w:t>
      </w:r>
    </w:p>
    <w:p>
      <w:pPr>
        <w:spacing w:after="0" w:line="20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Income Statement-Reporting Comprehensive Income-Expense Disaggregation Disclosures (Subtopic 220-40): Disaggregation of Income Statement Expenses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that requires entities to disclose additional information in the notes to the financial statements about prescribed categories underlying any relevant income statement expense caption. The new standard is effective for annual reporting periods beginning after December 15, 2026, and interim periods within annual reporting periods beginning after December 15, 2027. The adoption of this standard is not expected to have a material impact on the Company’s Consolidated Financial Statements but will result in disaggregation of the Company's income statement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from Contracts with Customers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(product line) for the three-month periods ended April 5, 2026 and March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8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Apr. 5,</w:t>
            </w:r>
          </w:p>
        </w:tc>
        <w:tc>
          <w:tcPr>
            <w:tcW w:w="200" w:type="dxa"/>
            <w:vAlign w:val="bottom"/>
          </w:tcPr>
          <w:p>
            <w:pPr>
              <w:spacing w:after="0"/>
              <w:rPr>
                <w:sz w:val="16"/>
                <w:szCs w:val="16"/>
                <w:color w:val="auto"/>
              </w:rPr>
            </w:pPr>
          </w:p>
        </w:tc>
        <w:tc>
          <w:tcPr>
            <w:tcW w:w="10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Mar. 30,</w:t>
            </w:r>
          </w:p>
        </w:tc>
        <w:tc>
          <w:tcPr>
            <w:tcW w:w="0" w:type="dxa"/>
            <w:vAlign w:val="bottom"/>
          </w:tcPr>
          <w:p>
            <w:pPr>
              <w:spacing w:after="0"/>
              <w:rPr>
                <w:sz w:val="1"/>
                <w:szCs w:val="1"/>
                <w:color w:val="auto"/>
              </w:rPr>
            </w:pPr>
          </w:p>
        </w:tc>
      </w:t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6"/>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Household &amp; Personal Care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Specialty Additives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&amp; Specialties Segment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High-Temperature Technologies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Environmental &amp; Infrastructure</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 Segment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09"/>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Earnings (loss) per Share (EPS)</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(loss) per share are based upon the weighted average number of common shares outstanding during the period. Diluted earnings (loss) per share are based upon the weighted average number of common shares outstanding during the period, assuming the issuance of common shares for all potentially dilutive common shares outstanding.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8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Apr. 5,</w:t>
            </w:r>
          </w:p>
        </w:tc>
        <w:tc>
          <w:tcPr>
            <w:tcW w:w="200" w:type="dxa"/>
            <w:vAlign w:val="bottom"/>
          </w:tcPr>
          <w:p>
            <w:pPr>
              <w:spacing w:after="0"/>
              <w:rPr>
                <w:sz w:val="16"/>
                <w:szCs w:val="16"/>
                <w:color w:val="auto"/>
              </w:rPr>
            </w:pPr>
          </w:p>
        </w:tc>
        <w:tc>
          <w:tcPr>
            <w:tcW w:w="10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Mar. 30,</w:t>
            </w:r>
          </w:p>
        </w:tc>
        <w:tc>
          <w:tcPr>
            <w:tcW w:w="0" w:type="dxa"/>
            <w:vAlign w:val="bottom"/>
          </w:tcPr>
          <w:p>
            <w:pPr>
              <w:spacing w:after="0"/>
              <w:rPr>
                <w:sz w:val="1"/>
                <w:szCs w:val="1"/>
                <w:color w:val="auto"/>
              </w:rPr>
            </w:pPr>
          </w:p>
        </w:tc>
      </w:t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 except per share data)</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Minerals Technologies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effect of stock options and deferred restricted stock units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adjusted</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 attributable to Minerals Technologies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share attributable to Minerals Technologies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5600"/>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NOTES TO CONDENSED CONSOLIDATED FINANCIAL STATEMENTS (Unaudited)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Of the options outstanding of 1,678,847 and 1,596,748 for the three-month periods ended April 5, 2026 and March 30, 2025, respectively, options to purchase 943,056 shares and 1,596,748 shares of common stock for the three-month periods ending April 5, 2026 and March 30, 2025, respectively, were not included in the computation of diluted earnings (loss) per share because they were anti-dilutive, as the exercise prices of the options were greater than the average market price of the common shares. Due to our net loss for the three-month period ending March 30, 2025, all options to purchase shares were anti-dilutive and were excluded for this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Restructuring and Other Items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2025, the Company initiated a cost savings program, primarily through workforce reductions, and recorded a charge of $5.5 million for severance and other related costs associated with this program.</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of restructuring charges recorded within the Condensed Consolidated Statements of Income (Loss) and the segment they relate 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700" w:type="dxa"/>
            <w:vAlign w:val="bottom"/>
          </w:tcPr>
          <w:p>
            <w:pPr>
              <w:spacing w:after="0"/>
              <w:rPr>
                <w:sz w:val="16"/>
                <w:szCs w:val="16"/>
                <w:color w:val="auto"/>
              </w:rPr>
            </w:pPr>
          </w:p>
        </w:tc>
        <w:tc>
          <w:tcPr>
            <w:tcW w:w="9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Apr. 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Mar. 30,</w:t>
            </w:r>
          </w:p>
        </w:tc>
      </w:t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Severance and other related costs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&amp; Specialties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Engineered Solutions</w:t>
            </w:r>
          </w:p>
        </w:tc>
        <w:tc>
          <w:tcPr>
            <w:tcW w:w="96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9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restructuring and other items</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8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At April 5, 2026, the Company had $4.3 million included within other current liabilities in the Condensed Consolidated Balance Sheet for cash expenditures needed to satisfy remaining obligations under workforce reduction initiatives. The Company expects to pay these amounts within the next twelve months.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The following table is a reconciliation of our restructuring liability balance relating to workforce reductions as of April 5, 2026:</w:t>
            </w: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4"/>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liability, December 31, 2025</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liability, April 5, 2026</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10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Income Taxes</w:t>
      </w:r>
    </w:p>
    <w:p>
      <w:pPr>
        <w:spacing w:after="0" w:line="2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7"/>
          <w:szCs w:val="17"/>
          <w:color w:val="auto"/>
        </w:rPr>
        <w:t>Provision (benefit) for taxes was $9.9 million and $(32.1) million during the three-month periods ended April 5, 2026 and March 30, 2025. The benefit from taxes for the three-month period ended March 30, 2025 relates to pre-tax losses, primarily as a result of the provision for litigation accrual and credit losses recorded in the first quarter of 2025. The effective tax rate was 21.5% for the three-month period ended April 5, 2026, as compared with 18.2% for the three-month period ended March 30, 2025. The lower rate in the previous year was primarily due to the provision for the litigation accrual and credit losses and the mixture of earnings.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April 5, 2026, the Company had approximately $5.8 million of total unrecognized income tax benefits. Included in this amount were a total of $4.4 million of unrecognized income tax benefits that, if recognized, would affect the Company’s effective tax rate. While it is expected that the amount of unrecognized tax benefits will change in the next 12 months, the Company does not expect the change to have a significant impact on the results of operations or the financial position of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accounting policy is to recognize interest and penalties accrued, relating to unrecognized income tax or benefit as part of its provision for income taxes. The Company had a net addition of approximately $0.4 million during the three-month period ended April 5, 2026 and had an accrued balance of $0.7 million of interest and penalties as of April 5, 2026.</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NOTES TO CONDENSED CONSOLIDATED FINANCIAL STATEMENTS (Unaudited)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multiple taxing jurisdictions, both within and outside the U.S. In certain situations, a taxing authority may challenge positions that the Company has adopted in its income tax filings. The Company, with a few exceptions (none of which are material), is no longer subject to U.S. federal, state, local, and international income tax examinations by tax authorities for years prior to 2017.</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U.S. It contains a broad range of tax reform provisions affecting businesses. The Company evaluated the full effects of the legislation on our annual effective tax rate and cash tax position, and it did not have a material impact on our Consolidated Financial Statements.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which aim to reform international corporate taxation rules, including the implementation of a global minimum tax rate. The Company began implementation of the Pillar Two Model Rules in the first quarter of 2024. The Company continues to assess the effect of the Pillar Two Model Rules in all jurisdictions and does not expect that Pillar Two will have a material impact on its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inventories by major category:</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8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 5,</w:t>
            </w:r>
          </w:p>
        </w:tc>
        <w:tc>
          <w:tcPr>
            <w:tcW w:w="200" w:type="dxa"/>
            <w:vAlign w:val="bottom"/>
          </w:tcPr>
          <w:p>
            <w:pPr>
              <w:spacing w:after="0"/>
              <w:rPr>
                <w:sz w:val="24"/>
                <w:szCs w:val="24"/>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 31,</w:t>
            </w:r>
          </w:p>
        </w:tc>
      </w:tr>
      <w:tr>
        <w:trPr>
          <w:trHeight w:val="238"/>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160.6</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117.3</w:t>
            </w:r>
          </w:p>
        </w:tc>
      </w:tr>
      <w:tr>
        <w:trPr>
          <w:trHeight w:val="21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Packaging and supplies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r>
      <w:tr>
        <w:trPr>
          <w:trHeight w:val="209"/>
        </w:trPr>
        <w:tc>
          <w:tcPr>
            <w:tcW w:w="8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350.2</w:t>
            </w: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Other Intangible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and other intangible assets with indefinite lives are not amortized, but instead are assessed for impairment, at least annually. The carrying amount of goodwill was $915.6 million and $915.9 million as of April 5, 2026 and December 31, 2025, respectively. The net change in goodwill from December 31, 2025 to April 5, 2026 is attributable to the effects of foreign exchange.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Acquired intangible assets subject to amortization as of April 5, 2026 and December 31,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Apr. 5, 2026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6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amortization period for acquired intangible assets subject to amortization is approximately 29 years. Estimated amortization expense is $8.6 million for the remainder of 2026, $46.0 million for 2027–2030 and $150.9 million thereafter.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NOTES TO CONDENSED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Derivative Financial Instruments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multinational corporation with operations throughout the world, the Company is exposed to certain market risks. The Company uses a variety of practices to manage these market risks, including, when considered appropriate, derivative financial instruments. The Company’s objective is to offset gains and losses resulting from interest rate and foreign currency exposures with gains and losses on the derivative contracts used to hedge them. The Company uses derivative financial instruments only for risk management and not for trading or speculative purposes.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using derivative financial instruments to hedge exposures to changes in interest rates and foreign currencies, the Company exposes itself to credit risk and market risk. Credit risk is the risk that the counterparty will fail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it does not face any credit risk. The Company minimizes the credit risk in derivative instruments by entering into transactions with major financial institutions.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Market risk is the adverse effect on the value of a financial instrument that results from a change in interest rates, currency exchange rates, or commodity prices. The market risk associated with interest rate and forward exchange contracts is managed by establishing and monitoring parameters that limit the types and degree of market risk that may be undertaken.</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cash flow hedges, the Company records the effective portion of the gain or loss in accumulated other comprehensive income (loss) as a separate component of shareholders’ equity. The Company subsequently reclassifies the effective portion of gain or loss into earnings in the period during which the hedged transaction is recognized in earnings.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interest rate swaps to limit exposure to market fluctuations on floating-rate debt. In the second quarter of 2023, the Company entered into a floating to fixed interest rate swap for a notional amount of $150 million. The fair value of this swap is a liability less than $0.1 million at April 5, 2026 and is recorded in other current liabilities on the Condensed Consolidated Balance Sheet. This interest rate swap is designated as a cash flow hedge. As a result, the gains and losses associated with this interest rate swap are recorded in accumulated other comprehensive income (loss).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Assets and liabilities measured at fair value are based on one or more of three valuation techniques. The three valuation techniques are as follows: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Market approach - prices and other relevant information generated by market transactions involving identical or comparable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-55880</wp:posOffset>
            </wp:positionV>
            <wp:extent cx="5143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Cost approach - amount that would be required to replace the service capacity of an asset or replacement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-66040</wp:posOffset>
            </wp:positionV>
            <wp:extent cx="5143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3" w:lineRule="exact"/>
        <w:rPr>
          <w:sz w:val="20"/>
          <w:szCs w:val="20"/>
          <w:color w:val="auto"/>
        </w:rPr>
      </w:pPr>
    </w:p>
    <w:p>
      <w:pPr>
        <w:ind w:left="880"/>
        <w:spacing w:after="0" w:line="292" w:lineRule="auto"/>
        <w:rPr>
          <w:sz w:val="20"/>
          <w:szCs w:val="20"/>
          <w:color w:val="auto"/>
        </w:rPr>
      </w:pPr>
      <w:r>
        <w:rPr>
          <w:rFonts w:ascii="Times New Roman" w:cs="Times New Roman" w:eastAsia="Times New Roman" w:hAnsi="Times New Roman"/>
          <w:sz w:val="18"/>
          <w:szCs w:val="18"/>
          <w:color w:val="auto"/>
        </w:rPr>
        <w:t>Income approach - techniques to convert future amounts to a single present amount based on market expectations, including present value techniques, option-pricing and other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-254635</wp:posOffset>
            </wp:positionV>
            <wp:extent cx="5143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4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primarily applies the income approach for interest rate derivatives for recurring fair value measurements and attempts to utilize valuation techniques that maximize the use of observable inputs and minimize the use of unobservable inputs.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interest rate swap contract is determined based on inputs that are readily available in public markets or can be derived from information available in publicly quoted markets and is categorized as Level 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NOTES TO CONDENSED CONSOLIDATED FINANCIAL STATEMENTS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Long-Term Debt and Commitments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long-term debt:</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8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 5,</w:t>
            </w:r>
          </w:p>
        </w:tc>
        <w:tc>
          <w:tcPr>
            <w:tcW w:w="200" w:type="dxa"/>
            <w:vAlign w:val="bottom"/>
          </w:tcPr>
          <w:p>
            <w:pPr>
              <w:spacing w:after="0"/>
              <w:rPr>
                <w:sz w:val="24"/>
                <w:szCs w:val="24"/>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 31,</w:t>
            </w:r>
          </w:p>
        </w:tc>
      </w:t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Credit Agreement: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8"/>
        </w:trPr>
        <w:tc>
          <w:tcPr>
            <w:tcW w:w="87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Term Loan due 2031, net of unamortized deferred financing cost and original issue discount of $6.3 million and $6.5</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million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562.7</w:t>
            </w:r>
          </w:p>
        </w:tc>
      </w:tr>
      <w:tr>
        <w:trPr>
          <w:trHeight w:val="216"/>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5.00% due 2028, net of unamortized deferred financing costs of $2.1 million and $2.3 million</w:t>
            </w: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397.7</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debt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0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960.2</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961.3</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0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954.0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955.0</w:t>
            </w: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26, 2024 the Company entered into a Refinancing Facility Agreement and Incremental Facility Amendment (the “Amendment”) to amend the Company’s previous credit agreement (the “Previous Credit Agreement; the previous credit agreement, as amended by the Amendment, being the “Amended Credit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Amendment provides for, among other things, a new senior secured revolving credit facility with aggregate commitments of $400 million (the “Revolving Facility”), a portion of which may be used for the issuance of letters of credit and swingline loans, and a new senior secured term loan facility with aggregate commitments of $575 million (the “Term Loan Facility” and, together with the Revolving Facility, the "Senior Secured Credit Facilities"). The Revolving Facility and the Term Loan Facility replace the facilities under the Previous Credit Agreement, which provided for, among other things, a $550 million senior secured term loan facility and a $300 million senior secured revolving credit facility. The maturity date for loans and commitments under the Revolving Facility is November 26, 2029, and the maturity date for loans under the Term Loan Facility is November 26, 2031; provided that the maturity dates of the Revolving Facility and the Term Loan Facility will be adjusted to the date that is 91 days prior to the stated maturity date of the Company’s 5.0% Senior Notes due 2028 (the “Notes”) unless, prior to the date that is 91 days prior to the stated maturity date of the Notes, all amounts in excess of $50 million of the Notes have been either (a) refinanced with indebtedness permitted under the Amended Credit Agreement maturing later than 90 days after the scheduled maturity date of the Revolving Facility or of the Term Loan Facility, as applicable, or (b) repaid, discharged or repaid (other than with the proceeds of any indebtedness maturing earlier than 91 days after the scheduled maturity date of the Revolving Facility or of the Term Loan Facility, as applicable). Loans under the Term Loan Facility amortize at a rate equal to 1.00% per annum, payable in equal quarterly installments, and were issued with original issue discount at 99.875% of par.</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Loans under the Revolving Facility will bear interest at a rate equal to (a) for loans denominated in U.S. dollars, at the election of the Company, Term SOFR plus an applicable margin equal to 1.375% per annum or a base rate plus an applicable margin equal to 0.375% per annum, (b) for loans denominated in Euros, adjusted EURIBOR plus an applicable margin equal to 1.375% per annum and (c) for loans denominated in Pounds Sterling, SONIA plus an applicable margin equal to 1.375% per annum, subject in each case to (i) an increase of 37.5 basis points in the event that, and for so long as, the Net Leverage Ratio (as defined in the Amended Credit Agreement) is greater than or equal to 3.00 to 1.00 as of the last day of the preceding fiscal quarter, (ii) an increase of 12.5 basis points in the event that, and for so long as, the Net Leverage Ratio is less than 3.00 to 1.00 and greater than or equal to 2.00 to 1.00 as of the last day of the preceding fiscal quarter, and (iii) a decrease of 12.5 basis points in the event that, and for so long as, the Net Leverage Ratio is less than 1.00 to 1.00 as of the last day of the preceding fiscal quarter. Loans under the Term Loan Facility will bear interest at a rate equal to, at the election of the Company, Term SOFR plus an applicable margin equal to 2.00% per annum or a base rate plus an applicable margin equal to 1.00% per annum. The Company will pay certain fees under the Amended Credit Agreement, including (a) a commitment fee of 0.175% per annum on the undrawn portion of the Revolving Facility (subject to a step-ups to 0.300% and 0.250% and a step-down to 0.150% at the same levels described above), (b) a fronting fee of 0.125% per annum on the average daily undrawn amount of, plus unreimbursed amounts in respect of disbursements under, letters of credit issued under the Revolving Facility, and (c) customary annual administration fees. The obligations of the Company under the Senior Secured Credit Facilities are unconditionally guaranteed jointly and severally by, subject to certain exceptions, all material domestic subsidiaries of the Company (the “Guarantors”) and secured, subject to certain exceptions, by a security interest in substantially all of the tangible and intangible assets of the Company and the Guarantors.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NOTES TO CONDENSED CONSOLIDATED FINANCIAL STATEMENTS (Unaudited)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5, 2026, there were $6.0 million in loans and $9.2 million in letters of credit outstanding under the Revolving Facility.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30, 2020, the Company issued $400 million aggregate principal amount of “Notes.” The Notes were issued pursuant to an indenture, dated as of June 30, 2020, between the Company and The Bank of New York Mellon Trust Company, N.A., as trustee (the “Indenture”). The Notes bear an interest rate of 5.0% per annum payable semi-annually on January 1 and July 1 of each year, beginning on January 1, 2021. The Notes are unconditionally guaranteed on a senior unsecured basis by each of the Company’s existing and future wholly owned domestic restricted subsidiaries that is a borrower under or that guarantees the Company’s obligations under its Senior Secured Credit Facilities or that guarantees the Company’s or any of the Company’s wholly owned domestic subsidiaries’ long-term indebtedness in an aggregate amount in excess of $50 million.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may redeem some or all of the Notes at any time and from time to time at the applicable redemption prices listed in the Indenture, plus accrued and unpaid interest, if any, to, but excluding, the applicable redemption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Credit Agreement and the Indenture both contain certain customary affirmative and negative covenants that limit or restrict the ability of the Company and its restricted subsidiaries to enter into certain transactions or take certain actions, as well as customary events of default. In addition, the Amended Credit Agreement contains a financial covenant that requires the Company to maintain a maximum Net Leverage Ratio of 4.00 to 1.00 for each four fiscal quarter period (subject to an increase to 5.00 to 1.00 for four quarters in connection with certain significant acquisitions). The Company is in compliance with all the covenants contained in the Amended Credit Agreement throughout the period covered by this report.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 committed loan facility in Japan. As of April 5, 2026, $0.3 million was outstanding under this loan facility. Principal will be repaid in accordance with the payment schedule ending in 2026. The Company repaid $0.1 million on this loan during the first three months of 2026.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acquisition of Concept Pet Heimtierprodukte GmbH (“Concept Pet”) in 2022, the Company assumed $1.9 million in long-term debt, recorded at fair value, consisting of two terms loans, one that matured in 2025 and one that matures in 2027. The outstanding loan has annual payments and carries a variable interest rate. The Company did not make any repayments on this loan during the first three months of 2026.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5, 2026, the Company had $18.3 million in uncommitted short-term bank credit lines, of which none were in 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Benefit Plans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have pension plans covering the majority of its eligible employees on a contributory or non-contributory basis. The Company also provides postretirement health care and life insurance benefits for the majority of its U.S. retired employees. Disclosures for the U.S. plans have been combined with those outside of the U.S., as the international plans do not have significantly different assumptions, and together represent less than 20% of our total benefit obligation.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3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Apr. 5,</w:t>
            </w:r>
          </w:p>
        </w:tc>
        <w:tc>
          <w:tcPr>
            <w:tcW w:w="200" w:type="dxa"/>
            <w:vAlign w:val="bottom"/>
          </w:tcPr>
          <w:p>
            <w:pPr>
              <w:spacing w:after="0"/>
              <w:rPr>
                <w:sz w:val="16"/>
                <w:szCs w:val="16"/>
                <w:color w:val="auto"/>
              </w:rPr>
            </w:pPr>
          </w:p>
        </w:tc>
        <w:tc>
          <w:tcPr>
            <w:tcW w:w="10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Mar. 30,</w:t>
            </w: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4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4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43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340" w:type="dxa"/>
            <w:vAlign w:val="bottom"/>
            <w:vMerge w:val="restart"/>
          </w:tcPr>
          <w:p>
            <w:pPr>
              <w:jc w:val="right"/>
              <w:ind w:right="2933"/>
              <w:spacing w:after="0"/>
              <w:rPr>
                <w:sz w:val="20"/>
                <w:szCs w:val="20"/>
                <w:color w:val="auto"/>
              </w:rPr>
            </w:pPr>
            <w:r>
              <w:rPr>
                <w:rFonts w:ascii="Times New Roman" w:cs="Times New Roman" w:eastAsia="Times New Roman" w:hAnsi="Times New Roman"/>
                <w:sz w:val="13"/>
                <w:szCs w:val="13"/>
                <w:color w:val="auto"/>
              </w:rPr>
              <w:t>14</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6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NOTES TO CONDENSED CONSOLIDATED FINANCIAL STATEMENTS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38"/>
        </w:trPr>
        <w:tc>
          <w:tcPr>
            <w:tcW w:w="8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Apr. 5,</w:t>
            </w:r>
          </w:p>
        </w:tc>
        <w:tc>
          <w:tcPr>
            <w:tcW w:w="200" w:type="dxa"/>
            <w:vAlign w:val="bottom"/>
          </w:tcPr>
          <w:p>
            <w:pPr>
              <w:spacing w:after="0"/>
              <w:rPr>
                <w:sz w:val="16"/>
                <w:szCs w:val="16"/>
                <w:color w:val="auto"/>
              </w:rPr>
            </w:pPr>
          </w:p>
        </w:tc>
        <w:tc>
          <w:tcPr>
            <w:tcW w:w="10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Mar. 30,</w:t>
            </w:r>
          </w:p>
        </w:tc>
      </w:tr>
      <w:tr>
        <w:trPr>
          <w:trHeight w:val="238"/>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8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amounts of prior service costs and recognized net actuarial losses are recorded, net of tax, as increases to accumulated other comprehensive income.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to contribute approximately $10.8 million to its pension plans and $0.1 million to its other postretirement benefit plans in 2026. As of April 5, 2026, $1.9 million has been contributed to the pension plans and no contributions have been made to the other postretirement benefit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Comprehensive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amounts reclassified out of accumulated other comprehensive loss attributable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700" w:type="dxa"/>
            <w:vAlign w:val="bottom"/>
          </w:tcPr>
          <w:p>
            <w:pPr>
              <w:spacing w:after="0"/>
              <w:rPr>
                <w:sz w:val="16"/>
                <w:szCs w:val="16"/>
                <w:color w:val="auto"/>
              </w:rPr>
            </w:pPr>
          </w:p>
        </w:tc>
        <w:tc>
          <w:tcPr>
            <w:tcW w:w="9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Apr. 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Mar. 30,</w:t>
            </w:r>
          </w:p>
        </w:tc>
      </w:t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pension items: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Pre-tax amount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8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8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pre-tax amounts in the table above are included within the components of net periodic pension benefit cost (see Note 10 to the Condensed Consolidated Financial Statements) and the tax amounts are included within the provision (benefit) for taxes on income line within the Condensed Consolidated Statements of Income (Loss).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components of accumulated other comprehensive loss, net of related tax, attributable to MTI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Gain (Loss)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Unrecognized</w:t>
            </w: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on Derivative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00" w:type="dxa"/>
            <w:vAlign w:val="bottom"/>
          </w:tcPr>
          <w:p>
            <w:pPr>
              <w:spacing w:after="0"/>
              <w:rPr>
                <w:sz w:val="20"/>
                <w:szCs w:val="20"/>
                <w:color w:val="auto"/>
              </w:rPr>
            </w:pPr>
          </w:p>
        </w:tc>
        <w:tc>
          <w:tcPr>
            <w:tcW w:w="15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Pension Costs</w:t>
            </w:r>
          </w:p>
        </w:tc>
        <w:tc>
          <w:tcPr>
            <w:tcW w:w="100" w:type="dxa"/>
            <w:vAlign w:val="bottom"/>
          </w:tcPr>
          <w:p>
            <w:pPr>
              <w:spacing w:after="0"/>
              <w:rPr>
                <w:sz w:val="20"/>
                <w:szCs w:val="20"/>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r>
      <w:tr>
        <w:trPr>
          <w:trHeight w:val="216"/>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0"/>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April 5,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0"/>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party to a number of lawsuits arising in the normal course of our business. The Company and certain of the Company’s subsidiaries are among numerous defendants in a number of cases seeking damages for alleged exposure to asbestos-contaminated talc products sold by the Company’s subsidiary BMI Oldco Inc (f/k/a Barretts Minerals Inc.) ("Oldco").</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NOTES TO CONDENSED CONSOLIDATED FINANCIAL STATEMENTS (Unaudited)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 2023 (the “Petition Date”), notwithstanding the Company’s confidence in the safety of Oldco’s talc products, the Company’s subsidiaries, Oldco and Barretts Ventures Texas LLC ("BVT" and, together with Oldco, the “Chapter 11 Debtors”), filed voluntary petitions for relief under Chapter 11 of the U.S. Bankruptcy Code in the United States Bankruptcy Court for the Southern District of Texas (the “Chapter 11 Cases”) to address and comprehensively resolve Oldco’s liabilities associated with talc. Minerals Technologies Inc. and the Company’s other subsidiaries were not included in the Chapter 11 filing.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Chapter 11 Debtors’ ultimate goal in the Chapter 11 Cases is to confirm a plan of reorganization under Section 524(g) of the U.S. Bankruptcy Code and utilize this provision of the Bankruptcy Code to establish a trust that will address all current and future talc-related claims. Discussions regarding the terms of a potential consensual plan of reorganization and the ultimate amount to be contributed to any trust are ongoing.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April 5, 2026, we had 978 open cases related to certain talc products previously sold by Oldco, which is an increase in volume from previous years. The following table details case activity related to talc products previously sold by Oldco: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700" w:type="dxa"/>
            <w:vAlign w:val="bottom"/>
          </w:tcPr>
          <w:p>
            <w:pPr>
              <w:spacing w:after="0"/>
              <w:rPr>
                <w:sz w:val="16"/>
                <w:szCs w:val="16"/>
                <w:color w:val="auto"/>
              </w:rPr>
            </w:pPr>
          </w:p>
        </w:tc>
        <w:tc>
          <w:tcPr>
            <w:tcW w:w="1320" w:type="dxa"/>
            <w:vAlign w:val="bottom"/>
            <w:gridSpan w:val="2"/>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Apr. 5,</w:t>
            </w:r>
          </w:p>
        </w:tc>
        <w:tc>
          <w:tcPr>
            <w:tcW w:w="12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Mar. 30,</w:t>
            </w:r>
          </w:p>
        </w:tc>
      </w:tr>
      <w:tr>
        <w:trPr>
          <w:trHeight w:val="238"/>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(number of claims)</w:t>
            </w: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Claims pending, beginning of period</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Claims filed</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Claims dismissed, settled, or otherwise resolved</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Claims pending, end of period</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r>
      <w:tr>
        <w:trPr>
          <w:trHeight w:val="20"/>
        </w:trPr>
        <w:tc>
          <w:tcPr>
            <w:tcW w:w="8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claims typically allege various theories of liability, including negligence, gross negligence, and strict liability and seek compensatory and, in some cases, punitive damages, but most of these claims do not provide adequate information to assess their merits, the likelihood that the Company will be found liable, or the magnitude of such liability, if any. We are unable to state an amount or range of amounts claimed in any of these lawsuits because state court pleading practices do not require the plaintiff to identify the amount of the claimed damage. The Company’s position, as stated publicly, is that the talc products sold by Oldco are safe and do not cause cancer.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pendency of the Chapter 11 Cases, the Company anticipates that the Chapter 11 Debtors will benefit from the operation of the automatic stay, which stays ongoing litigation in connection with talc-related claims against the Chapter 11 Debtors. In addition, the Bankruptcy Court temporarily enjoined the filing or continued prosecution of all talc-related claims against the Chapter 11 Debtors’ non-debtor affiliates, subject to certain exceptions. Such exceptions consist of claims premised solely on alleged inadequacies in testing of talc sold by Oldco. The Company is vigorously opposing and defending against these claims.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costs relating to the talc-related cases have increased concurrently with the volume, the majority of these costs have historically been borne by Pfizer Inc. (“Pfizer”) in connection with certain agreements entered into in connection with the Company’s initial public offering in 1992, and as long as the litigation is subject to the stay under the Chapter 11 Cases (subject to certain exceptions), the Company will not be required to make substantial payments in respect thereof. The Company is entitled to indemnification, pursuant to agreement, for liabilities arising from sales prior to the initial public offering. On May 22, 2024, Pfizer filed a motion in the Chapter 11 Cases seeking permission to file a lawsuit against the Company related to the 1992 agreement. That motion has been adjourned, and Pfizer and the Company have agreed to mediate their disputes. The Company continues to receive information from Pfizer with respect to potential costs associated with the defense and/or settlement of talc-related cases that Pfizer alleges are not subject to indemnification. Although the Company believes that the talc products are safe and that claims to the contrary are without merit, the Company and Oldco have opportunistically settled certain talc-related cases not settled by Pfizer. None of such settlements were material to the Company.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second quarter of 2024, Oldco sold its talc assets under section 363 of the Bankruptcy Code. In addition, in the second quarter of 2024, the Company entered into a Debtor-in-Possession Credit Agreement with Oldco (the “DIP Credit Agreement”) and recorded a provision for credit loss of $30 million for the maximum principal amount under such Credit Agreement. In the second quarter of 2025, the Company agreed to amend the DIP Credit Agreement to increase the maximum principal amount under such Credit Agreement by $30 million. Proceeds of the sale of Oldco’s talc assets and funds drawn by Oldco under the DIP Credit Agreement have been and will be used to fund the Chapter 11 Cases.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NOTES TO CONDENSED CONSOLIDATED FINANCIAL STATEMENTS (Unaudited)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Chapter 11 filing, the activities of the Chapter 11 Debtors are now subject to review and oversight by the bankruptcy court. As a result, the Chapter 11 Debtors were deconsolidated as of the Petition Date, and their assets and liabilities were derecognized from the Company’s consolidated financial statements on a prospective basis.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25, 2024, the committee representing talc claimants (the “Committee”) filed a motion to dismiss the Chapter 11 Cases. The Bankruptcy Court denied that motion on April 29, 2025 and the United States District Court for the Southern District of Texas (the “District Court”) denied the Committee's motion seeking leave to appeal that order on March 23,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14, 2025, the Bankruptcy Court entered a Report and Recommendation (i) recommending that the District Court determine whether any of the talc sold by Oldco contained sufficient quantity and form of asbestos to cause mesothelioma or other asbestos-related diseases and (ii) abating the Chapter 11 Cases pending a determination by the District Court. The Company supports this path forward. The Chapter 11 Cases remain pending.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2025, the Company recorded a provision to establish an accrual of $215 million for estimated costs to fund a trust to resolve all current and future talc-related claims as well as fund the Chapter 11 Cases and related litigation costs (including the aforementioned $30 million increase to the maximum principal amount of the DIP Credit Agreement). The parties have not yet reached a final resolution of all matters in the Chapter 11 Cases, and the Company is unable to estimate the possible loss or range of loss beyond the amount accrued.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records accruals for loss contingencies associated with legal matters, including talc-related litigation and the Chapter 11 Cases, when it is probable that a liability will be incurred and the amount of the loss can be reasonably estimated. Amounts accrued for legal contingencies often result from a complex series of judgments about future events and uncertainties that rely heavily on estimates and assumptions including timing of related payments. The ability to make such estimates and judgments can be affected by various factors, including whether damages sought in the proceedings are unsubstantiated or indeterminate, the stage of the litigation, the factual and legal matters in dispute, the ability to achieve comprehensive settlements, the availability of co-defendants with substantial resources and assets participating in the litigation, and our evaluation of the unique attributes of each claim.</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broader litigation and regulatory environments for talc-related claims continue to evolve. Moreover, although the Chapter 11 Cases are progressing, it is not possible at this time to predict how the District Court will rule on the pending motions, the form of any ultimate resolution or when an ultimate resolution might occur. Given the foregoing factors, it is reasonably possible that the Company will incur a loss for liabilities associated with talc claims in excess of the amount accrued. This risk is based on the potential for new talc-related claims that could eventually be asserted together with their associated disposition cost and related legal costs, despite the automatic stay with respect to claims against the Chapter 11 Debtors, taking into account the portion of such hypothetical claims that may be subject to indemnification by Pfizer, as well as the inability to predict the amount that may ultimately be necessary to fully and finally resolve all of the Chapter 11 Debtors’ future talc-related claims in connection with a confirmed Chapter 11 plan of reorganization. In light of the uncertainties involved in such matters, the resolution of, or recognition of additional liabilities in connection with, current or future talc claims could have a material adverse effect on the Company’s results of operations, cash flows,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and Related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determines its operating segments based on the discrete financial information that is regularly evaluated by its chief operating decision maker, our Chief Executive Officer, in deciding how to allocate resources and in assessing performance. The Company’s operating segments are strategic business units that offer different products and serve different markets. They are managed separately and require different technology and marketing strategies.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Consumer &amp; Specialties and Engineered Solutions. See Note 1 to the Condensed Consolidated Financial Statements.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performance based on the operating income of the respective business units. The costs deducted to arrive at operating profit do not include several items, such as net interest or income tax expense. Depreciation expense related to corporate assets is allocated to the business segments and is included in their income from operations. However, such corporate depreciable assets are not included in the segment assets. Intersegment sales and transfers are not significant.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NOTES TO CONDENSED CONSOLIDATED FINANCIAL STATEMENTS (Unaudited)</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Segment revenues, expenses, operating income, and a reconciliation of the operating segment totals to the applicable line items on the Condensed Consolidated Financial Statements is as follows for the three-month periods ended April 5, 2026 and March 30, 2025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Apr. 5, 2026</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Mar. 30, 2025</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87"/>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Consumer &amp;</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Engineered</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Consumer &amp;</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Engineered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Specialties</w:t>
            </w:r>
          </w:p>
        </w:tc>
        <w:tc>
          <w:tcPr>
            <w:tcW w:w="12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4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Specialties</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20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491.8</w:t>
            </w:r>
          </w:p>
        </w:tc>
      </w:tr>
      <w:tr>
        <w:trPr>
          <w:trHeight w:val="216"/>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372.2</w:t>
            </w:r>
          </w:p>
        </w:tc>
      </w:tr>
      <w:tr>
        <w:trPr>
          <w:trHeight w:val="20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production margin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administrative expenses</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Restructuring and other items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Segment income from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3"/>
              </w:rPr>
              <w:t>Apr. 5,</w:t>
            </w:r>
          </w:p>
        </w:tc>
        <w:tc>
          <w:tcPr>
            <w:tcW w:w="200" w:type="dxa"/>
            <w:vAlign w:val="bottom"/>
          </w:tcPr>
          <w:p>
            <w:pPr>
              <w:spacing w:after="0"/>
              <w:rPr>
                <w:sz w:val="16"/>
                <w:szCs w:val="16"/>
                <w:color w:val="auto"/>
              </w:rPr>
            </w:pPr>
          </w:p>
        </w:tc>
        <w:tc>
          <w:tcPr>
            <w:tcW w:w="10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Mar. 30,</w:t>
            </w:r>
          </w:p>
        </w:tc>
      </w:tr>
      <w:tr>
        <w:trPr>
          <w:trHeight w:val="238"/>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 (deductions), net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litigation accrual and credit losses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215.0</w:t>
            </w:r>
          </w:p>
        </w:tc>
      </w:tr>
      <w:tr>
        <w:trPr>
          <w:trHeight w:val="216"/>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 items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expenses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4740" w:type="dxa"/>
            <w:vAlign w:val="bottom"/>
            <w:tcBorders>
              <w:bottom w:val="single" w:sz="8" w:color="CCEEFF"/>
            </w:tcBorders>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Income (loss) before tax and equity in earnings</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Segment information is as follows for the three-month periods ended April 5, 2026 and March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Apr. 5,</w:t>
            </w:r>
          </w:p>
        </w:tc>
        <w:tc>
          <w:tcPr>
            <w:tcW w:w="200" w:type="dxa"/>
            <w:vAlign w:val="bottom"/>
          </w:tcPr>
          <w:p>
            <w:pPr>
              <w:spacing w:after="0"/>
              <w:rPr>
                <w:sz w:val="16"/>
                <w:szCs w:val="16"/>
                <w:color w:val="auto"/>
              </w:rPr>
            </w:pPr>
          </w:p>
        </w:tc>
        <w:tc>
          <w:tcPr>
            <w:tcW w:w="10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Mar. 30,</w:t>
            </w: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4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Depletion, and Amortization</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&amp; Specialties</w:t>
            </w:r>
          </w:p>
        </w:tc>
        <w:tc>
          <w:tcPr>
            <w:tcW w:w="4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Engineered Solutions</w:t>
            </w:r>
          </w:p>
        </w:tc>
        <w:tc>
          <w:tcPr>
            <w:tcW w:w="4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4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Consumer &amp; Specialties</w:t>
            </w:r>
          </w:p>
        </w:tc>
        <w:tc>
          <w:tcPr>
            <w:tcW w:w="4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Engineered Solutions</w:t>
            </w:r>
          </w:p>
        </w:tc>
        <w:tc>
          <w:tcPr>
            <w:tcW w:w="4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w:t>
            </w:r>
          </w:p>
        </w:tc>
        <w:tc>
          <w:tcPr>
            <w:tcW w:w="4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280" w:type="dxa"/>
            <w:vAlign w:val="bottom"/>
            <w:vMerge w:val="restart"/>
          </w:tcPr>
          <w:p>
            <w:pPr>
              <w:jc w:val="right"/>
              <w:ind w:right="2918"/>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4420" w:type="dxa"/>
            <w:vAlign w:val="bottom"/>
            <w:tcBorders>
              <w:bottom w:val="single" w:sz="8" w:color="auto"/>
            </w:tcBorders>
          </w:tcPr>
          <w:p>
            <w:pPr>
              <w:spacing w:after="0"/>
              <w:rPr>
                <w:sz w:val="5"/>
                <w:szCs w:val="5"/>
                <w:color w:val="auto"/>
              </w:rPr>
            </w:pPr>
          </w:p>
        </w:tc>
        <w:tc>
          <w:tcPr>
            <w:tcW w:w="4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MINERALS TECHNOLOGIES INC. AND SUBSIDIARY COMPANIES NOTES TO CONDENSED CONSOLIDATED FINANCIAL STATEMENTS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Company’s segment assets as of April 5, 2026 and December 31, 2025 are as follows: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Apr. 5,</w:t>
            </w:r>
          </w:p>
        </w:tc>
        <w:tc>
          <w:tcPr>
            <w:tcW w:w="200" w:type="dxa"/>
            <w:vAlign w:val="bottom"/>
          </w:tcPr>
          <w:p>
            <w:pPr>
              <w:spacing w:after="0"/>
              <w:rPr>
                <w:sz w:val="24"/>
                <w:szCs w:val="24"/>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 31,</w:t>
            </w:r>
          </w:p>
        </w:tc>
        <w:tc>
          <w:tcPr>
            <w:tcW w:w="0" w:type="dxa"/>
            <w:vAlign w:val="bottom"/>
          </w:tcPr>
          <w:p>
            <w:pPr>
              <w:spacing w:after="0"/>
              <w:rPr>
                <w:sz w:val="1"/>
                <w:szCs w:val="1"/>
                <w:color w:val="auto"/>
              </w:rPr>
            </w:pPr>
          </w:p>
        </w:tc>
      </w:t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Assets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&amp; Specialties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1,333.4</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Engineered Solutions</w:t>
            </w: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2,043.9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1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3,465.3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3,469.0</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Company’s sales by product category are as follows:</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8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3"/>
              </w:rPr>
              <w:t>Apr. 5,</w:t>
            </w:r>
          </w:p>
        </w:tc>
        <w:tc>
          <w:tcPr>
            <w:tcW w:w="200" w:type="dxa"/>
            <w:vAlign w:val="bottom"/>
          </w:tcPr>
          <w:p>
            <w:pPr>
              <w:spacing w:after="0"/>
              <w:rPr>
                <w:sz w:val="16"/>
                <w:szCs w:val="16"/>
                <w:color w:val="auto"/>
              </w:rPr>
            </w:pPr>
          </w:p>
        </w:tc>
        <w:tc>
          <w:tcPr>
            <w:tcW w:w="10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Mar. 30,</w:t>
            </w:r>
          </w:p>
        </w:tc>
        <w:tc>
          <w:tcPr>
            <w:tcW w:w="0" w:type="dxa"/>
            <w:vAlign w:val="bottom"/>
          </w:tcPr>
          <w:p>
            <w:pPr>
              <w:spacing w:after="0"/>
              <w:rPr>
                <w:sz w:val="1"/>
                <w:szCs w:val="1"/>
                <w:color w:val="auto"/>
              </w:rPr>
            </w:pPr>
          </w:p>
        </w:tc>
      </w:tr>
      <w:tr>
        <w:trPr>
          <w:trHeight w:val="238"/>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Household &amp; Personal Care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Specialty Additives</w:t>
            </w: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High-Temperature Technologies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Environmental &amp; Infrastructure</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5560"/>
              <w:spacing w:after="0"/>
              <w:rPr>
                <w:sz w:val="20"/>
                <w:szCs w:val="20"/>
                <w:color w:val="auto"/>
              </w:rPr>
            </w:pPr>
            <w:r>
              <w:rPr>
                <w:rFonts w:ascii="Times New Roman" w:cs="Times New Roman" w:eastAsia="Times New Roman" w:hAnsi="Times New Roman"/>
                <w:sz w:val="13"/>
                <w:szCs w:val="13"/>
                <w:color w:val="auto"/>
              </w:rPr>
              <w:t>19</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8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19" w:name="page20"/>
    <w:bookmarkEnd w:id="19"/>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Minerals Technologies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Review of Interim Financial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reviewed the condensed consolidated balance sheet of Minerals Technologies Inc. and subsidiaries (the Company) as of April 5, 2026, the related condensed consolidated statements of income (loss) and comprehensive income (loss) for the three-month periods ended April 5, 2026 and March 30, 2025, the related condensed consolidated statements of cash flows for the three-month periods ended April 5, 2026 and March 30, 2025, the related condensed consolidated statements of changes in shareholders’ equity for the three-month periods ended April 5, 2026 and March 30, 2025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December 31, 2025, and the related consolidated statements of income, comprehensive income, changes in shareholders’ equity, and cash flows for the year then ended (not presented herein); and in our report dated February 20, 2026, we expressed an unqualified opinion on those consolidated financial statements. In our opinion, the information set forth in the accompanying condensed consolidated balance sheet as of December 31, 2025, is fairly stated, in all material respects, in relation to the consolidated balance sheet from which it has been derived.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Review Results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consolidated sales for the first quarter of 2026 were $546.9 million, an increase of 11% as compared with $491.8 million in the prior year. Income from operations was $58.7 million, as compared with a loss of $160.1 million in the prior year. Included in income (loss) from operations for the first quarter of 2026 and 2025 was $8.8 million and $2.8 million, respectively of litigation expenses incurred in connection with the bankruptcy of BMI Oldco Inc. (f/k/a Barretts Minerals Inc.) ("Oldco") and lawsuits related to talc products sold by Oldco.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in the first quarter of 2026 was $36.2 million, as compared to a loss of $144.0 million in the first quarter of 2025. Diluted earnings in the first quarter of 2026 was $1.17 per share, as compared with a loss of $4.51 per share in the first quarter of 2025.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balance sheet continues to be strong. The Company repurchased $5.4 million in shares in the first quarter of 2026 under our $200 million buyback program. Cash, cash equivalents and short-term investments were $321.3 million as of April 5, 2026 and the Company had more than $700 million of available liquidity, including cash on hand as well as availability under its revolving credit facility. We believe that these factors will allow us to meet our anticipated funding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global trade environment is dynamic. Beginning in the first quarter of 2025, the United States government has imposed tariffs on goods imported into the U.S. from numerous countries and multiple nations have responded with reciprocal tariffs and other actions. While the Company generally manufactures products in the markets where they are sold, our businesses and suppliers import certain goods subject to U.S. imposed tariffs, in particular in our High-Temperature Technologies product line, as well as goods subject to reciprocal tariffs and other measures imposed by other countries. On February 20, 2026, the U.S. Supreme Court issued a ruling striking down certain tariffs imposed by the U.S., including those affecting certain goods that the Company imports. However, the timing and amount of any potential tariff refunds remains uncertain, and are subject to further legal, regulatory, and administrative developments. In addition, the U.S. has initiated new tariffs and may impose additional tariffs. As a result, there remains significant uncertainty regarding the scope and duration of existing and future tariffs, and the impact of such tariffs will continue to vary. We continue to pursue available options to mitigate the impact of these tariffs and other measures. We have made operational and supply chain changes, utilized available exemptions or exclusions, and, where feasible, increased the prices of our goods and services. To date, as a result of our mitigation efforts, tariffs have not had a significant effect on our financial results. However, the imposition of tariffs as well as uncertainty about their scope and duration could negatively affect demand, result in increases in some input costs and/or inflation that we are unable to mitigate, or otherwise adversely affect economic conditions. The Company continues to monitor the economic effects of the trade environment, but the effects associated with the tariffs remain uncertain.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evolving U.S. tariffs, our operating environment is affected by other market forces, including recent geopolitical events in the Middle East. As a result of such events, we have experienced higher energy prices and freight expenses, among other effects. As with tariffs, we are pursuing available options to mitigate the impacts of these market forces. To date, these market forces have not had a significant effect on our financial results, but the extent of future impacts, and our ability to mitigate them, remains uncertain.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continue to focus on innovation and new product development and other opportunities for sales growth in 2026 from its existing businesses,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Consumer &amp; Specialties Segment</w:t>
      </w:r>
    </w:p>
    <w:p>
      <w:pPr>
        <w:spacing w:after="0" w:line="320" w:lineRule="exact"/>
        <w:rPr>
          <w:sz w:val="20"/>
          <w:szCs w:val="20"/>
          <w:color w:val="auto"/>
        </w:rPr>
      </w:pPr>
    </w:p>
    <w:p>
      <w:pPr>
        <w:ind w:left="360" w:hanging="17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presence and market share in global cat litter products, including in emerging markets.</w:t>
      </w:r>
    </w:p>
    <w:p>
      <w:pPr>
        <w:spacing w:after="0" w:line="76" w:lineRule="exact"/>
        <w:rPr>
          <w:rFonts w:ascii="Times New Roman" w:cs="Times New Roman" w:eastAsia="Times New Roman" w:hAnsi="Times New Roman"/>
          <w:sz w:val="18"/>
          <w:szCs w:val="18"/>
          <w:color w:val="auto"/>
        </w:rPr>
      </w:pPr>
    </w:p>
    <w:p>
      <w:pPr>
        <w:ind w:left="360" w:hanging="17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new products in pet care such as lightweight litter.</w:t>
      </w:r>
    </w:p>
    <w:p>
      <w:pPr>
        <w:spacing w:after="0" w:line="76" w:lineRule="exact"/>
        <w:rPr>
          <w:rFonts w:ascii="Times New Roman" w:cs="Times New Roman" w:eastAsia="Times New Roman" w:hAnsi="Times New Roman"/>
          <w:sz w:val="18"/>
          <w:szCs w:val="18"/>
          <w:color w:val="auto"/>
        </w:rPr>
      </w:pPr>
    </w:p>
    <w:p>
      <w:pPr>
        <w:ind w:left="360" w:hanging="17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of calcium carbonate products by further penetration into filling and coating applications in the paper and packaging markets.</w:t>
      </w:r>
    </w:p>
    <w:p>
      <w:pPr>
        <w:spacing w:after="0" w:line="76" w:lineRule="exact"/>
        <w:rPr>
          <w:rFonts w:ascii="Times New Roman" w:cs="Times New Roman" w:eastAsia="Times New Roman" w:hAnsi="Times New Roman"/>
          <w:sz w:val="18"/>
          <w:szCs w:val="18"/>
          <w:color w:val="auto"/>
        </w:rPr>
      </w:pPr>
    </w:p>
    <w:p>
      <w:pPr>
        <w:ind w:left="360" w:hanging="17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Company’s expertise in crystal engineering by developing crystal morphologies that help our customers achieve functional benefits.</w:t>
      </w:r>
    </w:p>
    <w:p>
      <w:pPr>
        <w:spacing w:after="0" w:line="76" w:lineRule="exact"/>
        <w:rPr>
          <w:rFonts w:ascii="Times New Roman" w:cs="Times New Roman" w:eastAsia="Times New Roman" w:hAnsi="Times New Roman"/>
          <w:sz w:val="18"/>
          <w:szCs w:val="18"/>
          <w:color w:val="auto"/>
        </w:rPr>
      </w:pPr>
    </w:p>
    <w:p>
      <w:pPr>
        <w:ind w:left="360" w:hanging="17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new calcium carbonate products in paint, coating, and packaging applications.</w:t>
      </w:r>
    </w:p>
    <w:p>
      <w:pPr>
        <w:spacing w:after="0" w:line="76" w:lineRule="exact"/>
        <w:rPr>
          <w:rFonts w:ascii="Times New Roman" w:cs="Times New Roman" w:eastAsia="Times New Roman" w:hAnsi="Times New Roman"/>
          <w:sz w:val="18"/>
          <w:szCs w:val="18"/>
          <w:color w:val="auto"/>
        </w:rPr>
      </w:pPr>
    </w:p>
    <w:p>
      <w:pPr>
        <w:ind w:left="360" w:right="40" w:hanging="177"/>
        <w:spacing w:after="0" w:line="184" w:lineRule="auto"/>
        <w:tabs>
          <w:tab w:leader="none" w:pos="360" w:val="left"/>
        </w:tabs>
        <w:numPr>
          <w:ilvl w:val="0"/>
          <w:numId w:val="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Continue developing products and processes for waste management and recycling opportunities to reduce the environmental impact of our customers by reducing energy consumption and improving the sustainability of their products.</w:t>
      </w:r>
    </w:p>
    <w:p>
      <w:pPr>
        <w:spacing w:after="0" w:line="36" w:lineRule="exact"/>
        <w:rPr>
          <w:rFonts w:ascii="Times New Roman" w:cs="Times New Roman" w:eastAsia="Times New Roman" w:hAnsi="Times New Roman"/>
          <w:sz w:val="34"/>
          <w:szCs w:val="34"/>
          <w:color w:val="auto"/>
          <w:vertAlign w:val="subscript"/>
        </w:rPr>
      </w:pPr>
    </w:p>
    <w:p>
      <w:pPr>
        <w:ind w:left="360" w:hanging="17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innovative applications for our bleaching earth products for edible oil and renewable fuel industries.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left="220" w:hanging="217"/>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natural and mineral-based solutions for personal care applications.</w:t>
      </w:r>
    </w:p>
    <w:p>
      <w:pPr>
        <w:spacing w:after="0" w:line="76" w:lineRule="exact"/>
        <w:rPr>
          <w:rFonts w:ascii="Times New Roman" w:cs="Times New Roman" w:eastAsia="Times New Roman" w:hAnsi="Times New Roman"/>
          <w:sz w:val="18"/>
          <w:szCs w:val="18"/>
          <w:color w:val="auto"/>
        </w:rPr>
      </w:pPr>
    </w:p>
    <w:p>
      <w:pPr>
        <w:ind w:left="220" w:hanging="217"/>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presence and market share globally for retinol delivery technology for personal care applications.</w:t>
      </w:r>
    </w:p>
    <w:p>
      <w:pPr>
        <w:spacing w:after="0" w:line="76" w:lineRule="exact"/>
        <w:rPr>
          <w:rFonts w:ascii="Times New Roman" w:cs="Times New Roman" w:eastAsia="Times New Roman" w:hAnsi="Times New Roman"/>
          <w:sz w:val="18"/>
          <w:szCs w:val="18"/>
          <w:color w:val="auto"/>
        </w:rPr>
      </w:pPr>
    </w:p>
    <w:p>
      <w:pPr>
        <w:ind w:left="220" w:hanging="217"/>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bentonite product solutions for animal health applications.</w:t>
      </w:r>
    </w:p>
    <w:p>
      <w:pPr>
        <w:spacing w:after="0" w:line="76" w:lineRule="exact"/>
        <w:rPr>
          <w:rFonts w:ascii="Times New Roman" w:cs="Times New Roman" w:eastAsia="Times New Roman" w:hAnsi="Times New Roman"/>
          <w:sz w:val="18"/>
          <w:szCs w:val="18"/>
          <w:color w:val="auto"/>
        </w:rPr>
      </w:pPr>
    </w:p>
    <w:p>
      <w:pPr>
        <w:ind w:left="220" w:hanging="217"/>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presence and market share in fabric care, including in emerging markets.</w:t>
      </w:r>
    </w:p>
    <w:p>
      <w:pPr>
        <w:spacing w:after="0" w:line="2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Engineered Solutions Segment</w:t>
      </w:r>
    </w:p>
    <w:p>
      <w:pPr>
        <w:spacing w:after="0" w:line="320" w:lineRule="exact"/>
        <w:rPr>
          <w:sz w:val="20"/>
          <w:szCs w:val="20"/>
          <w:color w:val="auto"/>
        </w:rPr>
      </w:pPr>
    </w:p>
    <w:p>
      <w:pPr>
        <w:ind w:left="180" w:hanging="177"/>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presence and gain penetration of our bentonite-based foundry solutions in emerging markets.</w:t>
      </w:r>
    </w:p>
    <w:p>
      <w:pPr>
        <w:spacing w:after="0" w:line="76" w:lineRule="exact"/>
        <w:rPr>
          <w:rFonts w:ascii="Times New Roman" w:cs="Times New Roman" w:eastAsia="Times New Roman" w:hAnsi="Times New Roman"/>
          <w:sz w:val="18"/>
          <w:szCs w:val="18"/>
          <w:color w:val="auto"/>
        </w:rPr>
      </w:pPr>
    </w:p>
    <w:p>
      <w:pPr>
        <w:ind w:left="180" w:hanging="177"/>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value-added formulations of refractory materials.</w:t>
      </w:r>
    </w:p>
    <w:p>
      <w:pPr>
        <w:spacing w:after="0" w:line="76" w:lineRule="exact"/>
        <w:rPr>
          <w:rFonts w:ascii="Times New Roman" w:cs="Times New Roman" w:eastAsia="Times New Roman" w:hAnsi="Times New Roman"/>
          <w:sz w:val="18"/>
          <w:szCs w:val="18"/>
          <w:color w:val="auto"/>
        </w:rPr>
      </w:pPr>
    </w:p>
    <w:p>
      <w:pPr>
        <w:ind w:left="180" w:hanging="177"/>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our laser measurement technologies into new applications.</w:t>
      </w:r>
    </w:p>
    <w:p>
      <w:pPr>
        <w:spacing w:after="0" w:line="76" w:lineRule="exact"/>
        <w:rPr>
          <w:rFonts w:ascii="Times New Roman" w:cs="Times New Roman" w:eastAsia="Times New Roman" w:hAnsi="Times New Roman"/>
          <w:sz w:val="18"/>
          <w:szCs w:val="18"/>
          <w:color w:val="auto"/>
        </w:rPr>
      </w:pPr>
    </w:p>
    <w:p>
      <w:pPr>
        <w:ind w:left="180" w:hanging="177"/>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refractory maintenance model to other steel makers globally.</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Continue the development and market penetration of our FLUORO-SORB adsorbent products which address PFAS contamination in soil,</w:t>
      </w:r>
    </w:p>
    <w:p>
      <w:pPr>
        <w:ind w:left="180" w:hanging="177"/>
        <w:spacing w:after="0" w:line="226" w:lineRule="auto"/>
        <w:tabs>
          <w:tab w:leader="none" w:pos="18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groundwater, drinking water sources, landfill leachate, and wastewater treatment facilities.</w:t>
      </w:r>
      <w:r>
        <w:rPr>
          <w:rFonts w:ascii="Times New Roman" w:cs="Times New Roman" w:eastAsia="Times New Roman" w:hAnsi="Times New Roman"/>
          <w:sz w:val="29"/>
          <w:szCs w:val="29"/>
          <w:color w:val="auto"/>
          <w:vertAlign w:val="superscript"/>
        </w:rPr>
        <w:t>®</w:t>
      </w:r>
    </w:p>
    <w:p>
      <w:pPr>
        <w:spacing w:after="0" w:line="1" w:lineRule="exact"/>
        <w:rPr>
          <w:rFonts w:ascii="Times New Roman" w:cs="Times New Roman" w:eastAsia="Times New Roman" w:hAnsi="Times New Roman"/>
          <w:sz w:val="36"/>
          <w:szCs w:val="36"/>
          <w:color w:val="auto"/>
          <w:vertAlign w:val="superscript"/>
        </w:rPr>
      </w:pPr>
    </w:p>
    <w:p>
      <w:pPr>
        <w:ind w:left="180" w:hanging="177"/>
        <w:spacing w:after="0" w:line="187" w:lineRule="auto"/>
        <w:tabs>
          <w:tab w:leader="none" w:pos="180" w:val="left"/>
        </w:tabs>
        <w:numPr>
          <w:ilvl w:val="0"/>
          <w:numId w:val="6"/>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Pursue opportunities for the expanded use of our products in environmental, building and construction, infrastructure, and oil and gas drilling, and water treatment globally.</w:t>
      </w:r>
    </w:p>
    <w:p>
      <w:pPr>
        <w:spacing w:after="0" w:line="35" w:lineRule="exact"/>
        <w:rPr>
          <w:rFonts w:ascii="Times New Roman" w:cs="Times New Roman" w:eastAsia="Times New Roman" w:hAnsi="Times New Roman"/>
          <w:sz w:val="32"/>
          <w:szCs w:val="32"/>
          <w:color w:val="auto"/>
          <w:vertAlign w:val="subscript"/>
        </w:rPr>
      </w:pPr>
    </w:p>
    <w:p>
      <w:pPr>
        <w:ind w:left="180" w:hanging="177"/>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presence and market share for geosynthetic clay liners globally.</w:t>
      </w:r>
    </w:p>
    <w:p>
      <w:pPr>
        <w:spacing w:after="0" w:line="2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All Segments</w:t>
      </w:r>
    </w:p>
    <w:p>
      <w:pPr>
        <w:spacing w:after="0" w:line="320" w:lineRule="exact"/>
        <w:rPr>
          <w:sz w:val="20"/>
          <w:szCs w:val="20"/>
          <w:color w:val="auto"/>
        </w:rPr>
      </w:pPr>
    </w:p>
    <w:p>
      <w:pPr>
        <w:ind w:left="180" w:hanging="177"/>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Operational Excellence principles into all aspects of the organization, including system infrastructure and lean principles.</w:t>
      </w:r>
    </w:p>
    <w:p>
      <w:pPr>
        <w:spacing w:after="0" w:line="76" w:lineRule="exact"/>
        <w:rPr>
          <w:rFonts w:ascii="Times New Roman" w:cs="Times New Roman" w:eastAsia="Times New Roman" w:hAnsi="Times New Roman"/>
          <w:sz w:val="18"/>
          <w:szCs w:val="18"/>
          <w:color w:val="auto"/>
        </w:rPr>
      </w:pPr>
    </w:p>
    <w:p>
      <w:pPr>
        <w:ind w:left="180" w:hanging="177"/>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explore selective acquisitions to fit our competencies in minerals and our core technologies.</w:t>
      </w:r>
    </w:p>
    <w:p>
      <w:pPr>
        <w:spacing w:after="0" w:line="2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However, there can be no assurance that we will achieve success in implementing any one or more of these opportunities.</w:t>
      </w:r>
    </w:p>
    <w:p>
      <w:pPr>
        <w:spacing w:after="0" w:line="200" w:lineRule="exact"/>
        <w:rPr>
          <w:sz w:val="20"/>
          <w:szCs w:val="20"/>
          <w:color w:val="auto"/>
        </w:rPr>
      </w:pPr>
    </w:p>
    <w:p>
      <w:pPr>
        <w:spacing w:after="0" w:line="2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50165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00" w:top="378" w:right="3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5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 ended April 5, 2026 as compared with three-month period ended March 30, 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Income Statement Review</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2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7"/>
        </w:trPr>
        <w:tc>
          <w:tcPr>
            <w:tcW w:w="1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Apr. 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Mar. 30,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491.8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372.2</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4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margin</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58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Production margin %</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Marketing and administrative expenses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litigation accrual and credit losses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215.0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items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Litigation expenses</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non-operating income (deductions), net</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non-operating deductions,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tax and equity in earnings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(benefit) for taxes on income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affiliates, net of tax</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4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Minerals Technologies Inc.</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Percentage not meaningful</w:t>
            </w: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Apr. 5, 2026</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Mar. 30, 2025</w:t>
            </w:r>
          </w:p>
        </w:tc>
        <w:tc>
          <w:tcPr>
            <w:tcW w:w="0" w:type="dxa"/>
            <w:vAlign w:val="bottom"/>
          </w:tcPr>
          <w:p>
            <w:pPr>
              <w:spacing w:after="0"/>
              <w:rPr>
                <w:sz w:val="1"/>
                <w:szCs w:val="1"/>
                <w:color w:val="auto"/>
              </w:rPr>
            </w:pPr>
          </w:p>
        </w:tc>
      </w:tr>
      <w:tr>
        <w:trPr>
          <w:trHeight w:val="187"/>
        </w:trPr>
        <w:tc>
          <w:tcPr>
            <w:tcW w:w="1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38"/>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3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60" w:type="dxa"/>
            <w:vAlign w:val="bottom"/>
          </w:tcPr>
          <w:p>
            <w:pPr>
              <w:spacing w:after="0"/>
              <w:rPr>
                <w:sz w:val="20"/>
                <w:szCs w:val="20"/>
                <w:color w:val="auto"/>
              </w:rPr>
            </w:pP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280.6</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266.3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&amp; Specialties Segment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Engineered Solutions Segment</w:t>
            </w:r>
          </w:p>
        </w:tc>
        <w:tc>
          <w:tcPr>
            <w:tcW w:w="16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6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23" w:name="page24"/>
    <w:bookmarkEnd w:id="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Worldwide net sales increased 11% to $546.9 million in the first quarter from $491.8 million in the prior year. Foreign exchange had a favorable impact on sales of $17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in the United States increased to $280.6 million in the first quarter of 2026 from $262.4 million in the first quarter of 2025. International sales increased to $266.3 million from $229.4 million in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goods sold was $415.8 million and represented 76.0% of sales for the three-month period ended April 5, 2026, as compared with $372.2 million and 75.7% of sales in the prior year. Production margin decreased from 24.3% of sales in the prior year to 24.0% of sales in the first quarter of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Marketing and administrative costs were $57.5 million and 10.5% of sales for the three-month period ended April 5, 2026, as compared to $50.6 million and 10.3% of sales in the prior year.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$6.1 million and represented 1.1% of sales for the three-month period ended April 5, 2026, as compared with $5.8 million and 1.2% of sales in the prior year.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2025, the Company recorded a provision of $215 million to establish an accrual for estimated costs to fund a trust to resolve all current and future talc-related claims as well as fund the bankruptcy of Oldco and BVT, and related litigation costs (including a $30 million increase to the maximum principal amount of financing under the Debtor-in-Possession Credit Agreement the Company entered into with Oldco in 2024). Additionally, the Company initiated a cost savings program and recorded a charge of $5.5 million for severance and other related costs.</w:t>
      </w:r>
    </w:p>
    <w:p>
      <w:pPr>
        <w:spacing w:after="0" w:line="18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Company recorded litigation and settlement expenses of $8.8 million and $2.8 million during the three-month periods ending April 5, 2026 and March 30, 2025, respectively in connection with the bankruptcy of Oldco and lawsuits related to talc products sold by Oldco.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income from operations of $58.7 million and loss from operations of $160.1 million during the three-month periods ending April 5, 2026 and March 30, 2025, respectively. Income (loss) from operations includes litigation expenses in connection with Oldco’s bankruptcy filing and lawsuits related to talc products sold by Oldco of $8.8 million and $2.8 million during the three-month periods ended April 5, 2026 and March 30, 2025, respectively. Prior year loss from operations includes a provision for litigation accrual of $215 million and restructuring costs of $5.5 million for the three-month period ended March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Deductions, net</w:t>
      </w:r>
    </w:p>
    <w:p>
      <w:pPr>
        <w:spacing w:after="0" w:line="22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In the first quarter of 2026, non-operating deductions were $12.8 million, as compared with $16.2 million in the prior year. Included in other non-operating deductions in the first quarter of 2026 was net interest expense of $13.3 million, as compared to $14.2 million in the first quarter of the prior year.</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(Benefit) for Taxes on Income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 for taxes on income was $9.9 million, as compared with a benefit for taxes on loss of $32.1 million in the prior year. The effective tax rate was 21.5%, as compared with 18.2% in the prior year. The rate was primarily higher due to the provision for litigation accrual recorded in the first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MTI Shareholders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attributable to MTI shareholders was $36.2 million for the three-month period ended April 5, 2026 and included a $6.6 million charge, net of tax. This charge consisted of litigation expenses.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attributable to MTI shareholders was $144.0 million for the three-month period ended March 30, 2025 and included a $180.4 million charge, net of tax. This charge consisted of a provision for litigation accrual and credit losses, restructuring and other items, and litigation expenses.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Review</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2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discussions highlight the operating results for each of our two segments.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7"/>
        </w:trPr>
        <w:tc>
          <w:tcPr>
            <w:tcW w:w="12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Apr. 5,</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Mar. 30,</w:t>
            </w: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&amp; Specialties Segment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2"/>
        </w:trPr>
        <w:tc>
          <w:tcPr>
            <w:tcW w:w="7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spacing w:after="0"/>
              <w:rPr>
                <w:sz w:val="20"/>
                <w:szCs w:val="20"/>
                <w:color w:val="auto"/>
              </w:rPr>
            </w:pPr>
          </w:p>
        </w:tc>
        <w:tc>
          <w:tcPr>
            <w:tcW w:w="24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Household &amp; Personal Care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Specialty Additives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2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7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sales in the Consumer &amp; Specialties segment was $296.6 million for the three-month period ended April 5, 2026, as compared with $268.3 million in the prior year. Household &amp; Personal Care sales increased 16% to $142.4 million, as compared with $123.1 million in the prior year, driven by cat litter, animal health, and edible oil and renewable fuel purification sales. Sales in Specialty Additives increased 6% to $154.2 million as compared with prior year primarily driven by higher sales to paper and packaging customers.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from operations was $32.5 million, as compared to $27.5 million in the prior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7"/>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Apr. 5,</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Mar. 30,</w:t>
            </w: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Engineered Solutions Segment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2"/>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spacing w:after="0"/>
              <w:rPr>
                <w:sz w:val="20"/>
                <w:szCs w:val="20"/>
                <w:color w:val="auto"/>
              </w:rPr>
            </w:pPr>
          </w:p>
        </w:tc>
        <w:tc>
          <w:tcPr>
            <w:tcW w:w="24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High-Temperature Technologies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Environmental &amp; Infrastructure</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72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7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sales in the Engineered Solutions segment increased 12% to $250.3 million from $223.5 million in the prior year. High-Temperature Technologies sales increased 8% to $183.3 million, as compared with $169.4 million in the prior year, primarily related to higher sales to steel customers and supported by a stable performance in our foundry business. Environmental &amp; Infrastructure sales increased 24% to $67.0 million, as compared with $54.1 million in the prior year driven by strength in environmental lining systems, infrastructure drilling, and offshore water treatment.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from operations was $39.3 million and 15.7% of sales, as compared with $33.6 million and 15.0% of sales in the prior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flow provided by operations during the three-month period ended April 5, 2026, was approximately $32.1 million. Cash flows from operations during the first three months of 2026 were principally used to fund capital expenditures, repurchase shares, and to pay the Company’s dividend to common shareholders. The aggregate maturities of long-term debt are as follows: remainder of 2026 - $4.9 million; 2027 - $6.0 million; 2028 - $405.8 million; 2029 - $5.7 million; 2030 - $5.7 million; thereafter - $540.5 million.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26, 2024, the Company entered into a Refinancing Facility Agreement and Incremental Facility Amendment (the “Amendment”) to amend the Company’s previous credit agreement (the “Previous Credit Agreement;” the previous credit agreement, as amended by the Amendment, being the “Amended Credit Agreement”). The Amendment provides for, among other things, a new senior secured revolving credit facility with aggregate commitments of $400 million (the “Revolving Facility”), a portion of which may be used for the issuance of letters of credit and swingline loans, and a new senior secured term loan facility with aggregate commitments of $575 million (the “Term Loan Facility” and, together with the Revolving Facility, the “Senior Secured Credit Facilities”). The Revolving Facility and the Term Loan Facility replace the facilities under the Previous Credit Agreement, which provided for, among other things, a $550 million senior secured term loan facility and a $300 million senior secured revolving credit facility. The maturity date for loans and commitments under the Revolving Facility is November 26, 2029, and the maturity date for loans under the Term Loan Facility is November 26, 2031; provided that the maturity dates of the Revolving Facility and the Term Loan Facility will be adjusted to the date that is 91 days prior to the stated maturity date of the Company’s 5.0% Senior Notes due 2028 (the “Notes”) unless, prior to the date that is 91 days prior to the stated maturity date of the Notes, all amounts in excess of $50 million of the Notes have been either (a) refinanced with indebtedness permitted under the Amended Credit Agreement maturing later than 90 days after the scheduled maturity date of the Revolving Facility or of the Term Loan Facility, as applicable, or (b) repaid, discharged, or repaid (other than with the proceeds of any indebtedness maturing earlier than 91 days after the scheduled maturity date of the Revolving Facility or of the Term Loan Facility, as applicable). Loans under the Term Loan Facility amortize at a rate equal to 1.00% per annum, payable in equal quarterly installments, and were issued with original issue discount at 99.875% of par.</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Loans under the Revolving Facility will bear interest at a rate equal to (a) for loans denominated in U.S. dollars, at the election of the Company, Term SOFR plus an applicable margin equal to 1.375% per annum, or a base rate plus an applicable margin equal to 0.375% per annum, (b) for loans denominated in Euros, adjusted EURIBOR plus an applicable margin equal to 1.375% per annum and (c) for loans denominated in Pounds Sterling, SONIA plus an applicable margin equal to 1.375% per annum, subject in each case to (i) an increase of 37.5 basis points in the event that, and for so long as, the Net Leverage Ratio (as defined in the Amended Credit Agreement) is greater than or equal to 3.00 to 1.00 as of the last day of the preceding fiscal quarter, (ii) an increase of 12.5 basis points in the event that, and for so long as, the Net Leverage Ratio is less than 3.00 to 1.00 and greater than or equal to 2.00 to 1.00 as of the last day of the preceding fiscal quarter, and (iii) a decrease of 12.5 basis points in the event that, and for so long as, the Net Leverage Ratio is less than 1.00 to 1.00 as of the last day of the preceding fiscal quarter. Loans under the Term Loan Facility will bear interest at a rate equal to, at the election of the Company, Term SOFR plus an applicable margin equal to 2.00% per annum or a base rate plus an applicable margin equal to 1.00% per annum. The Company will pay certain fees under the Amended Credit Agreement, including (a) a commitment fee of 0.175% per annum on the undrawn portion of the Revolving Facility (subject to a step-ups to 0.300% and 0.250% and a step-down to 0.150% at the same levels described above), (b) a fronting fee of 0.125% per annum on the average daily undrawn amount of, plus unreimbursed amounts in respect of disbursements under, letters of credit issued under the Revolving Facility and (c) customary annual administration fees. The obligations of the Company under the Senior Secured Credit Facilities are unconditionally guaranteed jointly and severally by, subject to certain exceptions, all material domestic subsidiaries of the Company (the “Guarantors”) and secured, subject to certain exceptions, by a security interest in substantially all of the tangible and intangible assets of the Company and the Guarantors.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5, 2026, there were $6.0 million in loans and $9.2 million in letters of credit outstanding under the Revolving Facility.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30, 2020, the Company issued $400 million aggregate principal amount of Notes. The Notes were issued pursuant to an indenture, dated as of June 30, 2020, between the Company and The Bank of New York Mellon Trust Company, N.A., as trustee (the “Indenture”). The Notes bear an interest rate of 5.0% per annum payable semi-annually on January 1 and July 1 of each year, beginning on January 1, 2021. The Notes are unconditionally guaranteed on a senior unsecured basis by each of the Company’s existing and future wholly owned domestic restricted subsidiaries that is a borrower under or that guarantees the Company’s obligations under its Senior Secured Credit Facilities or that guarantees the Company’s or any of the Company’s wholly owned domestic subsidiaries’ long-term indebtedness in an aggregate amount in excess of $50 million.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may redeem some or all of the Notes at any time and from time to time at the applicable redemption prices listed in the Indenture, plus accrued and unpaid interest, if any, to, but excluding, the applicable redemption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Credit Agreement and the Indenture both contain certain customary affirmative and negative covenants that limit or restrict the ability of the Company and its restricted subsidiaries to enter into certain transactions or take certain actions, as well as customary events of default. In addition, the Amended Credit Agreement contains a financial covenant that requires the Company to maintain a maximum Net Leverage Ratio of 4.00 to 1.00 for each four fiscal quarter period (subject to an increase to 5.00 to 1.00 for four quarters in connection with certain significant acquisitions). The Company is in compliance with all the covenants contained in the Amended Credit Agreement throughout the period covered by this report.</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 committed loan facility in Japan. As of April 5, 2026, $0.3 million was outstanding under this loan facility. Principal will be repaid in accordance with the payment schedule ending in 2026. The Company repaid $0.1 on this loan during the first three months of 2026.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Concept Pet acquisition, the Company assumed $1.9 million in long-term debt, recorded at fair value, consisting of two terms loans, one that matured in 2025 and one that matures in 2027. The outstanding loan has annual payments and carries a variable interest rate. The Company did not make any repayments on this loan during the first three months of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5, 2026, the Company had $18.3 million in uncommitted short-term bank credit lines, of which none were in use. The credit lines are primarily outside the U.S. and are generally one year in term at competitive market rates at large, well-established institutions. The Company typically uses its available credit lines to fund working capital requirements or local capital spending needs.</w:t>
      </w:r>
    </w:p>
    <w:p>
      <w:pPr>
        <w:spacing w:after="0" w:line="176" w:lineRule="exact"/>
        <w:rPr>
          <w:sz w:val="20"/>
          <w:szCs w:val="20"/>
          <w:color w:val="auto"/>
        </w:rPr>
      </w:pPr>
    </w:p>
    <w:p>
      <w:pPr>
        <w:ind w:right="20" w:firstLine="671"/>
        <w:spacing w:after="0" w:line="266" w:lineRule="auto"/>
        <w:rPr>
          <w:sz w:val="20"/>
          <w:szCs w:val="20"/>
          <w:color w:val="auto"/>
        </w:rPr>
      </w:pPr>
      <w:r>
        <w:rPr>
          <w:rFonts w:ascii="Times New Roman" w:cs="Times New Roman" w:eastAsia="Times New Roman" w:hAnsi="Times New Roman"/>
          <w:sz w:val="18"/>
          <w:szCs w:val="18"/>
          <w:color w:val="auto"/>
        </w:rPr>
        <w:t>We anticipate that capital expenditures for 2026 should be between $90 million and $100 million, principally related to opportunities to improve our operations and meet our strategic growth objectives. We expect to meet our other long-term financing requirements from internally generated funds and committed and uncommitted bank credit lines.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2023, the Company entered into a new floating to fixed interest rate swap for a notional amount of $150 million. The fair value of this instrument at April 5, 2026 is a liability less than $0.1 million.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16, 2024, the Company's Board of Directors authorized the Company's management to repurchase, at its discretion, up to $200 million of the Company's shares. As of April 5, 2026, 1,079,712 shares have been repurchased under this program for $66.7 million, or an average price of approximately $61.74 per share. This authorization has no expiration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required to make future payments under various contracts, including debt agreements and lease agreements. The Company also has commitments to fund its pension plans and provide payments for other post-retirement benefit plans. During the three-month period ended April 5, 2026, there were no material changes in the Company’s contractual obligations.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and certain of the Company’s subsidiaries are among numerous defendants in over nine hundred cases seeking damages for alleged exposure to asbestos-contaminated talc products sold by the Company’s subsidiary Oldco. The Company’s position is that these cases are meritless and all talc products sold by Oldco are safe. On October 2, 2023 (the “Petition Date”), notwithstanding the Company’s confidence in the safety of Oldco’s talc products, Oldco and Barretts Ventures Texas LLC (“BVT” and together with Oldco, the “Chapter 11 Debtors”) filed voluntary petitions for relief under Chapter 11 of the U.S. Bankruptcy Code in the United States Bankruptcy Court for the Southern District of Texas (the “Chapter 11 Cases”) to address and comprehensively resolve Oldco’s liabilities associated with talc. Minerals Technologies Inc. and the Company’s other subsidiaries were not included in the Chapter 11 filing.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Chapter 11 Debtors’ ultimate goal in the Chapter 11 Cases is to confirm a plan of reorganization under Section 524(g) of the U.S. Bankruptcy Code and utilize this provision of the Bankruptcy Code to establish a trust that will address all current and future talc-related claims. Discussions regarding the terms of a potential consensual plan of reorganization and the ultimate amount to be contributed to any trust are ongoing.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second quarter of 2024, Oldco sold its talc assets under section 363 of the U.S. Bankruptcy Code. In addition, in the second quarter of 2024, the Company entered into a Debtor-in-Possession Credit Agreement with Oldco (the “DIP Credit Agreement”) and recorded a provision for credit loss of $30 million for the maximum principal amount under such DIP Credit Agreement. In the second quarter of 2025, the Company amended the DIP Credit Agreement to increase the maximum principal amount available under the DIP Credit Agreement by $30 million. Proceeds of the sale of Oldco’s talc assets, as well as the funds drawn by Oldco under the DIP Credit Agreement, have been and will be used to fund the Chapter 11 Cases.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2025, the Company recorded a provision to establish an accrual of $215 million for estimated costs to fund a trust to resolve all current and future talc-related claims as well as fund the Chapter 11 Cases and related litigation costs (including the aforementioned $30 million increase to the maximum principal amount of the DIP Credit Agreement). The parties have not yet reached a final resolution of all matters in the Chapter 11 Cases, and the Company is unable to estimate the possible loss or range of loss beyond the amount accrued.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pendency of the Chapter 11 Cases, the Company anticipates that the Chapter 11 Debtors will benefit from the operation of the automatic stay, which stays ongoing litigation in connection with talc-related claims against Oldco. In addition, the Bankruptcy Court temporarily enjoined the filing or continued prosecution of all talc-related claims against the Chapter 11 Debtors’ non-debtor affiliates, subject to certain exceptions. Such exceptions consist of claims premised solely on alleged inadequacies in testing of talc sold by Oldco. The Company is vigorously opposing and defending against these claims. The Chapter 11 Debtors have been deconsolidated from the Company’s financial statements since the Petition Date.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Chapter 11 Cases are progressing, it is not possible to predict how the District Court will rule on the pending motions, the form of any ultimate resolution, or when an ultimate resolution might occur at this time. Accordingly, the Company is unable to estimate the possible loss or range of loss related to the amount that will be necessary to fully and finally resolve all of the Chapter 11 Debtors’ current and future talc-related claims in connection with a confirmed Chapter 11 plan of reorganization beyond the amount accrued. See Note 12 to the Condensed Consolidated Financial Statements included in this report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for “Safe Harbor” Purposes under the Private Securities Litigation Reform Act of 1995</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made by or on behalf of the Company. This report contains statements that the Company believes may be “forward-looking statements” within the meaning of Section 21E of the Securities Exchange Act of 1934, particularly statements relating to the Company’s objectives, plans or goals, future actions, future performance or results of current and anticipated products, sales efforts, expenditures, and financial results. From time to time, the Company also provides forward-looking statements in other publicly-released materials, both written and oral. Forward-looking statements provide current expectations and forecasts of future events such as new products, revenues, and financial performance, and are not limited to describing historical or current facts. They can be identified by the use of words such as “outlook,” “forecast,” “believes,” “expects,” “plans,” “intends,” “anticipates,” and other words and phrases of similar meaning.</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Forward-looking statements are necessarily based on assumptions, estimates and limited information available at the time they are made. A broad variety of risks and uncertainties, both known and unknown, as well as the inaccuracy of assumptions and estimates, can affect the realization of the expectations or forecasts in these statements. Many of these risks and uncertainties are difficult to predict or are beyond the Company’s control. Consequently, no forward-looking statement can be guaranteed. Actual future results may vary materially. Significant factors that could affect the expectations and forecasts include worldwide general economic, business, and industry conditions; the cyclicality of our customers’ businesses and their changing regional demands; our ability to compete in very competitive industries; consolidation in customer industries, principally paper, foundry and steel; our ability to renew or extend long term sales contracts for our satellite operations; our ability to generate cash to service our debt; our ability to comply with the covenants in the agreements governing our debt; our ability to effectively achieve and implement our growth initiatives or consummate the transactions described in the statements; our ability to successfully develop new products; our ability to defend our intellectual property; the increased risks of doing business abroad including with respect to changes in tariffs; the availability of raw materials and access to ore reserves at our mining operations, or increases in costs of raw materials, energy, or shipping; compliance with or changes to regulation in the areas of environmental, health and safety, and tax; risks and uncertainties related to the voluntary petitions for relief under Chapter 11 of the U.S. Bankruptcy Code filed by our subsidiaries BMI Oldco Inc. (f/k/a Barretts Minerals Inc.) and Barretts Ventures Texas LLC; claims for legal, environmental and tax matters or product stewardship issues; operating risks and capacity limitations affecting our production facilities; seasonality of some of our businesses; cybersecurity and other threats relating to our information technology systems; and other risk factors set forth under “Item 1A — Risk Factors” in the Company’s Annual Report on Form 10-K for the year ended December 31, 2025, and in Exhibit 99 to this Quarterly Report on Form 10-Q.</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undertakes no obligation to update any forward-looking statements to reflect events or circumstances that arise after the date hereof.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should refer to the Company’s subsequent filings under the Securities Exchange Act of 1934 for further disclosures.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to accounting principles generally accepted in the United States of America (U.S. GAAP) are established by the Financial Accounting Standards Board (FASB) in the form of accounting standards updates (ASUs) to the FASB’s Accounting Standards Codification. The Company considers the applicability and impact of all ASUs. ASUs not listed below were assessed and determined to be either not applicable or are expected to have minimal impact on our consolidated financial position and results of operations.</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Income Statement-Reporting Comprehensive Income-Expense Disaggregation Disclosures (Subtopic 220-40): Disaggregation of Income Statement Expenses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that requires entities to disclose additional information in the notes to the financial statements about prescribed categories underlying any relevant income statement expense caption. The new standard is effective for annual reporting periods beginning after December 15, 2026, and interim periods within annual reporting periods beginning after December 15, 2027. The adoption of this standard is not expected to have a material impact on the Company’s Consolidated Financial Statements but will result in disaggregation of the Company's income statement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generally accepted accounting principles. The preparation of these financial statements requires us to make estimates and judgments that affect the reported amounts of assets, liabilities, revenues and expenses, and related disclosure of contingent assets and liabilities.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including those related to revenue recognition, valuation of long-lived assets, goodwill and other intangible assets, income taxes, including valuation allowances and pension plan assumptions. We base our estimates on historical experience and on other assumptions that we believe to be reasonable under the circumstances, the results of which form the basis for making judgments about the carrying values of assets and liabilities that cannot readily be determined from other sources. There can be no assurance that actual results will not differ from those estimates.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estimates that our accounting policies require us to make in the preparation of our consolidated financial statements, as described in the 2025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results of operations or cash flows due to adverse changes in market prices and foreign currency and interest rates. We are exposed to market risk because of changes in foreign currency exchange rates as measured against the U.S. dollar. We do not anticipate that near-term changes in exchange rates will have a material impact on our future earnings or cash flows. However, there can be no assurance that a sudden and significant decline in the value of foreign currencies would not have a material adverse effect on our financial condition and results of operations. A portion of our long-term bank debt bears interest at variable rates; therefore, our results of operations would be affected by interest rate changes to the extent of such outstanding bank debt. An immediate 10 percent change in interest rates would not have a material effect on our results of operations over the next fiscal year. A one-percent change in interest rates, inclusive of the impact of our interest rate derivatives, would result in $4.2 million in incremental interest charges on an annual basis.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enter into derivatives or other financial instruments for trading or speculative purposes. When appropriate, we enter into derivative financial instruments, such as forward exchange contracts, hedges, and interest rate swaps, to mitigate the impact of foreign exchange rate movements and interest rate movements on our operating results. The counterparties are major financial institutions. Such forward exchange contracts, hedges and interest rate swaps would not subject us to additional risk from exchange rate or interest rate movements because gains and losses on these contracts would offset losses and gains on the assets, liabilities, and transactions being hedged.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2023, the Company entered into a floating to fixed interest rate swap for a notional amount of $150 million. The fair value of this instrument at April 5, 2026 is a liability less than $0.1 million.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and under the supervision and with participation of the Company’s management, including the Chief Executive Officer and the Chief Financial Officer, the Company carried out an evaluation of the effectiveness of the design and operation of the Company’s disclosure controls and procedures, pursuant to Exchange Act Rule 13a-15(b). Based upon that evaluation, the Chief Executive Officer and Chief Financial Officer concluded that as of the end of the period covered by this report the Company’s disclosure controls and procedures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during the quarter ended April 5, 2026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and its subsidiaries are the subject of various legal actions and claims arising in the ordinary course of their businesses. The most significant litigation facing the Company are cases seeking damages for alleged exposure to asbestos-contaminated talc products sold by the Company's subsidiary BMI Oldco Inc. (f/k/a Barretts Minerals Inc.) ("Oldco") and the talc-related Chapter 11 cases of Oldco and Barretts Ventures Texas LLC. Additional information regarding legal proceedings is disclosed in Note 12 to the Condensed Consolidated Financial Statements included elsewhere in this report, which disclosure is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a description of Risk Factors, see Exhibit 99 attached to this report. There have been no material changes to our risk factors from those disclosed in our 2025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9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00" w:type="dxa"/>
            <w:vAlign w:val="bottom"/>
          </w:tcPr>
          <w:p>
            <w:pPr>
              <w:spacing w:after="0"/>
              <w:rPr>
                <w:sz w:val="18"/>
                <w:szCs w:val="18"/>
                <w:color w:val="auto"/>
              </w:rPr>
            </w:pP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6"/>
        </w:trPr>
        <w:tc>
          <w:tcPr>
            <w:tcW w:w="49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6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of the Publicly</w:t>
            </w:r>
          </w:p>
        </w:tc>
        <w:tc>
          <w:tcPr>
            <w:tcW w:w="10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Yet be Purchased</w:t>
            </w:r>
          </w:p>
        </w:tc>
      </w:tr>
      <w:tr>
        <w:trPr>
          <w:trHeight w:val="238"/>
        </w:trPr>
        <w:tc>
          <w:tcPr>
            <w:tcW w:w="492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6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0"/>
                <w:szCs w:val="20"/>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Announced Program</w:t>
            </w:r>
          </w:p>
        </w:tc>
        <w:tc>
          <w:tcPr>
            <w:tcW w:w="10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Under the Program</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February 1</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1,032,024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136,653,990</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February 2 - March 1</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18,049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71.38</w:t>
            </w:r>
          </w:p>
        </w:tc>
        <w:tc>
          <w:tcPr>
            <w:tcW w:w="1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1,050,073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135,365,651</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2 - April 5</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68.51</w:t>
            </w:r>
          </w:p>
        </w:tc>
        <w:tc>
          <w:tcPr>
            <w:tcW w:w="1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1,079,712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133,334,952</w:t>
            </w: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79,590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16, 2024, the Company’s Board of Directors authorized the Company’s management to repurchase, at its discretion, up to $200 million of the Company’s shares. As of April 5, 2026, 1,079,712 shares have been repurchased under this program for $66.7 million, or an average price of approximately $61.74 per share. This authorization has no expiration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April 5, 2026, none of our directors or executive officers adopted or terminated any Rule 10b5-1 trading arrangement or any non-Rule 10b5-1 trading arrangement (as such terms are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6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160" w:hanging="770"/>
        <w:spacing w:after="0"/>
        <w:tabs>
          <w:tab w:leader="none" w:pos="1160" w:val="left"/>
        </w:tabs>
        <w:numPr>
          <w:ilvl w:val="0"/>
          <w:numId w:val="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Letter Regarding Unaudited Interim Financial Information.</w:t>
      </w:r>
    </w:p>
    <w:p>
      <w:pPr>
        <w:spacing w:after="0" w:line="23"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7"/>
          <w:szCs w:val="17"/>
          <w:color w:val="auto"/>
        </w:rPr>
        <w:t>Rule 13a-14(a)/15d-14(a) Certification executed by the Company’s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2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31.2</w:t>
      </w:r>
      <w:r>
        <w:rPr>
          <w:sz w:val="20"/>
          <w:szCs w:val="20"/>
          <w:color w:val="auto"/>
        </w:rPr>
        <w:tab/>
      </w:r>
      <w:r>
        <w:rPr>
          <w:rFonts w:ascii="Times New Roman" w:cs="Times New Roman" w:eastAsia="Times New Roman" w:hAnsi="Times New Roman"/>
          <w:sz w:val="17"/>
          <w:szCs w:val="17"/>
          <w:color w:val="auto"/>
        </w:rPr>
        <w:t>Rule 13a-14(a)/15d-14(a) Certification executed by the Company’s principal financial officer.</w:t>
      </w:r>
    </w:p>
    <w:p>
      <w:pPr>
        <w:spacing w:after="0" w:line="9" w:lineRule="exact"/>
        <w:rPr>
          <w:sz w:val="20"/>
          <w:szCs w:val="20"/>
          <w:color w:val="auto"/>
        </w:rPr>
      </w:pPr>
    </w:p>
    <w:p>
      <w:pPr>
        <w:ind w:left="1160" w:hanging="770"/>
        <w:spacing w:after="0"/>
        <w:tabs>
          <w:tab w:leader="none" w:pos="1160" w:val="left"/>
        </w:tabs>
        <w:numPr>
          <w:ilvl w:val="0"/>
          <w:numId w:val="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Section 1350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60" w:hanging="770"/>
        <w:spacing w:after="0"/>
        <w:tabs>
          <w:tab w:leader="none" w:pos="1160" w:val="left"/>
        </w:tabs>
        <w:numPr>
          <w:ilvl w:val="0"/>
          <w:numId w:val="1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Information concerning Mine Safety Violations</w:t>
      </w:r>
    </w:p>
    <w:p>
      <w:pPr>
        <w:spacing w:after="0" w:line="9" w:lineRule="exact"/>
        <w:rPr>
          <w:sz w:val="20"/>
          <w:szCs w:val="20"/>
          <w:color w:val="auto"/>
        </w:rPr>
      </w:pPr>
    </w:p>
    <w:p>
      <w:pPr>
        <w:ind w:left="1160" w:hanging="770"/>
        <w:spacing w:after="0"/>
        <w:tabs>
          <w:tab w:leader="none" w:pos="1160" w:val="left"/>
        </w:tabs>
        <w:numPr>
          <w:ilvl w:val="0"/>
          <w:numId w:val="1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Risk Factors</w:t>
      </w:r>
    </w:p>
    <w:tbl>
      <w:tblPr>
        <w:tblLayout w:type="fixed"/>
        <w:tblInd w:w="0" w:type="dxa"/>
        <w:tblCellMar>
          <w:top w:w="0" w:type="dxa"/>
          <w:left w:w="0" w:type="dxa"/>
          <w:bottom w:w="0" w:type="dxa"/>
          <w:right w:w="0" w:type="dxa"/>
        </w:tblCellMar>
      </w:tblPr>
      <w:tr>
        <w:trPr>
          <w:trHeight w:val="207"/>
        </w:trPr>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 within</w:t>
            </w:r>
          </w:p>
        </w:tc>
      </w:tr>
      <w:tr>
        <w:trPr>
          <w:trHeight w:val="234"/>
        </w:trPr>
        <w:tc>
          <w:tcPr>
            <w:tcW w:w="1000" w:type="dxa"/>
            <w:vAlign w:val="bottom"/>
            <w:shd w:val="clear" w:color="auto" w:fill="CCEEFF"/>
          </w:tcPr>
          <w:p>
            <w:pPr>
              <w:spacing w:after="0"/>
              <w:rPr>
                <w:sz w:val="20"/>
                <w:szCs w:val="20"/>
                <w:color w:val="auto"/>
              </w:rPr>
            </w:pPr>
          </w:p>
        </w:tc>
        <w:tc>
          <w:tcPr>
            <w:tcW w:w="10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10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1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16"/>
        </w:trPr>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 in Exhibit 101).</w:t>
            </w:r>
          </w:p>
        </w:tc>
      </w:tr>
      <w:tr>
        <w:trPr>
          <w:trHeight w:val="378"/>
        </w:trPr>
        <w:tc>
          <w:tcPr>
            <w:tcW w:w="1000" w:type="dxa"/>
            <w:vAlign w:val="bottom"/>
          </w:tcPr>
          <w:p>
            <w:pPr>
              <w:spacing w:after="0"/>
              <w:rPr>
                <w:sz w:val="24"/>
                <w:szCs w:val="24"/>
                <w:color w:val="auto"/>
              </w:rPr>
            </w:pPr>
          </w:p>
        </w:tc>
        <w:tc>
          <w:tcPr>
            <w:tcW w:w="10240" w:type="dxa"/>
            <w:vAlign w:val="bottom"/>
          </w:tcPr>
          <w:p>
            <w:pPr>
              <w:ind w:left="4560"/>
              <w:spacing w:after="0"/>
              <w:rPr>
                <w:sz w:val="20"/>
                <w:szCs w:val="20"/>
                <w:color w:val="auto"/>
              </w:rPr>
            </w:pPr>
            <w:r>
              <w:rPr>
                <w:rFonts w:ascii="Times New Roman" w:cs="Times New Roman" w:eastAsia="Times New Roman" w:hAnsi="Times New Roman"/>
                <w:sz w:val="13"/>
                <w:szCs w:val="13"/>
                <w:color w:val="auto"/>
              </w:rPr>
              <w:t>31</w:t>
            </w:r>
          </w:p>
        </w:tc>
      </w:tr>
      <w:tr>
        <w:trPr>
          <w:trHeight w:val="62"/>
        </w:trPr>
        <w:tc>
          <w:tcPr>
            <w:tcW w:w="1000" w:type="dxa"/>
            <w:vAlign w:val="bottom"/>
            <w:tcBorders>
              <w:bottom w:val="single" w:sz="8" w:color="auto"/>
            </w:tcBorders>
          </w:tcPr>
          <w:p>
            <w:pPr>
              <w:spacing w:after="0"/>
              <w:rPr>
                <w:sz w:val="5"/>
                <w:szCs w:val="5"/>
                <w:color w:val="auto"/>
              </w:rPr>
            </w:pPr>
          </w:p>
        </w:tc>
        <w:tc>
          <w:tcPr>
            <w:tcW w:w="102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3" w:right="339" w:bottom="1440" w:gutter="0" w:footer="0" w:header="0"/>
        </w:sectPr>
      </w:pPr>
    </w:p>
    <w:bookmarkStart w:id="31" w:name="page32"/>
    <w:bookmarkEnd w:id="3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Minerals Technologies Inc.</w:t>
      </w:r>
    </w:p>
    <w:p>
      <w:pPr>
        <w:spacing w:after="0" w:line="2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/s/ Erik C. Aldag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19685</wp:posOffset>
            </wp:positionV>
            <wp:extent cx="3488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Erik C. Aldag</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Senior Vice President, Finance and Treasury,</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ACCOUNTANTS' ACKNOWLEDGEMENT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Minerals Technologies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Registration Statement Nos. 333-160002, 33-59080, 333-62739, 333-138245, 333-206244, 333-249761, and 333-282854</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the subject registration statements, we acknowledge our awareness of the use therein of our report dated May 1, 2026 related to our review of interim financial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KPMG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4" w:name="page35"/>
    <w:bookmarkEnd w:id="34"/>
    <w:p>
      <w:pPr>
        <w:ind w:left="988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RULE 13a-14(a)/15d-14(a) CERTIFICATION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Douglas T. Dietrich, certify that:</w:t>
      </w:r>
    </w:p>
    <w:p>
      <w:pPr>
        <w:spacing w:after="0" w:line="233" w:lineRule="exact"/>
        <w:rPr>
          <w:sz w:val="20"/>
          <w:szCs w:val="20"/>
          <w:color w:val="auto"/>
        </w:rPr>
      </w:pPr>
    </w:p>
    <w:p>
      <w:pPr>
        <w:ind w:left="340" w:hanging="330"/>
        <w:spacing w:after="0"/>
        <w:tabs>
          <w:tab w:leader="none" w:pos="3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Quarterly Report on Form 10-Q of Minerals Technologies Inc.;</w:t>
      </w:r>
    </w:p>
    <w:p>
      <w:pPr>
        <w:spacing w:after="0" w:line="233" w:lineRule="exact"/>
        <w:rPr>
          <w:rFonts w:ascii="Times New Roman" w:cs="Times New Roman" w:eastAsia="Times New Roman" w:hAnsi="Times New Roman"/>
          <w:sz w:val="22"/>
          <w:szCs w:val="22"/>
          <w:color w:val="auto"/>
        </w:rPr>
      </w:pPr>
    </w:p>
    <w:p>
      <w:pPr>
        <w:jc w:val="both"/>
        <w:ind w:left="340" w:hanging="332"/>
        <w:spacing w:after="0" w:line="244" w:lineRule="auto"/>
        <w:tabs>
          <w:tab w:leader="none" w:pos="3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22"/>
          <w:szCs w:val="22"/>
          <w:color w:val="auto"/>
        </w:rPr>
      </w:pPr>
    </w:p>
    <w:p>
      <w:pPr>
        <w:jc w:val="both"/>
        <w:ind w:left="340" w:hanging="332"/>
        <w:spacing w:after="0" w:line="244" w:lineRule="auto"/>
        <w:tabs>
          <w:tab w:leader="none" w:pos="3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22"/>
          <w:szCs w:val="22"/>
          <w:color w:val="auto"/>
        </w:rPr>
      </w:pPr>
    </w:p>
    <w:p>
      <w:pPr>
        <w:jc w:val="both"/>
        <w:ind w:left="340" w:hanging="332"/>
        <w:spacing w:after="0" w:line="244" w:lineRule="auto"/>
        <w:tabs>
          <w:tab w:leader="none" w:pos="3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61" w:lineRule="auto"/>
        <w:tabs>
          <w:tab w:leader="none" w:pos="660"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Times New Roman" w:cs="Times New Roman" w:eastAsia="Times New Roman" w:hAnsi="Times New Roman"/>
          <w:sz w:val="21"/>
          <w:szCs w:val="21"/>
          <w:color w:val="auto"/>
        </w:rPr>
      </w:pPr>
    </w:p>
    <w:p>
      <w:pPr>
        <w:jc w:val="both"/>
        <w:ind w:left="660" w:hanging="328"/>
        <w:spacing w:after="0" w:line="244" w:lineRule="auto"/>
        <w:tabs>
          <w:tab w:leader="none" w:pos="6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6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Times New Roman" w:cs="Times New Roman" w:eastAsia="Times New Roman" w:hAnsi="Times New Roman"/>
          <w:sz w:val="22"/>
          <w:szCs w:val="22"/>
          <w:color w:val="auto"/>
        </w:rPr>
      </w:pPr>
    </w:p>
    <w:p>
      <w:pPr>
        <w:ind w:left="340" w:hanging="332"/>
        <w:spacing w:after="0" w:line="258" w:lineRule="auto"/>
        <w:tabs>
          <w:tab w:leader="none" w:pos="3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85"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Douglas T. Dietrich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19685</wp:posOffset>
            </wp:positionV>
            <wp:extent cx="3351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Douglas T. Dietrich</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5" w:name="page36"/>
    <w:bookmarkEnd w:id="35"/>
    <w:p>
      <w:pPr>
        <w:ind w:left="988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RULE 13a-14(a)/15d-14(a) CERTIFICATION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Erik C. Aldag, certify that:</w:t>
      </w:r>
    </w:p>
    <w:p>
      <w:pPr>
        <w:spacing w:after="0" w:line="233" w:lineRule="exact"/>
        <w:rPr>
          <w:sz w:val="20"/>
          <w:szCs w:val="20"/>
          <w:color w:val="auto"/>
        </w:rPr>
      </w:pPr>
    </w:p>
    <w:p>
      <w:pPr>
        <w:ind w:left="340" w:hanging="330"/>
        <w:spacing w:after="0"/>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Quarterly Report on Form 10-Q of Minerals Technologies Inc.;</w:t>
      </w:r>
    </w:p>
    <w:p>
      <w:pPr>
        <w:spacing w:after="0" w:line="233" w:lineRule="exact"/>
        <w:rPr>
          <w:rFonts w:ascii="Times New Roman" w:cs="Times New Roman" w:eastAsia="Times New Roman" w:hAnsi="Times New Roman"/>
          <w:sz w:val="22"/>
          <w:szCs w:val="22"/>
          <w:color w:val="auto"/>
        </w:rPr>
      </w:pPr>
    </w:p>
    <w:p>
      <w:pPr>
        <w:jc w:val="both"/>
        <w:ind w:left="340" w:hanging="332"/>
        <w:spacing w:after="0" w:line="244" w:lineRule="auto"/>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22"/>
          <w:szCs w:val="22"/>
          <w:color w:val="auto"/>
        </w:rPr>
      </w:pPr>
    </w:p>
    <w:p>
      <w:pPr>
        <w:jc w:val="both"/>
        <w:ind w:left="340" w:hanging="332"/>
        <w:spacing w:after="0" w:line="244" w:lineRule="auto"/>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22"/>
          <w:szCs w:val="22"/>
          <w:color w:val="auto"/>
        </w:rPr>
      </w:pPr>
    </w:p>
    <w:p>
      <w:pPr>
        <w:jc w:val="both"/>
        <w:ind w:left="340" w:hanging="332"/>
        <w:spacing w:after="0" w:line="244" w:lineRule="auto"/>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61" w:lineRule="auto"/>
        <w:tabs>
          <w:tab w:leader="none" w:pos="66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Times New Roman" w:cs="Times New Roman" w:eastAsia="Times New Roman" w:hAnsi="Times New Roman"/>
          <w:sz w:val="21"/>
          <w:szCs w:val="21"/>
          <w:color w:val="auto"/>
        </w:rPr>
      </w:pPr>
    </w:p>
    <w:p>
      <w:pPr>
        <w:jc w:val="both"/>
        <w:ind w:left="660" w:hanging="328"/>
        <w:spacing w:after="0" w:line="244" w:lineRule="auto"/>
        <w:tabs>
          <w:tab w:leader="none" w:pos="6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6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Times New Roman" w:cs="Times New Roman" w:eastAsia="Times New Roman" w:hAnsi="Times New Roman"/>
          <w:sz w:val="22"/>
          <w:szCs w:val="22"/>
          <w:color w:val="auto"/>
        </w:rPr>
      </w:pPr>
    </w:p>
    <w:p>
      <w:pPr>
        <w:ind w:left="340" w:hanging="332"/>
        <w:spacing w:after="0" w:line="258" w:lineRule="auto"/>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85"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Erik C. Aldag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19685</wp:posOffset>
            </wp:positionV>
            <wp:extent cx="33515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Erik C. Aldag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Finance and Treasury,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1350 CERTIFICATIONS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United States Code), each of the undersigned officers of Minerals Technologies Inc., a Delaware corporation (the "Company"), does hereby certify that: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April 5,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Douglas T. Dietrich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19685</wp:posOffset>
            </wp:positionV>
            <wp:extent cx="33432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Douglas T. Dietrich</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Erik C. Aldag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19685</wp:posOffset>
            </wp:positionV>
            <wp:extent cx="33432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Erik C. Aldag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Senior Vice President, Finance and Treasury,</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Exchange Act Rule 13a-14(b); is not deemed to be "filed" for purposes of Section 18 of the Securities Exchange Act of 1934, or otherwise subject to the liability of that section; and is not deemed to be incorporated by reference into any filing under the Securities Act of 1933 or the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ind w:left="10040"/>
        <w:spacing w:after="0"/>
        <w:rPr>
          <w:sz w:val="20"/>
          <w:szCs w:val="20"/>
          <w:color w:val="auto"/>
        </w:rPr>
      </w:pPr>
      <w:r>
        <w:rPr>
          <w:rFonts w:ascii="Times New Roman" w:cs="Times New Roman" w:eastAsia="Times New Roman" w:hAnsi="Times New Roman"/>
          <w:sz w:val="27"/>
          <w:szCs w:val="27"/>
          <w:b w:val="1"/>
          <w:bCs w:val="1"/>
          <w:color w:val="auto"/>
        </w:rPr>
        <w:t>Exhibit 95</w:t>
      </w:r>
    </w:p>
    <w:p>
      <w:pPr>
        <w:spacing w:after="0" w:line="231"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Section 1503 of the Dodd-Frank Wall Street Reform and Consumer Protection Act and Item 104 of Regulation S-K contain certain reporting requirements regarding coal or other mine safety. The Company, through its subsidiaries Specialty Minerals Inc. and American Colloid Company, operates twelve mines in the United States. The operation of our mines is subject to regulation by the Federal Mine Safety and Health Administration (“MSHA”) under the Federal Mine Safety and Health Act of 1977 (the “Mine Act”). MSHA inspects our mines on a regular basis and issues various citations and orders when it believes a violation has occurred under the Mine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required information with respect to each mine for which we are the operator during the period of January 1, 2026,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5, 2026:</w:t>
      </w:r>
    </w:p>
    <w:p>
      <w:pPr>
        <w:spacing w:after="0" w:line="202" w:lineRule="exact"/>
        <w:rPr>
          <w:sz w:val="20"/>
          <w:szCs w:val="20"/>
          <w:color w:val="auto"/>
        </w:rPr>
      </w:pPr>
    </w:p>
    <w:tbl>
      <w:tblPr>
        <w:tblLayout w:type="fixed"/>
        <w:tblInd w:w="110" w:type="dxa"/>
        <w:tblCellMar>
          <w:top w:w="0" w:type="dxa"/>
          <w:left w:w="0" w:type="dxa"/>
          <w:bottom w:w="0" w:type="dxa"/>
          <w:right w:w="0" w:type="dxa"/>
        </w:tblCellMar>
      </w:tblPr>
      <w:tr>
        <w:trPr>
          <w:trHeight w:val="214"/>
        </w:trPr>
        <w:tc>
          <w:tcPr>
            <w:tcW w:w="160" w:type="dxa"/>
            <w:vAlign w:val="bottom"/>
            <w:tcBorders>
              <w:top w:val="single" w:sz="8" w:color="auto"/>
              <w:left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8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Section</w:t>
            </w:r>
          </w:p>
        </w:tc>
        <w:tc>
          <w:tcPr>
            <w:tcW w:w="26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104(a)</w:t>
            </w:r>
          </w:p>
        </w:tc>
        <w:tc>
          <w:tcPr>
            <w:tcW w:w="26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Section</w:t>
            </w:r>
          </w:p>
        </w:tc>
        <w:tc>
          <w:tcPr>
            <w:tcW w:w="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w:t>
            </w:r>
          </w:p>
        </w:tc>
        <w:tc>
          <w:tcPr>
            <w:tcW w:w="1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Section</w:t>
            </w:r>
          </w:p>
        </w:tc>
        <w:tc>
          <w:tcPr>
            <w:tcW w:w="1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Section</w:t>
            </w:r>
          </w:p>
        </w:tc>
        <w:tc>
          <w:tcPr>
            <w:tcW w:w="26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194"/>
        </w:trPr>
        <w:tc>
          <w:tcPr>
            <w:tcW w:w="160" w:type="dxa"/>
            <w:vAlign w:val="bottom"/>
            <w:tcBorders>
              <w:left w:val="single" w:sz="8" w:color="auto"/>
            </w:tcBorders>
          </w:tcPr>
          <w:p>
            <w:pPr>
              <w:spacing w:after="0"/>
              <w:rPr>
                <w:sz w:val="16"/>
                <w:szCs w:val="16"/>
                <w:color w:val="auto"/>
              </w:rPr>
            </w:pPr>
          </w:p>
        </w:tc>
        <w:tc>
          <w:tcPr>
            <w:tcW w:w="2460" w:type="dxa"/>
            <w:vAlign w:val="bottom"/>
            <w:tcBorders>
              <w:right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Mine</w:t>
            </w:r>
          </w:p>
        </w:tc>
        <w:tc>
          <w:tcPr>
            <w:tcW w:w="1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auto"/>
                <w:w w:val="99"/>
              </w:rPr>
              <w:t>S&amp;S</w:t>
            </w:r>
          </w:p>
        </w:tc>
        <w:tc>
          <w:tcPr>
            <w:tcW w:w="26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gridSpan w:val="3"/>
          </w:tcPr>
          <w:p>
            <w:pPr>
              <w:jc w:val="center"/>
              <w:ind w:left="30"/>
              <w:spacing w:after="0" w:line="194" w:lineRule="exact"/>
              <w:rPr>
                <w:sz w:val="20"/>
                <w:szCs w:val="20"/>
                <w:color w:val="auto"/>
              </w:rPr>
            </w:pPr>
            <w:r>
              <w:rPr>
                <w:rFonts w:ascii="Times New Roman" w:cs="Times New Roman" w:eastAsia="Times New Roman" w:hAnsi="Times New Roman"/>
                <w:sz w:val="18"/>
                <w:szCs w:val="18"/>
                <w:color w:val="auto"/>
                <w:w w:val="99"/>
              </w:rPr>
              <w:t>104(b)</w:t>
            </w:r>
          </w:p>
        </w:tc>
        <w:tc>
          <w:tcPr>
            <w:tcW w:w="2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gridSpan w:val="3"/>
          </w:tcPr>
          <w:p>
            <w:pPr>
              <w:jc w:val="center"/>
              <w:ind w:left="30"/>
              <w:spacing w:after="0" w:line="194" w:lineRule="exact"/>
              <w:rPr>
                <w:sz w:val="20"/>
                <w:szCs w:val="20"/>
                <w:color w:val="auto"/>
              </w:rPr>
            </w:pPr>
            <w:r>
              <w:rPr>
                <w:rFonts w:ascii="Times New Roman" w:cs="Times New Roman" w:eastAsia="Times New Roman" w:hAnsi="Times New Roman"/>
                <w:sz w:val="18"/>
                <w:szCs w:val="18"/>
                <w:color w:val="auto"/>
                <w:w w:val="99"/>
              </w:rPr>
              <w:t>104(d)</w:t>
            </w: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gridSpan w:val="2"/>
          </w:tcPr>
          <w:p>
            <w:pPr>
              <w:jc w:val="center"/>
              <w:ind w:left="10"/>
              <w:spacing w:after="0" w:line="194" w:lineRule="exact"/>
              <w:rPr>
                <w:sz w:val="20"/>
                <w:szCs w:val="20"/>
                <w:color w:val="auto"/>
              </w:rPr>
            </w:pPr>
            <w:r>
              <w:rPr>
                <w:rFonts w:ascii="Times New Roman" w:cs="Times New Roman" w:eastAsia="Times New Roman" w:hAnsi="Times New Roman"/>
                <w:sz w:val="18"/>
                <w:szCs w:val="18"/>
                <w:color w:val="auto"/>
              </w:rPr>
              <w:t>110(b)(2)</w:t>
            </w: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color w:val="auto"/>
                <w:w w:val="97"/>
              </w:rPr>
              <w:t>107(a)</w:t>
            </w:r>
          </w:p>
        </w:tc>
        <w:tc>
          <w:tcPr>
            <w:tcW w:w="26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Assessments</w:t>
            </w:r>
          </w:p>
        </w:tc>
        <w:tc>
          <w:tcPr>
            <w:tcW w:w="1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right w:val="single" w:sz="8" w:color="auto"/>
            </w:tcBorders>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w w:val="96"/>
              </w:rPr>
              <w:t>Fatalities</w:t>
            </w:r>
          </w:p>
        </w:tc>
        <w:tc>
          <w:tcPr>
            <w:tcW w:w="100" w:type="dxa"/>
            <w:vAlign w:val="bottom"/>
            <w:tcBorders>
              <w:right w:val="single" w:sz="8" w:color="auto"/>
            </w:tcBorders>
          </w:tcPr>
          <w:p>
            <w:pPr>
              <w:spacing w:after="0"/>
              <w:rPr>
                <w:sz w:val="16"/>
                <w:szCs w:val="16"/>
                <w:color w:val="auto"/>
              </w:rPr>
            </w:pPr>
          </w:p>
        </w:tc>
      </w:tr>
      <w:tr>
        <w:trPr>
          <w:trHeight w:val="44"/>
        </w:trPr>
        <w:tc>
          <w:tcPr>
            <w:tcW w:w="160" w:type="dxa"/>
            <w:vAlign w:val="bottom"/>
            <w:tcBorders>
              <w:left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top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top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37"/>
        </w:trPr>
        <w:tc>
          <w:tcPr>
            <w:tcW w:w="160" w:type="dxa"/>
            <w:vAlign w:val="bottom"/>
            <w:tcBorders>
              <w:left w:val="single" w:sz="8" w:color="auto"/>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w:t>
            </w:r>
          </w:p>
        </w:tc>
        <w:tc>
          <w:tcPr>
            <w:tcW w:w="2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w:t>
            </w:r>
          </w:p>
        </w:tc>
        <w:tc>
          <w:tcPr>
            <w:tcW w:w="22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5"/>
              </w:rPr>
              <w:t>(E)</w:t>
            </w:r>
          </w:p>
        </w:tc>
        <w:tc>
          <w:tcPr>
            <w:tcW w:w="2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(G)</w:t>
            </w:r>
          </w:p>
        </w:tc>
        <w:tc>
          <w:tcPr>
            <w:tcW w:w="100" w:type="dxa"/>
            <w:vAlign w:val="bottom"/>
            <w:tcBorders>
              <w:bottom w:val="single" w:sz="8" w:color="auto"/>
              <w:right w:val="single" w:sz="8" w:color="auto"/>
            </w:tcBorders>
          </w:tcPr>
          <w:p>
            <w:pPr>
              <w:spacing w:after="0"/>
              <w:rPr>
                <w:sz w:val="20"/>
                <w:szCs w:val="20"/>
                <w:color w:val="auto"/>
              </w:rPr>
            </w:pPr>
          </w:p>
        </w:tc>
      </w:tr>
      <w:tr>
        <w:trPr>
          <w:trHeight w:val="194"/>
        </w:trPr>
        <w:tc>
          <w:tcPr>
            <w:tcW w:w="160" w:type="dxa"/>
            <w:vAlign w:val="bottom"/>
            <w:tcBorders>
              <w:left w:val="single" w:sz="8" w:color="auto"/>
            </w:tcBorders>
            <w:shd w:val="clear" w:color="auto" w:fill="CCEEFF"/>
          </w:tcPr>
          <w:p>
            <w:pPr>
              <w:spacing w:after="0"/>
              <w:rPr>
                <w:sz w:val="16"/>
                <w:szCs w:val="16"/>
                <w:color w:val="auto"/>
              </w:rPr>
            </w:pPr>
          </w:p>
        </w:tc>
        <w:tc>
          <w:tcPr>
            <w:tcW w:w="2460" w:type="dxa"/>
            <w:vAlign w:val="bottom"/>
            <w:tcBorders>
              <w:right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Lucerne Valley, CA</w:t>
            </w:r>
          </w:p>
        </w:tc>
        <w:tc>
          <w:tcPr>
            <w:tcW w:w="12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r>
      <w:tr>
        <w:trPr>
          <w:trHeight w:val="258"/>
        </w:trPr>
        <w:tc>
          <w:tcPr>
            <w:tcW w:w="2620" w:type="dxa"/>
            <w:vAlign w:val="bottom"/>
            <w:tcBorders>
              <w:left w:val="single" w:sz="8" w:color="auto"/>
              <w:bottom w:val="single" w:sz="8" w:color="auto"/>
              <w:right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04-00219</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194"/>
        </w:trPr>
        <w:tc>
          <w:tcPr>
            <w:tcW w:w="160" w:type="dxa"/>
            <w:vAlign w:val="bottom"/>
            <w:tcBorders>
              <w:left w:val="single" w:sz="8" w:color="auto"/>
            </w:tcBorders>
          </w:tcPr>
          <w:p>
            <w:pPr>
              <w:spacing w:after="0"/>
              <w:rPr>
                <w:sz w:val="16"/>
                <w:szCs w:val="16"/>
                <w:color w:val="auto"/>
              </w:rPr>
            </w:pPr>
          </w:p>
        </w:tc>
        <w:tc>
          <w:tcPr>
            <w:tcW w:w="2460" w:type="dxa"/>
            <w:vAlign w:val="bottom"/>
            <w:tcBorders>
              <w:right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rPr>
              <w:t>Canaan, CT</w:t>
            </w:r>
          </w:p>
        </w:tc>
        <w:tc>
          <w:tcPr>
            <w:tcW w:w="1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258"/>
        </w:trPr>
        <w:tc>
          <w:tcPr>
            <w:tcW w:w="262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06-00019</w:t>
            </w:r>
          </w:p>
        </w:tc>
        <w:tc>
          <w:tcPr>
            <w:tcW w:w="12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r>
      <w:tr>
        <w:trPr>
          <w:trHeight w:val="194"/>
        </w:trPr>
        <w:tc>
          <w:tcPr>
            <w:tcW w:w="160" w:type="dxa"/>
            <w:vAlign w:val="bottom"/>
            <w:tcBorders>
              <w:left w:val="single" w:sz="8" w:color="auto"/>
            </w:tcBorders>
            <w:shd w:val="clear" w:color="auto" w:fill="CCEEFF"/>
          </w:tcPr>
          <w:p>
            <w:pPr>
              <w:spacing w:after="0"/>
              <w:rPr>
                <w:sz w:val="16"/>
                <w:szCs w:val="16"/>
                <w:color w:val="auto"/>
              </w:rPr>
            </w:pPr>
          </w:p>
        </w:tc>
        <w:tc>
          <w:tcPr>
            <w:tcW w:w="2460" w:type="dxa"/>
            <w:vAlign w:val="bottom"/>
            <w:tcBorders>
              <w:right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Adams, MA</w:t>
            </w:r>
          </w:p>
        </w:tc>
        <w:tc>
          <w:tcPr>
            <w:tcW w:w="12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r>
      <w:tr>
        <w:trPr>
          <w:trHeight w:val="258"/>
        </w:trPr>
        <w:tc>
          <w:tcPr>
            <w:tcW w:w="2620" w:type="dxa"/>
            <w:vAlign w:val="bottom"/>
            <w:tcBorders>
              <w:left w:val="single" w:sz="8" w:color="auto"/>
              <w:bottom w:val="single" w:sz="8" w:color="auto"/>
              <w:right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19-00035</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194"/>
        </w:trPr>
        <w:tc>
          <w:tcPr>
            <w:tcW w:w="160" w:type="dxa"/>
            <w:vAlign w:val="bottom"/>
            <w:tcBorders>
              <w:left w:val="single" w:sz="8" w:color="auto"/>
            </w:tcBorders>
          </w:tcPr>
          <w:p>
            <w:pPr>
              <w:spacing w:after="0"/>
              <w:rPr>
                <w:sz w:val="16"/>
                <w:szCs w:val="16"/>
                <w:color w:val="auto"/>
              </w:rPr>
            </w:pPr>
          </w:p>
        </w:tc>
        <w:tc>
          <w:tcPr>
            <w:tcW w:w="2460" w:type="dxa"/>
            <w:vAlign w:val="bottom"/>
            <w:tcBorders>
              <w:right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rPr>
              <w:t>Belle/Colony Mine, WY</w:t>
            </w:r>
          </w:p>
        </w:tc>
        <w:tc>
          <w:tcPr>
            <w:tcW w:w="1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258"/>
        </w:trPr>
        <w:tc>
          <w:tcPr>
            <w:tcW w:w="262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48-00888</w:t>
            </w:r>
          </w:p>
        </w:tc>
        <w:tc>
          <w:tcPr>
            <w:tcW w:w="12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r>
      <w:tr>
        <w:trPr>
          <w:trHeight w:val="194"/>
        </w:trPr>
        <w:tc>
          <w:tcPr>
            <w:tcW w:w="160" w:type="dxa"/>
            <w:vAlign w:val="bottom"/>
            <w:tcBorders>
              <w:left w:val="single" w:sz="8" w:color="auto"/>
            </w:tcBorders>
            <w:shd w:val="clear" w:color="auto" w:fill="CCEEFF"/>
          </w:tcPr>
          <w:p>
            <w:pPr>
              <w:spacing w:after="0"/>
              <w:rPr>
                <w:sz w:val="16"/>
                <w:szCs w:val="16"/>
                <w:color w:val="auto"/>
              </w:rPr>
            </w:pPr>
          </w:p>
        </w:tc>
        <w:tc>
          <w:tcPr>
            <w:tcW w:w="2460" w:type="dxa"/>
            <w:vAlign w:val="bottom"/>
            <w:tcBorders>
              <w:right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Belle Fourche Mill, SD</w:t>
            </w:r>
          </w:p>
        </w:tc>
        <w:tc>
          <w:tcPr>
            <w:tcW w:w="12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r>
      <w:tr>
        <w:trPr>
          <w:trHeight w:val="258"/>
        </w:trPr>
        <w:tc>
          <w:tcPr>
            <w:tcW w:w="2620" w:type="dxa"/>
            <w:vAlign w:val="bottom"/>
            <w:tcBorders>
              <w:left w:val="single" w:sz="8" w:color="auto"/>
              <w:bottom w:val="single" w:sz="8" w:color="auto"/>
              <w:right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39-00049</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194"/>
        </w:trPr>
        <w:tc>
          <w:tcPr>
            <w:tcW w:w="160" w:type="dxa"/>
            <w:vAlign w:val="bottom"/>
            <w:tcBorders>
              <w:left w:val="single" w:sz="8" w:color="auto"/>
            </w:tcBorders>
          </w:tcPr>
          <w:p>
            <w:pPr>
              <w:spacing w:after="0"/>
              <w:rPr>
                <w:sz w:val="16"/>
                <w:szCs w:val="16"/>
                <w:color w:val="auto"/>
              </w:rPr>
            </w:pPr>
          </w:p>
        </w:tc>
        <w:tc>
          <w:tcPr>
            <w:tcW w:w="2460" w:type="dxa"/>
            <w:vAlign w:val="bottom"/>
            <w:tcBorders>
              <w:right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rPr>
              <w:t>Colony East, WY</w:t>
            </w:r>
          </w:p>
        </w:tc>
        <w:tc>
          <w:tcPr>
            <w:tcW w:w="1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258"/>
        </w:trPr>
        <w:tc>
          <w:tcPr>
            <w:tcW w:w="262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48-00594</w:t>
            </w:r>
          </w:p>
        </w:tc>
        <w:tc>
          <w:tcPr>
            <w:tcW w:w="12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r>
      <w:tr>
        <w:trPr>
          <w:trHeight w:val="194"/>
        </w:trPr>
        <w:tc>
          <w:tcPr>
            <w:tcW w:w="160" w:type="dxa"/>
            <w:vAlign w:val="bottom"/>
            <w:tcBorders>
              <w:left w:val="single" w:sz="8" w:color="auto"/>
            </w:tcBorders>
            <w:shd w:val="clear" w:color="auto" w:fill="CCEEFF"/>
          </w:tcPr>
          <w:p>
            <w:pPr>
              <w:spacing w:after="0"/>
              <w:rPr>
                <w:sz w:val="16"/>
                <w:szCs w:val="16"/>
                <w:color w:val="auto"/>
              </w:rPr>
            </w:pPr>
          </w:p>
        </w:tc>
        <w:tc>
          <w:tcPr>
            <w:tcW w:w="2460" w:type="dxa"/>
            <w:vAlign w:val="bottom"/>
            <w:tcBorders>
              <w:right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Colony West, WY</w:t>
            </w:r>
          </w:p>
        </w:tc>
        <w:tc>
          <w:tcPr>
            <w:tcW w:w="12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r>
      <w:tr>
        <w:trPr>
          <w:trHeight w:val="258"/>
        </w:trPr>
        <w:tc>
          <w:tcPr>
            <w:tcW w:w="2620" w:type="dxa"/>
            <w:vAlign w:val="bottom"/>
            <w:tcBorders>
              <w:left w:val="single" w:sz="8" w:color="auto"/>
              <w:bottom w:val="single" w:sz="8" w:color="auto"/>
              <w:right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48-00245</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194"/>
        </w:trPr>
        <w:tc>
          <w:tcPr>
            <w:tcW w:w="160" w:type="dxa"/>
            <w:vAlign w:val="bottom"/>
            <w:tcBorders>
              <w:left w:val="single" w:sz="8" w:color="auto"/>
            </w:tcBorders>
          </w:tcPr>
          <w:p>
            <w:pPr>
              <w:spacing w:after="0"/>
              <w:rPr>
                <w:sz w:val="16"/>
                <w:szCs w:val="16"/>
                <w:color w:val="auto"/>
              </w:rPr>
            </w:pPr>
          </w:p>
        </w:tc>
        <w:tc>
          <w:tcPr>
            <w:tcW w:w="2460" w:type="dxa"/>
            <w:vAlign w:val="bottom"/>
            <w:tcBorders>
              <w:right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rPr>
              <w:t>Gascoyne, ND</w:t>
            </w:r>
          </w:p>
        </w:tc>
        <w:tc>
          <w:tcPr>
            <w:tcW w:w="1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258"/>
        </w:trPr>
        <w:tc>
          <w:tcPr>
            <w:tcW w:w="262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32-00459</w:t>
            </w:r>
          </w:p>
        </w:tc>
        <w:tc>
          <w:tcPr>
            <w:tcW w:w="12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r>
      <w:tr>
        <w:trPr>
          <w:trHeight w:val="194"/>
        </w:trPr>
        <w:tc>
          <w:tcPr>
            <w:tcW w:w="160" w:type="dxa"/>
            <w:vAlign w:val="bottom"/>
            <w:tcBorders>
              <w:left w:val="single" w:sz="8" w:color="auto"/>
            </w:tcBorders>
            <w:shd w:val="clear" w:color="auto" w:fill="CCEEFF"/>
          </w:tcPr>
          <w:p>
            <w:pPr>
              <w:spacing w:after="0"/>
              <w:rPr>
                <w:sz w:val="16"/>
                <w:szCs w:val="16"/>
                <w:color w:val="auto"/>
              </w:rPr>
            </w:pPr>
          </w:p>
        </w:tc>
        <w:tc>
          <w:tcPr>
            <w:tcW w:w="2460" w:type="dxa"/>
            <w:vAlign w:val="bottom"/>
            <w:tcBorders>
              <w:right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Lovell, WY</w:t>
            </w:r>
          </w:p>
        </w:tc>
        <w:tc>
          <w:tcPr>
            <w:tcW w:w="12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r>
      <w:tr>
        <w:trPr>
          <w:trHeight w:val="258"/>
        </w:trPr>
        <w:tc>
          <w:tcPr>
            <w:tcW w:w="2620" w:type="dxa"/>
            <w:vAlign w:val="bottom"/>
            <w:tcBorders>
              <w:left w:val="single" w:sz="8" w:color="auto"/>
              <w:bottom w:val="single" w:sz="8" w:color="auto"/>
              <w:right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48-00057</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194"/>
        </w:trPr>
        <w:tc>
          <w:tcPr>
            <w:tcW w:w="160" w:type="dxa"/>
            <w:vAlign w:val="bottom"/>
            <w:tcBorders>
              <w:left w:val="single" w:sz="8" w:color="auto"/>
            </w:tcBorders>
          </w:tcPr>
          <w:p>
            <w:pPr>
              <w:spacing w:after="0"/>
              <w:rPr>
                <w:sz w:val="16"/>
                <w:szCs w:val="16"/>
                <w:color w:val="auto"/>
              </w:rPr>
            </w:pPr>
          </w:p>
        </w:tc>
        <w:tc>
          <w:tcPr>
            <w:tcW w:w="2460" w:type="dxa"/>
            <w:vAlign w:val="bottom"/>
            <w:tcBorders>
              <w:right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rPr>
              <w:t>Sandy Ridge, AL</w:t>
            </w:r>
          </w:p>
        </w:tc>
        <w:tc>
          <w:tcPr>
            <w:tcW w:w="1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258"/>
        </w:trPr>
        <w:tc>
          <w:tcPr>
            <w:tcW w:w="262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01-00093</w:t>
            </w:r>
          </w:p>
        </w:tc>
        <w:tc>
          <w:tcPr>
            <w:tcW w:w="12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2"/>
                <w:szCs w:val="22"/>
                <w:color w:val="auto"/>
              </w:rPr>
            </w:pPr>
          </w:p>
        </w:tc>
      </w:tr>
      <w:tr>
        <w:trPr>
          <w:trHeight w:val="194"/>
        </w:trPr>
        <w:tc>
          <w:tcPr>
            <w:tcW w:w="160" w:type="dxa"/>
            <w:vAlign w:val="bottom"/>
            <w:tcBorders>
              <w:left w:val="single" w:sz="8" w:color="auto"/>
            </w:tcBorders>
            <w:shd w:val="clear" w:color="auto" w:fill="CCEEFF"/>
          </w:tcPr>
          <w:p>
            <w:pPr>
              <w:spacing w:after="0"/>
              <w:rPr>
                <w:sz w:val="16"/>
                <w:szCs w:val="16"/>
                <w:color w:val="auto"/>
              </w:rPr>
            </w:pPr>
          </w:p>
        </w:tc>
        <w:tc>
          <w:tcPr>
            <w:tcW w:w="2460" w:type="dxa"/>
            <w:vAlign w:val="bottom"/>
            <w:tcBorders>
              <w:right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Yellowtail, WY</w:t>
            </w:r>
          </w:p>
        </w:tc>
        <w:tc>
          <w:tcPr>
            <w:tcW w:w="12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r>
      <w:tr>
        <w:trPr>
          <w:trHeight w:val="258"/>
        </w:trPr>
        <w:tc>
          <w:tcPr>
            <w:tcW w:w="2620" w:type="dxa"/>
            <w:vAlign w:val="bottom"/>
            <w:tcBorders>
              <w:left w:val="single" w:sz="8" w:color="auto"/>
              <w:bottom w:val="single" w:sz="8" w:color="auto"/>
              <w:right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48-00607</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194"/>
        </w:trPr>
        <w:tc>
          <w:tcPr>
            <w:tcW w:w="160" w:type="dxa"/>
            <w:vAlign w:val="bottom"/>
            <w:tcBorders>
              <w:left w:val="single" w:sz="8" w:color="auto"/>
            </w:tcBorders>
          </w:tcPr>
          <w:p>
            <w:pPr>
              <w:spacing w:after="0"/>
              <w:rPr>
                <w:sz w:val="16"/>
                <w:szCs w:val="16"/>
                <w:color w:val="auto"/>
              </w:rPr>
            </w:pPr>
          </w:p>
        </w:tc>
        <w:tc>
          <w:tcPr>
            <w:tcW w:w="2460" w:type="dxa"/>
            <w:vAlign w:val="bottom"/>
            <w:tcBorders>
              <w:right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rPr>
              <w:t>Ste. Genevieve, MO</w:t>
            </w:r>
          </w:p>
        </w:tc>
        <w:tc>
          <w:tcPr>
            <w:tcW w:w="1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245"/>
        </w:trPr>
        <w:tc>
          <w:tcPr>
            <w:tcW w:w="262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23-02564</w:t>
            </w:r>
          </w:p>
        </w:tc>
        <w:tc>
          <w:tcPr>
            <w:tcW w:w="12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right w:val="single" w:sz="8" w:color="auto"/>
            </w:tcBorders>
          </w:tcPr>
          <w:p>
            <w:pPr>
              <w:spacing w:after="0"/>
              <w:rPr>
                <w:sz w:val="21"/>
                <w:szCs w:val="21"/>
                <w:color w:val="auto"/>
              </w:rPr>
            </w:pPr>
          </w:p>
        </w:tc>
      </w:tr>
    </w:tbl>
    <w:p>
      <w:pPr>
        <w:spacing w:after="0" w:line="194" w:lineRule="exact"/>
        <w:rPr>
          <w:sz w:val="20"/>
          <w:szCs w:val="20"/>
          <w:color w:val="auto"/>
        </w:rPr>
      </w:pPr>
    </w:p>
    <w:p>
      <w:pPr>
        <w:ind w:left="660" w:right="1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violations of mandatory health or safety standards that could significantly and substantially contribute to the cause and effect of a mine safety or health hazard under section 104 of the Mine Act for which we received a citation from MSHA.</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orders issued under section 104(b) of the Mine Act.</w:t>
      </w:r>
    </w:p>
    <w:p>
      <w:pPr>
        <w:spacing w:after="0" w:line="22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citations and orders for unwarrantable failure of the Company to comply with mandatory health or safety standards under section 104(d) of the Mine Act.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flagrant violations under section 110(b)(2) of the Mine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imminent danger orders issued under section 107(a) of the Mine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dollar value of proposed assessments from MSHA under the Mine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mining-related fatalities, other than fatalities determined by MSHA to be unrelated to mining activity.</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period of January 1, 2026, to April 5, 2026, we did not receive any written notice from MSHA, with respect to any mine for which we are the operator, of (A) a pattern of violations of mandatory health or safety standards that are of such nature as could have significantly and substantially contributed to the cause and effect of mine health and safety hazards under section 104(e) of the Mine Act or (B) the potential to have such a pattern.</w:t>
      </w:r>
    </w:p>
    <w:p>
      <w:pPr>
        <w:spacing w:after="0" w:line="176"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required information with respect to legal actions before the Federal Mine Safety and Health Review Commission involving each mine for which we are the operator for the period of January 1, 2026, to April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36130" cy="1456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14566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top w:val="single" w:sz="8" w:color="auto"/>
            </w:tcBorders>
          </w:tcPr>
          <w:p>
            <w:pPr>
              <w:spacing w:after="0"/>
              <w:rPr>
                <w:sz w:val="16"/>
                <w:szCs w:val="16"/>
                <w:color w:val="auto"/>
              </w:rPr>
            </w:pPr>
          </w:p>
        </w:tc>
        <w:tc>
          <w:tcPr>
            <w:tcW w:w="7700" w:type="dxa"/>
            <w:vAlign w:val="bottom"/>
            <w:tcBorders>
              <w:top w:val="single" w:sz="8" w:color="auto"/>
            </w:tcBorders>
            <w:gridSpan w:val="2"/>
          </w:tcPr>
          <w:p>
            <w:pPr>
              <w:spacing w:after="0" w:line="192" w:lineRule="exact"/>
              <w:rPr>
                <w:sz w:val="20"/>
                <w:szCs w:val="20"/>
                <w:color w:val="auto"/>
              </w:rPr>
            </w:pPr>
            <w:r>
              <w:rPr>
                <w:rFonts w:ascii="Times New Roman" w:cs="Times New Roman" w:eastAsia="Times New Roman" w:hAnsi="Times New Roman"/>
                <w:sz w:val="18"/>
                <w:szCs w:val="18"/>
                <w:color w:val="auto"/>
              </w:rPr>
              <w:t>Mine</w:t>
            </w:r>
          </w:p>
        </w:tc>
        <w:tc>
          <w:tcPr>
            <w:tcW w:w="1220" w:type="dxa"/>
            <w:vAlign w:val="bottom"/>
            <w:tcBorders>
              <w:top w:val="single" w:sz="8" w:color="auto"/>
            </w:tcBorders>
            <w:gridSpan w:val="5"/>
          </w:tcPr>
          <w:p>
            <w:pPr>
              <w:spacing w:after="0" w:line="192" w:lineRule="exact"/>
              <w:rPr>
                <w:sz w:val="20"/>
                <w:szCs w:val="20"/>
                <w:color w:val="auto"/>
              </w:rPr>
            </w:pPr>
            <w:r>
              <w:rPr>
                <w:rFonts w:ascii="Times New Roman" w:cs="Times New Roman" w:eastAsia="Times New Roman" w:hAnsi="Times New Roman"/>
                <w:sz w:val="18"/>
                <w:szCs w:val="18"/>
                <w:color w:val="auto"/>
              </w:rPr>
              <w:t>Legal</w:t>
            </w:r>
          </w:p>
        </w:tc>
        <w:tc>
          <w:tcPr>
            <w:tcW w:w="1200" w:type="dxa"/>
            <w:vAlign w:val="bottom"/>
            <w:tcBorders>
              <w:top w:val="single" w:sz="8" w:color="auto"/>
            </w:tcBorders>
            <w:gridSpan w:val="4"/>
          </w:tcPr>
          <w:p>
            <w:pPr>
              <w:spacing w:after="0" w:line="192" w:lineRule="exact"/>
              <w:rPr>
                <w:sz w:val="20"/>
                <w:szCs w:val="20"/>
                <w:color w:val="auto"/>
              </w:rPr>
            </w:pPr>
            <w:r>
              <w:rPr>
                <w:rFonts w:ascii="Times New Roman" w:cs="Times New Roman" w:eastAsia="Times New Roman" w:hAnsi="Times New Roman"/>
                <w:sz w:val="18"/>
                <w:szCs w:val="18"/>
                <w:color w:val="auto"/>
              </w:rPr>
              <w:t>Legal</w:t>
            </w:r>
          </w:p>
        </w:tc>
        <w:tc>
          <w:tcPr>
            <w:tcW w:w="960" w:type="dxa"/>
            <w:vAlign w:val="bottom"/>
            <w:tcBorders>
              <w:top w:val="single" w:sz="8" w:color="auto"/>
            </w:tcBorders>
            <w:gridSpan w:val="5"/>
          </w:tcPr>
          <w:p>
            <w:pPr>
              <w:spacing w:after="0" w:line="192" w:lineRule="exact"/>
              <w:rPr>
                <w:sz w:val="20"/>
                <w:szCs w:val="20"/>
                <w:color w:val="auto"/>
              </w:rPr>
            </w:pPr>
            <w:r>
              <w:rPr>
                <w:rFonts w:ascii="Times New Roman" w:cs="Times New Roman" w:eastAsia="Times New Roman" w:hAnsi="Times New Roman"/>
                <w:sz w:val="18"/>
                <w:szCs w:val="18"/>
                <w:color w:val="auto"/>
              </w:rPr>
              <w:t>Legal</w:t>
            </w: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5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2"/>
              </w:rPr>
              <w:t>Actions</w:t>
            </w:r>
          </w:p>
        </w:tc>
        <w:tc>
          <w:tcPr>
            <w:tcW w:w="660" w:type="dxa"/>
            <w:vAlign w:val="bottom"/>
            <w:gridSpan w:val="2"/>
          </w:tcPr>
          <w:p>
            <w:pPr>
              <w:spacing w:after="0"/>
              <w:rPr>
                <w:sz w:val="17"/>
                <w:szCs w:val="17"/>
                <w:color w:val="auto"/>
              </w:rPr>
            </w:pPr>
          </w:p>
        </w:tc>
        <w:tc>
          <w:tcPr>
            <w:tcW w:w="5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2"/>
              </w:rPr>
              <w:t>Actions</w:t>
            </w:r>
          </w:p>
        </w:tc>
        <w:tc>
          <w:tcPr>
            <w:tcW w:w="640" w:type="dxa"/>
            <w:vAlign w:val="bottom"/>
          </w:tcPr>
          <w:p>
            <w:pPr>
              <w:spacing w:after="0"/>
              <w:rPr>
                <w:sz w:val="17"/>
                <w:szCs w:val="17"/>
                <w:color w:val="auto"/>
              </w:rPr>
            </w:pPr>
          </w:p>
        </w:tc>
        <w:tc>
          <w:tcPr>
            <w:tcW w:w="9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Actions</w:t>
            </w:r>
          </w:p>
        </w:tc>
      </w:tr>
      <w:tr>
        <w:trPr>
          <w:trHeight w:val="20"/>
        </w:trPr>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Pending</w:t>
            </w:r>
          </w:p>
        </w:tc>
        <w:tc>
          <w:tcPr>
            <w:tcW w:w="12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Initiated</w:t>
            </w:r>
          </w:p>
        </w:tc>
        <w:tc>
          <w:tcPr>
            <w:tcW w:w="9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Resolved</w:t>
            </w:r>
          </w:p>
        </w:tc>
      </w:tr>
      <w:tr>
        <w:trPr>
          <w:trHeight w:val="20"/>
        </w:trPr>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As Of Last</w:t>
            </w:r>
          </w:p>
        </w:tc>
        <w:tc>
          <w:tcPr>
            <w:tcW w:w="12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During</w:t>
            </w:r>
          </w:p>
        </w:tc>
        <w:tc>
          <w:tcPr>
            <w:tcW w:w="9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During</w:t>
            </w:r>
          </w:p>
        </w:tc>
      </w:tr>
      <w:tr>
        <w:trPr>
          <w:trHeight w:val="196"/>
        </w:trPr>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56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Day Of</w:t>
            </w:r>
          </w:p>
        </w:tc>
        <w:tc>
          <w:tcPr>
            <w:tcW w:w="2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Period</w:t>
            </w:r>
          </w:p>
        </w:tc>
        <w:tc>
          <w:tcPr>
            <w:tcW w:w="640" w:type="dxa"/>
            <w:vAlign w:val="bottom"/>
          </w:tcPr>
          <w:p>
            <w:pPr>
              <w:spacing w:after="0"/>
              <w:rPr>
                <w:sz w:val="17"/>
                <w:szCs w:val="17"/>
                <w:color w:val="auto"/>
              </w:rPr>
            </w:pPr>
          </w:p>
        </w:tc>
        <w:tc>
          <w:tcPr>
            <w:tcW w:w="56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Period</w:t>
            </w:r>
          </w:p>
        </w:tc>
        <w:tc>
          <w:tcPr>
            <w:tcW w:w="400" w:type="dxa"/>
            <w:vAlign w:val="bottom"/>
            <w:gridSpan w:val="2"/>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56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Period</w:t>
            </w:r>
          </w:p>
        </w:tc>
        <w:tc>
          <w:tcPr>
            <w:tcW w:w="660" w:type="dxa"/>
            <w:vAlign w:val="bottom"/>
            <w:gridSpan w:val="2"/>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44"/>
        </w:trPr>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320" w:type="dxa"/>
            <w:vAlign w:val="bottom"/>
            <w:tcBorders>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237"/>
        </w:trPr>
        <w:tc>
          <w:tcPr>
            <w:tcW w:w="160" w:type="dxa"/>
            <w:vAlign w:val="bottom"/>
            <w:tcBorders>
              <w:bottom w:val="single" w:sz="8" w:color="auto"/>
            </w:tcBorders>
            <w:shd w:val="clear" w:color="auto" w:fill="CCEEFF"/>
          </w:tcPr>
          <w:p>
            <w:pPr>
              <w:spacing w:after="0"/>
              <w:rPr>
                <w:sz w:val="20"/>
                <w:szCs w:val="20"/>
                <w:color w:val="auto"/>
              </w:rPr>
            </w:pPr>
          </w:p>
        </w:tc>
        <w:tc>
          <w:tcPr>
            <w:tcW w:w="7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Lucerne Valley, CA</w:t>
            </w:r>
          </w:p>
        </w:tc>
        <w:tc>
          <w:tcPr>
            <w:tcW w:w="1220" w:type="dxa"/>
            <w:vAlign w:val="bottom"/>
            <w:tcBorders>
              <w:bottom w:val="single" w:sz="8" w:color="auto"/>
            </w:tcBorders>
            <w:gridSpan w:val="5"/>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tcBorders>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Borders>
              <w:bottom w:val="single" w:sz="8" w:color="auto"/>
            </w:tcBorders>
            <w:gridSpan w:val="5"/>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16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Canaan, CT</w:t>
            </w:r>
          </w:p>
        </w:tc>
        <w:tc>
          <w:tcPr>
            <w:tcW w:w="122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color w:val="auto"/>
              </w:rPr>
              <w:t>0</w:t>
            </w:r>
          </w:p>
        </w:tc>
      </w:tr>
      <w:tr>
        <w:trPr>
          <w:trHeight w:val="240"/>
        </w:trPr>
        <w:tc>
          <w:tcPr>
            <w:tcW w:w="160" w:type="dxa"/>
            <w:vAlign w:val="bottom"/>
            <w:shd w:val="clear" w:color="auto" w:fill="CCEEFF"/>
          </w:tcPr>
          <w:p>
            <w:pPr>
              <w:spacing w:after="0"/>
              <w:rPr>
                <w:sz w:val="20"/>
                <w:szCs w:val="20"/>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Adams, MA</w:t>
            </w:r>
          </w:p>
        </w:tc>
        <w:tc>
          <w:tcPr>
            <w:tcW w:w="1220" w:type="dxa"/>
            <w:vAlign w:val="bottom"/>
            <w:gridSpan w:val="5"/>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5"/>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38" w:orient="portrait"/>
          <w:cols w:equalWidth="0" w:num="1">
            <w:col w:w="11340"/>
          </w:cols>
          <w:pgMar w:left="320" w:top="106"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Belle/Colony Mine, WY</w:t>
            </w:r>
          </w:p>
        </w:tc>
        <w:tc>
          <w:tcPr>
            <w:tcW w:w="3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37"/>
        </w:trPr>
        <w:tc>
          <w:tcPr>
            <w:tcW w:w="5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Belle Fourche Mill, SD</w:t>
            </w:r>
          </w:p>
        </w:tc>
        <w:tc>
          <w:tcPr>
            <w:tcW w:w="39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5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Colony East, WY</w:t>
            </w:r>
          </w:p>
        </w:tc>
        <w:tc>
          <w:tcPr>
            <w:tcW w:w="3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37"/>
        </w:trPr>
        <w:tc>
          <w:tcPr>
            <w:tcW w:w="5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Colony West, WY</w:t>
            </w:r>
          </w:p>
        </w:tc>
        <w:tc>
          <w:tcPr>
            <w:tcW w:w="39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37"/>
        </w:trPr>
        <w:tc>
          <w:tcPr>
            <w:tcW w:w="5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Gascoyne, ND</w:t>
            </w:r>
          </w:p>
        </w:tc>
        <w:tc>
          <w:tcPr>
            <w:tcW w:w="3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5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Lovell, WY</w:t>
            </w:r>
          </w:p>
        </w:tc>
        <w:tc>
          <w:tcPr>
            <w:tcW w:w="39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37"/>
        </w:trPr>
        <w:tc>
          <w:tcPr>
            <w:tcW w:w="5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Sandy Ridge, AL</w:t>
            </w:r>
          </w:p>
        </w:tc>
        <w:tc>
          <w:tcPr>
            <w:tcW w:w="3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5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Yellowtail, WY</w:t>
            </w:r>
          </w:p>
        </w:tc>
        <w:tc>
          <w:tcPr>
            <w:tcW w:w="39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Ste. Genevieve, MO</w:t>
            </w:r>
          </w:p>
        </w:tc>
        <w:tc>
          <w:tcPr>
            <w:tcW w:w="3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-1444625</wp:posOffset>
            </wp:positionV>
            <wp:extent cx="7136130" cy="1450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14509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37"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Our business faces significant risks. Set forth below are all risks that we believe are material at this time. Our business, financial condition and results of operations could be materially adversely affected by any of these risks. These risks should be read in conjunction with the other information in the Company's Annual Report on Form 10-K for the year ended December 31, 2025, and this Quarterly Report on Form 10-Q.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Industry and Market Risks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Worldwide general economic, business, and industry conditions may have an adverse effect on the Company’s results.</w:t>
      </w:r>
    </w:p>
    <w:p>
      <w:pPr>
        <w:spacing w:after="0" w:line="2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business and operating results are affected by worldwide and regional economic, business, and industry conditions. In recent years, we have experienced, among other things, declining consumer and business confidence, volatile raw material prices, instability in credit markets, high unemployment, fluctuating interest and exchange rates, and other challenges in the countries in which we operate. Uncertainty or a deterioration in the economic conditions affecting the businesses to which, or geographic areas in which, we sell products could reduce demand for our products and inflationary pressures may increase our costs. The Company’s customers and potential customers may experience deterioration of their businesses, cash flow shortages, and difficulty obtaining financing. As discussed below, the industries we serve have in the past been adversely affected by the uncertain global economic climate due to the cyclical nature of their businesses. As a result, existing or potential customers may reduce or delay their growth and investments and their plans to purchase products, pursue inventory reduction measures, and may not be able to fulfill their obligations in a timely fashion. Further, suppliers could experience similar conditions, which could affect their ability to fulfill their obligations to the Company. We may also experience pricing pressure on products and services or be unsuccessful in passing along to our customers an increase in our raw materials costs or energy prices, which could decrease our revenues and have an adverse effect on our financial condition and cash flows. Adversity within capital markets may also impact the Company’s results of operations by negatively affecting the amount of expense the Company records for its pension and other postretirement benefit plans. Actuarial valuations used to calculate income or expense for the plans reflect assumptions about financial market and other economic conditions – the most significant of which are the discount rate and the expected long-term rate of return on plan assets. Such actuarial valuations may change based on changes in key economic indicators. Global economic markets remain uncertain, and there can be no assurance that market conditions will improve in the near future. Future weakness in the global economy could materially and adversely affect our business and operating results.</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number of our customers’ businesses are cyclical or have changing regional demands. Our operations are subject to these trends, and we may not be able to mitigate these risks.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paper industry, which is served by the Specialty Additives product line of our Consumer &amp; Specialties segment, production levels for uncoated freesheet within North America and Europe, our two largest markets, are projected to continue to decrease. The reduced demand for premium writing paper products has resulted in closures and conversions of mills in both North America and Europe. Additionally, the Specialty Additives product line is affected by the domestic residential building and construction markets, as well as the automotive market.</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significant portion of the sales of the High-Temperature Technologies product line of our Engineered Solutions segment are derived from the metalcasting market. The metalcasting market is dependent upon the demand for castings for automobile and heavy truck components, farm and construction equipment, oil and gas production equipment, power generation equipment, and rail car components. Many of these types of equipment are sensitive to fluctuations in demand during periods of recession or difficult economic conditions. This product line also serves the steel industry. In recent years, global steel production has been volatile. These trends have affected and may continue to affect the demand for our Engineered Solutions segment’s products and services. The Environmental &amp; Infrastructure product line of our Engineered Solutions segment serves the commercial construction, environmental remediation, infrastructure, and oil and gas markets.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Demand for our products is subject to trends in these markets. During periods of economic slowdown, our customers often reduce their capital expenditure and defer or cancel pending projects. Such developments occur even amongst customers that are not experiencing financial difficulties. In addition, these trends could cause our customers to face liquidity issues or bankruptcy, which could deteriorate the aging of our accounts receivable, increase our bad debt exposure and possibly trigger impairment of assets or realignment of our businesses. The Company has taken steps to reduce its exposure to variations in its customers’ businesses, including by diversifying its portfolio of products and services through geographic expansion, growth in less cyclical consumer-oriented markets, and by structuring most of its long-term satellite contracts to provide a degree of protection against declines in the quantity of product purchased, since the price per ton of our products generally rises as the number of tons purchased declines. In addition, many of our product lines lower our customers’ costs of production or increase their productivity, which should encourage them to use our products. However, there can be no assurance that these efforts will mitigate the risks of our dependence on these industries. Continued weakness in the industries we serve has had, and may in the future have, an adverse effect on sales of our products and our results of operations. A continued or renewed economic downturn in one or more of the industries or geographic regions that the Company serves, or in the worldwide economy, could cause actual results of operations to differ materially from historical and expected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Company operates in very competitive industries, which could adversely affect our profitability.</w:t>
      </w:r>
    </w:p>
    <w:p>
      <w:pPr>
        <w:spacing w:after="0" w:line="2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many competitors. Some of our principal competitors have greater financial and other resources than we have. Accordingly, these competitors may be better able to withstand economic downturns and changes in conditions within the industries in which we operate and may have significantly greater operating and financial flexibility than we do. We also face competition for some of our products from alternative products, and some of the competition we face comes from competitors in lower-cost production countries like China and India. As a result of the competitive environment in the markets in which we operate, we currently face and will continue to face pressure on the sales prices of our products from competitors, which could reduce profit margins.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sales could be adversely affected by consolidation in customer industries.</w:t>
      </w:r>
    </w:p>
    <w:p>
      <w:pPr>
        <w:sectPr>
          <w:pgSz w:w="11900" w:h="16838" w:orient="portrait"/>
          <w:cols w:equalWidth="0" w:num="1">
            <w:col w:w="11240"/>
          </w:cols>
          <w:pgMar w:left="320" w:top="567" w:right="339" w:bottom="235" w:gutter="0" w:footer="0" w:header="0"/>
        </w:sectPr>
      </w:pPr>
    </w:p>
    <w:bookmarkStart w:id="40" w:name="page41"/>
    <w:bookmarkEnd w:id="40"/>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Several consolidations in the paper industry have taken place in recent years and such consolidation could continue in the future. These consolidations could result in partial or total closure of some paper mills where the Company operates satellite plants. Such closures would reduce the Company’s sales, except to the extent that they resulted in shifting paper production and associated purchases of calcium carbonate to another location served by the Company. Similarly, consolidations have occurred in the foundry and steel industries. Such consolidations in the major industries we serve concentrate purchasing power in the hands of a smaller number of manufacturers, enabling them to increase pressure on suppliers, such as the Company. This increased pressure could have an adverse effect on the Company’s results of operations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sales could be adversely affected by our failure to renew or extend long-term sales contracts for our satellite operations.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sales of calcium carbonate to paper customers are typically pursuant to long-term evergreen agreements, initially ten to fifteen years in length, with paper mills where the Company operates satellite plants. Sales pursuant to these contracts represent a significant portion of our sales in the Specialty Additives product line of the Consumer &amp; Specialties segment. The terms of many of these agreements have been extended or renewed in the past, often in connection with an expansion of the satellite plant. However, failure of a number of the Company’s customers to renew or extend existing agreements on terms as favorable to the Company as those currently in effect, or at all, could have a substantial adverse effect on the Company’s results of operations, and could also result in impairment of the assets associated with the satellite plant.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Risks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the Company’s debt will require a significant amount of cash. This could reduce the Company’s flexibility to respond to changing business and economic conditions or fund capital expenditures or working capital needs. Our ability to generate cash depends on many factors beyond our control.</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At April 5, 2026, the Company had $966.2 million aggregate principal amount of total indebtedness (consisting primarily of $567.8 million aggregate principal amount of loans under our term facility, $400.0 million aggregate principal amount of notes and no loans outstanding under our revolving credit facility) and an additional $384.8 million of borrowing capacity under the revolving credit facility (after giving effect to $6.0 million in loans and $9.2 million of outstanding letters of credit). Our outstanding indebtedness will require a significant amount of cash to make interest payments. Further, the interest rate on a significant portion of our borrowings under our senior secured credit facility is based on SOFR interest rates, which has resulted in and could continue to result in higher interest expense in the event of increases in interest rates. Our ability to pay interest on our debt and to satisfy our other debt obligations will depend in part upon our future financial and operating performance and upon our ability to renew or refinance borrowings. Prevailing economic conditions and financial, business, competitive, regulatory, and other factors, many of which are beyond our control, will affect our ability to make these payments. We cannot guarantee that our business will generate sufficient cash flow from operations or that future borrowings will be available to us in an amount sufficient to enable us to fund our liquidity needs. If we are unable to generate sufficient cash flow to meet our debt service obligations, we will have to pursue one or more alternatives, such as reducing or delaying capital or other expenditures, refinancing debt, selling assets, or raising equity capital. Further, the requirement to make significant interest payments may reduce the Company’s flexibility to respond to changing business and economic conditions or fund capital expenditure or working capital needs and may increase the Company’s vulnerability to adverse economic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agreements and instruments governing our debt contain various covenants that could significantly impact our ability to operate our business.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agreement governing our senior secured credit facility and the indenture that governs our 5.0% Senior Notes due 2028 contain a number of significant covenants that, among other things, limit our ability to: incur or guarantee additional indebtedness, pay dividends or make other distributions or repurchase or redeem capital stock, prepay, redeem or repurchase certain debt, issue certain preferred stock or similar equity securities, make loans and investments, sell or otherwise dispose of assets, incur liens, enter into transactions with affiliates, enter into agreements restricting our subsidiaries’ ability to pay dividends and consolidate, merge or sell all or substantially all of our assets. In addition, we are required to comply with specific financial ratios, including a maximum net leverage ratio, under which we are required to achieve specific financial results. Our ability to comply with these provisions may be affected by events beyond our control. A breach of any of these covenants would result in a default under the applicable agreements. In the event of any default under our senior secured credit facility, our lenders could elect to declare all amounts borrowed under the credit agreement, together with accrued interest thereon, to be due and payable. In such an event, we cannot assure you that we would have sufficient assets to pay debt then outstanding under the credit agreement, the indenture governing our notes, and any other agreements governing our debt. Any future refinancing of the senior secured credit facility is likely to contain similar restrictive covenants. We may also incur future debt obligations that might subject us to additional restrictive covenants that could affect our financial and operational flexibility. We cannot assure you that we will be granted waivers or amendments to these agreements if for any reason we are unable to comply with these agreements or that we will be able to refinance our debt on terms acceptable to us, or at all.</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Technology, Development and Growth Risks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results could be adversely affected if it is unable to effectively achieve and implement its growth initiatives.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Sales and income growth of the Company depends upon a number of uncertain events. Growth will depend in part on sales growth from our existing businesses and customers. The Company has a strategic growth initiative to increase penetration into geographic markets such as Brazil, China, and India as well as other Asian and Eastern European countries. The Company also has a strategic growth initiative to increase penetration into consumer-oriented markets such as cat litter, personal care, animal and health care and natural oil purification. Our strategy also anticipates growth through future acquisitions. However, our ability to identify and consummate any future acquisitions on terms that are favorable to us may be limited by the number of attractive acquisition targets, internal demands on our resources, and our ability to obtain financing. Our success in integrating newly acquired businesses will depend upon our ability to retain key personnel, avoid diversion of management’s attention from operational matters, and integrate general and administrative services. In addition, future acquisitions could result in the incurrence of additional debt, costs, and contingent liabilities. Integration of acquired operations may take longer, or be more costly or disruptive to our business, than originally anticipated, and it is also possible that expected synergies from future acquisitions may not materialize. We also may incur costs and divert management attention with regard to potential acquisitions that are never consummated. Difficulties, delays, or failure of any of these strategies could affect the future growth rate of the Company.</w:t>
      </w:r>
    </w:p>
    <w:p>
      <w:pPr>
        <w:sectPr>
          <w:pgSz w:w="11900" w:h="16838" w:orient="portrait"/>
          <w:cols w:equalWidth="0" w:num="1">
            <w:col w:w="11240"/>
          </w:cols>
          <w:pgMar w:left="320" w:top="112" w:right="339" w:bottom="0" w:gutter="0" w:footer="0" w:header="0"/>
        </w:sect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Delays or failures in new product development could adversely affect the Company’s operations.</w:t>
      </w:r>
    </w:p>
    <w:p>
      <w:pPr>
        <w:sectPr>
          <w:pgSz w:w="11900" w:h="16838" w:orient="portrait"/>
          <w:cols w:equalWidth="0" w:num="1">
            <w:col w:w="11240"/>
          </w:cols>
          <w:pgMar w:left="320" w:top="112" w:right="339" w:bottom="0" w:gutter="0" w:footer="0" w:header="0"/>
          <w:type w:val="continuous"/>
        </w:sectPr>
      </w:pPr>
    </w:p>
    <w:bookmarkStart w:id="41" w:name="page42"/>
    <w:bookmarkEnd w:id="4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future business success will depend in part upon its ability to maintain and enhance its technological capabilities, to respond to changing customer needs, and to successfully anticipate or respond to technological changes on a cost-effective and timely basis. The Company is engaged in a continuous effort to develop new products and processes in all of its product lines. Difficulties, delays, or failures in the development, testing, production, marketing, or sale of such new products could cause actual results of operations to differ materially from our expected results.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compete is dependent upon its ability to defend its intellectual property against inappropriate disclosure, theft, and infringement.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ability to compete is based in part upon proprietary knowledge, both patented and unpatented. The Company’s ability to achieve anticipated results depends in part on its ability to defend its intellectual property against inappropriate disclosure and theft as well as against infringement. In addition, development by the Company’s competitors of new products or technologies that are more effective or less expensive than those the Company offers could have a material adverse effect on the Company’s financial condition or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Company’s operations could be impacted by the increased risks of doing business abroad.</w:t>
      </w:r>
    </w:p>
    <w:p>
      <w:pPr>
        <w:spacing w:after="0" w:line="2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does business in many areas internationally. Approximately 48% of our sales in 2025 were derived from outside the United States and we have significant production facilities which are located outside of the United States. We have in recent years expanded our operations in emerging markets, and we plan to continue to do so in the future, particularly in Brazil, China, India, the Middle East, and Eastern Europe. Some of our operations are located in areas that have experienced political or economic instability, including Brazil, China, Egypt, Indonesia, Malaysia, Nigeria, Saudi Arabia, South Africa, Thailand, and Turkey. As the Company expands its operations overseas, it faces increased risks of doing business abroad, including inflation, fluctuation in interest rates, changes in applicable laws and regulatory requirements, nationalization, expropriation, limits on repatriation of funds, civil unrest, unstable governments and legal systems, and other factors. The U.S. and foreign countries may also adopt or increase restrictions on foreign trade or investment, including currency exchange controls, tariffs or other taxes, or limitations on imports or exports.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Beginning in the first quarter of 2025, the United States government has imposed additional tariffs on goods imported into the U.S. from numerous countries and multiple nations have responded with reciprocal tariffs and other actions. On February 20, 2026, the United States Supreme Court issued a ruling striking down certain tariffs imposed by the U.S., including those affecting certain goods that the Company imports. However, the timing and amount of any potential tariff refunds remains uncertain, and are subject to further legal, regulatory, and administrative developments. In addition, the U.S. has initiated new tariffs and may impose additional tariffs. As a result, there remains significant uncertainty regarding the scope and duration of existing and future tariffs, and the impact of such tariffs will continue to vary. While the Company generally manufactures products in the markets where they are sold, our businesses and suppliers import certain goods subject to U.S. imposed tariffs, in particular in our High-Temperature Technologies product line, as well as goods subject to reciprocal tariffs and other measures imposed by other countries. However, the imposition of tariffs as well as uncertainty about their scope and duration could negatively affect demand, result in an increase in some input costs and/or inflation that we are unable to mitigate, or otherwise adversely affect economic conditions. The Company continues to monitor the economic effects of the trade environment, but the effects associated with the tariffs remain uncertain.</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geopolitical and terrorism threats, including armed conflict among countries, could in the future affect our business overseas, including leading to, among other things, higher costs, impairment of our or our customers’ ability to conduct operations, adverse impact to our employees, and a loss of our investment. As a result of recent geopolitical events in the Middle East, we have experienced higher energy prices and freight expenses, among other effects. The broader consequences of geopolitical and terrorism threats, which may include sanctions that prohibit our ability to do business in specific countries, embargoes, supply chain disruptions, potential contractual breaches and litigation, regional instability, and geopolitical shifts, cannot be predicted. We are also subject to increased risks of natural disasters, public health crises, including the occurrence of a contagious disease or illness, such as COVID-19, and other catastrophic events in such countries. Many of these risks are beyond our control and can lead to sudden, and potentially prolonged, changes in demand for our products, difficulty in enforcing agreements, and losses in the realizability of our assets.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 significant portion of our raw material purchases and sales outside the United States are denominated in foreign currencies, and liabilities for non-U.S. operating expenses and income taxes are denominated in local currencies. Accordingly, reported sales, net earnings, cash flows, and fair values have been and, in the future, will be affected by changes in foreign currency exchange rates. Our overall success as a global business depends, in part, upon our ability to succeed in differing legal, regulatory, economic, social, and political conditions. We cannot assure you that we will implement policies and strategies that will be effective in each location where we do business.</w:t>
      </w:r>
    </w:p>
    <w:p>
      <w:pPr>
        <w:spacing w:after="0" w:line="201" w:lineRule="exact"/>
        <w:rPr>
          <w:sz w:val="20"/>
          <w:szCs w:val="20"/>
          <w:color w:val="auto"/>
        </w:rPr>
      </w:pPr>
    </w:p>
    <w:p>
      <w:pPr>
        <w:ind w:right="360" w:firstLine="690"/>
        <w:spacing w:after="0" w:line="258" w:lineRule="auto"/>
        <w:rPr>
          <w:sz w:val="20"/>
          <w:szCs w:val="20"/>
          <w:color w:val="auto"/>
        </w:rPr>
      </w:pPr>
      <w:r>
        <w:rPr>
          <w:rFonts w:ascii="Times New Roman" w:cs="Times New Roman" w:eastAsia="Times New Roman" w:hAnsi="Times New Roman"/>
          <w:sz w:val="22"/>
          <w:szCs w:val="22"/>
          <w:color w:val="auto"/>
        </w:rPr>
        <w:t>Adverse developments in any of the areas in which we do business could cause actual results to differ materially from historical and expected results.</w:t>
      </w: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operations are dependent on the availability of raw materials and access to ore reserves at its mining operations. Increases in costs of raw materials, energy, or shipping could adversely affect our financial results.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depends in part on having an adequate supply of raw materials for its manufacturing operations, particularly lime and carbon dioxide for the production of PCC, and magnesia and alumina for its refractory operations. Purchase prices and availability of these critical raw materials are subject to volatility. At any given time, we may be unable to obtain an adequate supply of these critical raw materials on a timely basis, on price and other terms, or at all. While most such raw materials are readily available, the Company has purchased approximately 57% of its magnesia requirements from sources in China over the past five years. The price and availability of magnesia have fluctuated in the past and they may fluctuate in the future. Price increases for certain other of our raw materials, including petrochemical products, as well as increases in energy prices, have also affected our business. Our production processes consume a significant amount of energy, primarily electricity, diesel fuel, natural gas, and coal. We use diesel fuel to operate our mining and processing equipment, and our freight costs are heavily dependent upon fuel prices and surcharges. Energy costs also affect the cost of raw materials. On a combined basis, these factors represent a large exposure to petrochemical and energy products which have been, and may continue to be, subject to significant price fluctuations. The contracts pursuant to which we construct and operate our PCC satellite plants generally adjust pricing to reflect the pass-through of increases in costs resulting from inflation, including energy. However, there is a time lag before such price adjustments can be implemented. The Company and its customers will typically negotiate reasonable price adjustments in order to recover these escalating costs, but there can be no assurance that we will be able to recover increasing costs through such negotiations.</w:t>
      </w:r>
    </w:p>
    <w:p>
      <w:pPr>
        <w:sectPr>
          <w:pgSz w:w="11900" w:h="16838" w:orient="portrait"/>
          <w:cols w:equalWidth="0" w:num="1">
            <w:col w:w="11240"/>
          </w:cols>
          <w:pgMar w:left="320" w:top="364" w:right="339" w:bottom="194" w:gutter="0" w:footer="0" w:header="0"/>
        </w:sectPr>
      </w:pPr>
    </w:p>
    <w:bookmarkStart w:id="42" w:name="page43"/>
    <w:bookmarkEnd w:id="42"/>
    <w:p>
      <w:pPr>
        <w:spacing w:after="0" w:line="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also depends on having adequate access to ore reserves of appropriate quality at its mining operations. There are numerous uncertainties inherent in estimating ore reserves including subjective judgments and determinations that are based on available geological, technical, contract, and economic information. In addition, mining permits, leases, and other rights are, or may be, required for certain of the Company’s mining operations. Such permits, leases, and other rights are subject to modification, renewal, and revocation. Our ability to maintain such mining permits, leases, and other rights has been, and may continue to be, affected by changes in laws, regulations, and governmental actions, particularly in emerging markets such as China and Turkey. We cannot assure you that we will be able to maintain such mining permits, leases, and other rights to the extent we currently maintain them or at all.</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relies on shipping cargos of bentonite from the United States, Turkey, and China to customers, as well as our own subsidiaries, and we are sensitive to our ability to recover these shipping costs. If we cannot secure our container requirements or offset additional shipping costs with price increases to customers, our profitability could be impacted. We are also subject to other shipping risks. In particular, rail service interruptions have affected our ability to ship, and the availability of rail service, and our ability to recover increased rail costs, may be beyond our control. In addition, governmental restrictions can, and during the COVID-19 pandemic did, affect our ability to ship our products.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Operational Risks</w:t>
      </w:r>
    </w:p>
    <w:p>
      <w:pPr>
        <w:spacing w:after="0" w:line="2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Company’s subsidiaries, BMI Oldco Inc. (f/k/a Barretts Minerals Inc.) (“Oldco”) and Barretts Ventures Texas LLC (together with Oldco, the “Chapter 11 Debtors”), have filed voluntary petitions for relief under Chapter 11 of the U.S. Bankruptcy Code to address and comprehensively resolve Oldco’s liabilities associated with talc. Risks and uncertainties related to this filing could have a material adverse effect on the Company’s business, financial condition, results of operations, and cash flows.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and certain of the Company’s subsidiaries are among numerous defendants in over nine hundred cases seeking damages for alleged exposure to asbestos-contaminated talc products sold by the Company’s subsidiary Oldco. On October 2, 2023 (the “Petition Date”), notwithstanding the Company’s confidence in the safety of Oldco’s talc products, the Chapter 11 Debtors filed voluntary petitions for relief under Chapter 11 of the U.S. Bankruptcy Code in the United States Bankruptcy Court for the Southern District of Texas (the “Chapter 11 Cases”) to address and comprehensively resolve Oldco’s liabilities associated with talc. Minerals Technologies Inc. and the Company’s other subsidiaries were not included in the Chapter 11 filing.</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Chapter 11 Debtors’ ultimate goal in the Chapter 11 Cases is to confirm a plan of reorganization under Section 524(g) of the U.S. Bankruptcy Code and utilize this provision of the Bankruptcy Code to establish a trust that will address all current and future talc-related claims. Discussions regarding the terms of a potential consensual plan of reorganization and the ultimate amount to be contributed to any trust are ongoing.</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second quarter of 2024, Oldco sold its talc assets under section 363 of the U.S. Bankruptcy Code. In addition, in the second quarter of 2024, the Company entered into a Debtor-in-Possession Credit Agreement with Oldco (the “DIP Credit Agreement”) and recorded a provision for credit loss of $30 million for the maximum aggregate principal amount under such DIP Credit Agreement. In the second quarter of 2025, the Company amended the DIP Credit Agreement to increase the maximum principal amount available under the DIP Credit Agreement by $30 million. Proceeds of the sale of Oldco's talc assets and funds drawn by Oldco under the DIP Credit Agreement have been and will be used to fund the Chapter 11 Cases.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2025, the Company recorded a provision to establish an accrual of $215 million for estimated costs to fund a trust to resolve all current and future talc-related claims as well as fund the Chapter 11 Cases and related litigation costs (including the aforementioned $30 million increase to the maximum principal amount of the DIP Credit Agreement). The parties have not yet reached a final resolution of all matters in the Chapter 11 Cases, and the Company is unable to estimate the possible loss or range of loss beyond the amount accrued.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pendency of the Chapter 11 Cases, the Company anticipates that the Chapter 11 Debtors will benefit from the operation of the automatic stay, which stays ongoing litigation in connection with talc-related claims against the Chapter 11 Debtors. In addition, the Bankruptcy Court temporarily enjoined the filing or continued prosecution of all talc-related claims against the Chapter 11 Debtors’ non-debtor affiliates, subject to certain exceptions. Such exceptions consist of claims premised solely on alleged inadequacies in testing of talc sold by Oldco. The Company is vigorously opposing and defending against these claims. The Chapter 11 Debtors have been deconsolidated from the Company’s financial statements since the Petition Date.</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Although the Chapter 11 Cases are progressing, it is not possible at this time to predict how the District Court will rule on the pending motions, the form of any ultimate resolution, or when an ultimate resolution might occur. Accordingly, the Company is unable to estimate the possible loss or range of loss related to the amount that will be necessary to fully and finally resolve all of Oldco’s current and future talc-related claims in connection with a confirmed Chapter 11 plan of reorganization beyond the amount accrued. Several risks and uncertainties related to the Chapter 11 Cases could have a material adverse effect on the Company’s business, financial condition, results of operations, and cash flows, including the ultimate amount necessary to be contributed to any trust established pursuant to Section 524(g) of the U.S. Bankruptcy Code, the potential for the Company’s talc-related exposure to extend beyond the Chapter 11 Debtors arising from claims by talc plaintiffs relating to the Company’s liability for talc claims, corporate veil piercing efforts or otherwise, any final resolution of the scope of the Pfizer indemnity, the ongoing costs of the Chapter 11 Cases, which may require additional funding from time to time, the cost and length of time necessary to ultimately resolve the cases, either through settlement or as a result of litigation arising in connection with the Chapter 11 Cases, and the possibility that the Chapter 11 Debtors will be unsuccessful in attaining relief under Chapter 11. Further, while the Company anticipates that the Chapter 11 Debtors will benefit from the operation of the automatic stay during the Chapter 11 proceedings, depending on the ultimate outcome of any of these litigation matters, the Company could in the future be required to pay significant amounts as a result of settlements or judgments, potentially in excess of liabilities accrued to date in respect of such matters. The resolution of, or recognition of additional liabilities in connection with, pending or future litigation could have a material adverse effect on the Company’s results of operations, cash flows, and financial condition.</w:t>
      </w:r>
    </w:p>
    <w:p>
      <w:pPr>
        <w:spacing w:after="0" w:line="2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further discussion of the Chapter 11 Cases and Oldco's talc-related liabilities, see Note 12 to the Consolidated Financial Statements, included in this report.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stringent regulation in the areas of environmental, health and safety, and tax, and may incur unanticipated costs or liabilities arising out of claims for various legal, environmental, and tax matters or product stewardship issues that could materially harm the Company’s results of operations, cash flows, and financial condition.</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operations are subject to international, federal, state, and local governmental environmental, health and safety, tax, and other laws and regulations. We have expended, and may be required to expend in the future, substantial funds for compliance with such laws and regulations. In</w:t>
      </w:r>
    </w:p>
    <w:p>
      <w:pPr>
        <w:sectPr>
          <w:pgSz w:w="11900" w:h="16927" w:orient="portrait"/>
          <w:cols w:equalWidth="0" w:num="1">
            <w:col w:w="11240"/>
          </w:cols>
          <w:pgMar w:left="320" w:top="121" w:right="339" w:bottom="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8"/>
          <w:szCs w:val="18"/>
          <w:color w:val="auto"/>
        </w:rPr>
        <w:t>addition, future events, such as changes to or modifications of interpretations of existing laws and regulations, or enforcement polices, or further investigation or evaluation of the potential environmental impacts of operations or health hazards of certain products, may affect our mining rights or give rise to additional compliance and other costs that could have a material adverse effect on the Company. Further, certain of our customers are subject to various federal and international laws and regulations relating to environmental and health and safety matters, especially customers of our Environmental &amp; Infrastructure product line of our Engineered Solutions segment, who are subject to drilling permits, waste-water disposal, and other regulations. To the extent that these laws and regulations affecting our customers change, demand for our products and services could also change and thereby affect our financial results. Greenhouse gas emissions have become the subject of an increasing amount of concern from state, national, and international governments and agencies. These concerns have resulted in, and may continue to result in, the enactment or adoption of climate-related legislation and regulation that would restrict emissions of greenhouse gases in areas in which we conduct business, result in additional compliance costs, or have an adverse effect on our operations or demand for our products. Our manufacturing processes for our products use a significant amount of energy and, should energy prices increase as a result of such legislation or regulation, we may not be able to pass these increased costs on to purchasers of our products. We cannot predict if or when currently proposed or additional laws and regulations regarding climate change or other environmental or health and safety concerns will be enacted or adopted.</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also subject to income tax laws and regulations in the United States and various foreign jurisdictions. Significant judgment is required in evaluating and estimating our provision and accruals for these taxes. Our income tax liabilities are dependent upon the location of earnings among these different jurisdictions. Our income tax provision and income tax liabilities could be adversely affected by the jurisdictional mix of earnings, changes in valuation of deferred tax assets and liabilities, and changes in tax treaties, laws, and regulations.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currently a party in various litigation matters and tax and environmental proceedings and faces risks arising from various unasserted litigation matters, including product liability, patent infringement, antitrust claims, and claims for third-party property damage or personal injury stemming from alleged torts, including, as discussed elsewhere in this Report, a number of cases seeking damages for alleged exposure to asbestos-contaminated talc products sold by Oldco. Any failure to appropriately manage safety, human health, product liability, and environmental risks associated with the Company’s products and production processes could adversely impact the Company’s employees and other stakeholders, the Company’s reputation, and its results of operations, cash flows, and financial condition. Public perception of the risks associated with the Company’s products and production processes could impact product acceptance and influence the regulatory environment in which the Company operates. Any unanticipated liability arising out of a current matter or proceeding, or from the other risks described above, could have a material adverse effect on the Company’s results of operations, cash flows, and financial condition.</w:t>
      </w:r>
    </w:p>
    <w:p>
      <w:pPr>
        <w:spacing w:after="0" w:line="21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Production facilities are subject to operating risks and capacity limitations that may adversely affect the Company’s financial condition or results of operations.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dependent on the continued operation of its production facilities. Our production facilities and the transportation of our products and/or the raw materials used to manufacture our products are subject to hazards associated with the manufacturing, handling, storage, and transportation of chemical materials and products, including mechanical failure, leaks, ruptures, explosions, fires, inclement weather and natural disasters, transportation interruptions, and environmental risks. Such operating problems may cause personal injury and/or loss of life, damage to or destruction of property and equipment, environmental damage, unscheduled downtime, and customer attrition. We maintain property, business interruption, and casualty insurance but such insurance may not cover all risks associated with the hazards of our business and is subject to limitations, including deductibles and maximum liabilities covered. We may incur losses beyond the limits, or outside the coverage, of our insurance policies. Production at our facilities may also be affected by labor disputes, labor shortages, and increased turnover, which could disrupt our operations, cause a decline in our production, increase employee-related costs, and divert the attention of our management. Production facilities are also subject to governmental requirements that may affect our ability to operate. Further, from time to time, we may experience capacity limitations in our manufacturing operations. In addition, if we are unable to effectively forecast our customers’ demand, it could affect our ability to successfully manage operating capacity limitations. These hazards, limitations, labor, and employee issues, disruptions in supply, and capacity constraints could adversely affect financial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Operating results for some of our businesses are seasonal.</w:t>
      </w:r>
    </w:p>
    <w:p>
      <w:pPr>
        <w:spacing w:after="0" w:line="248"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Certain of our businesses are affected by seasonal weather patterns. A majority of revenues from our energy services business within the Environmental &amp; Infrastructure product line of our Engineered Solutions segment is derived from the Gulf of Mexico and surrounding states, which are</w:t>
      </w:r>
    </w:p>
    <w:p>
      <w:pPr>
        <w:jc w:val="both"/>
        <w:spacing w:after="0" w:line="249" w:lineRule="auto"/>
        <w:rPr>
          <w:sz w:val="20"/>
          <w:szCs w:val="20"/>
          <w:color w:val="auto"/>
        </w:rPr>
      </w:pPr>
      <w:r>
        <w:rPr>
          <w:rFonts w:ascii="Times New Roman" w:cs="Times New Roman" w:eastAsia="Times New Roman" w:hAnsi="Times New Roman"/>
          <w:sz w:val="17"/>
          <w:szCs w:val="17"/>
          <w:color w:val="auto"/>
        </w:rPr>
        <w:t>susceptible to hurricanes that typically occur June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7"/>
          <w:szCs w:val="17"/>
          <w:color w:val="auto"/>
        </w:rPr>
        <w:t xml:space="preserve"> through November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Actual or threatened hurricanes can result in volatile demand for services provided by our energy services business. Our other businesses within the Environmental &amp; Infrastructure product line are affected by weather patterns which determine the feasibility of construction activities. Typically, less construction activity occurs in winter months and thus this segment’s revenues tend to be greatest in the second and third quarters when weather patterns in our geographic markets are more conducive to construction activities. Additionally, some of the businesses within the Specialty Additives product line of our Consumer &amp; Specialties segment are subject to similar seasonal patterns.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have been and will continue to be subject to cyberattacks and other disruptions to our information systems that could have a material adverse impact on our business, consolidated results of operations, and consolidated financial condition.</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are dependent on digital technologies and services, including systems operated by third parties that include embedded artificial intelligence (“AI”). We use these technologies for activities important to our business, including managing and operating our manufacturing facilities, communications within our company and with customers and suppliers, processing transactions, maintaining accurate financial records and other enterprise resource planning requirements, protecting confidential information, complying with regulatory, financial reporting, and legal requirements, and otherwise storing, processing, and transmitting our data. Increased use of remote working arrangements has only increased our reliance on these technologies and services. Our business has in the past and could in the future be negatively affected by security incidents and systems disruptions. These disruptions or incidents may be caused by cyberattacks and other cyber incidents, network or power outages, software, equipment, or telecommunications failures, the unintentional or malicious actions of employees or contractors, an inability to appropriately update our systems, natural disasters, fires, or other catastrophic events.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Cyberattacks and other cyber incidents are occurring more frequently, and the techniques used to gain access to information technology systems and data, disable or degrade service or sabotage systems are constantly evolving, becoming more sophisticated in nature, and are being carried out by groups and individuals with a wide range of expertise and motives. Cyberattacks and cyber incidents may be difficult to detect for periods of time and take many forms including cyber extortion, denial of service, social engineering, introduction of viruses or malware (such as ransomware), exploiting vulnerabilities in hardware, software, or other infrastructure, hacking, website defacement, theft of passwords and other credentials, unauthorized use of computing resources, and business email compromise. Continued geopolitical instability has heightened the risk of cyberattacks.</w:t>
      </w:r>
    </w:p>
    <w:p>
      <w:pPr>
        <w:sectPr>
          <w:pgSz w:w="11900" w:h="16838" w:orient="portrait"/>
          <w:cols w:equalWidth="0" w:num="1">
            <w:col w:w="11240"/>
          </w:cols>
          <w:pgMar w:left="320" w:top="121" w:right="339" w:bottom="0" w:gutter="0" w:footer="0" w:header="0"/>
        </w:sectPr>
      </w:pPr>
    </w:p>
    <w:bookmarkStart w:id="44" w:name="page45"/>
    <w:bookmarkEnd w:id="4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Like other global companies, our systems are subject to recurring attempts by third parties to access information, manipulate data, or disrupt our operations, and we have experienced cyber incidents. If we do not allocate and effectively manage the resources necessary to continue building and maintaining our information technology infrastructure, or if we fail to timely identify or appropriately respond to cyberattacks or other cyber incidents, our business has been and can continue to be adversely affected by, among other things: interruption of our business operations; loss of or damage to intellectual property, proprietary or confidential information, or customer, supplier, or employee data; and increased costs required to prevent, respond to, or mitigate cybersecurity attacks. Similar risks exist with respect to our business partners and third-party providers that we rely upon. We also are subject to the risk that the activities associated with our business partners and third-party providers can adversely affect our business even if the attack or breach does not directly impact our systems or information. Our use of AI software may create additional risks related to the unintentional disclosure of proprietary, confidential, or otherwise sensitive information.</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the cyber incidents that we have experienced to date have not had a material effect on our business, such incidents or disruptions could have a material adverse effect on us in the future. While we believe we devote significant resources to network security, disaster recovery, employee training, and other measures to secure our information technology systems and prevent unauthorized access to or loss of data, there can be no guarantee that they will be adequate to safeguard against all cyber incidents, systems disruptions, or misuses of data. In addition, while we currently maintain insurance coverage that is intended to address costs associated with certain aspects of cyber incidents and information systems failures, this insurance coverage may not cover all losses or all types of claims that arise from an incident, or the damage to our reputation or brands that may result from an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5"/>
    </w:lvl>
  </w:abstractNum>
  <w:abstractNum w:abstractNumId="8">
    <w:nsid w:val="1190CDE7"/>
    <w:multiLevelType w:val="hybridMultilevel"/>
    <w:lvl w:ilvl="0">
      <w:lvlJc w:val="left"/>
      <w:lvlText w:val="%1"/>
      <w:numFmt w:val="decimal"/>
      <w:start w:val="32"/>
    </w:lvl>
  </w:abstractNum>
  <w:abstractNum w:abstractNumId="9">
    <w:nsid w:val="66EF438D"/>
    <w:multiLevelType w:val="hybridMultilevel"/>
    <w:lvl w:ilvl="0">
      <w:lvlJc w:val="left"/>
      <w:lvlText w:val="%1"/>
      <w:numFmt w:val="decimal"/>
      <w:start w:val="95"/>
    </w:lvl>
  </w:abstractNum>
  <w:abstractNum w:abstractNumId="10">
    <w:nsid w:val="140E0F76"/>
    <w:multiLevelType w:val="hybridMultilevel"/>
    <w:lvl w:ilvl="0">
      <w:lvlJc w:val="left"/>
      <w:lvlText w:val="%1"/>
      <w:numFmt w:val="decimal"/>
      <w:start w:val="99"/>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2026-05-01T14:14:46Z</dcterms:created>
  <dcterms:modified xsi:type="dcterms:W3CDTF">2026-05-01T14:14:46Z</dcterms:modified>
</cp:coreProperties>
</file>