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0.gif" ContentType="image/gif"/>
  <Override PartName="/word/media/image126.jpeg" ContentType="image/jpeg"/>
  <Override PartName="/word/media/image125.jpeg" ContentType="image/jpeg"/>
  <Override PartName="/word/media/image124.gif" ContentType="image/gif"/>
  <Override PartName="/word/media/image122.gif" ContentType="image/gif"/>
  <Override PartName="/word/media/image121.gif" ContentType="image/gif"/>
  <Override PartName="/word/media/image21.jpeg" ContentType="image/jpeg"/>
  <Override PartName="/word/media/image120.gif" ContentType="image/gif"/>
  <Override PartName="/word/media/image119.gif" ContentType="image/gif"/>
  <Override PartName="/word/media/image115.jpeg" ContentType="image/jpeg"/>
  <Override PartName="/word/media/image114.jpeg" ContentType="image/jpeg"/>
  <Override PartName="/word/media/image113.gif" ContentType="image/gif"/>
  <Override PartName="/word/media/image27.jpeg" ContentType="image/jpeg"/>
  <Override PartName="/word/media/image112.gif" ContentType="image/gif"/>
  <Override PartName="/word/media/image111.gif" ContentType="image/gif"/>
  <Override PartName="/word/media/image20.jpeg" ContentType="image/jpeg"/>
  <Override PartName="/word/media/image106.gif" ContentType="image/gif"/>
  <Override PartName="/word/media/image99.jpeg" ContentType="image/jpeg"/>
  <Override PartName="/word/media/image108.gif" ContentType="image/gif"/>
  <Override PartName="/word/media/image11.gif" ContentType="image/gif"/>
  <Override PartName="/word/media/image30.jpeg" ContentType="image/jpeg"/>
  <Override PartName="/word/media/image5.jpeg" ContentType="image/jpeg"/>
  <Override PartName="/word/media/image24.jpeg" ContentType="image/jpeg"/>
  <Override PartName="/word/media/image103.jpeg" ContentType="image/jpeg"/>
  <Override PartName="/word/media/image83.jpeg" ContentType="image/jpeg"/>
  <Override PartName="/word/media/image92.gif" ContentType="image/gif"/>
  <Override PartName="/word/media/image3.jpeg" ContentType="image/jpeg"/>
  <Override PartName="/word/media/image109.gif" ContentType="image/gif"/>
  <Override PartName="/word/media/image105.jpeg" ContentType="image/jpeg"/>
  <Override PartName="/word/media/image26.jpeg" ContentType="image/jpeg"/>
  <Override PartName="/word/media/image47.gif" ContentType="image/gif"/>
  <Override PartName="/word/media/image31.jpeg" ContentType="image/jpeg"/>
  <Override PartName="/word/media/image13.jpeg" ContentType="image/jpeg"/>
  <Override PartName="/word/media/image72.jpeg" ContentType="image/jpeg"/>
  <Override PartName="/word/media/image87.gif" ContentType="image/gif"/>
  <Override PartName="/word/media/image34.jpeg" ContentType="image/jpeg"/>
  <Override PartName="/word/media/image51.gif" ContentType="image/gif"/>
  <Override PartName="/word/media/image33.jpeg" ContentType="image/jpeg"/>
  <Override PartName="/word/media/image41.gif" ContentType="image/gif"/>
  <Override PartName="/word/media/image40.gif" ContentType="image/gif"/>
  <Override PartName="/word/media/image78.gif" ContentType="image/gif"/>
  <Override PartName="/word/media/image134.jpeg" ContentType="image/jpeg"/>
  <Override PartName="/word/media/image90.gif" ContentType="image/gif"/>
  <Override PartName="/word/media/image139.jpeg" ContentType="image/jpeg"/>
  <Override PartName="/word/media/image43.jpeg" ContentType="image/jpeg"/>
  <Override PartName="/word/media/image131.jpeg" ContentType="image/jpeg"/>
  <Override PartName="/word/media/image55.gif" ContentType="image/gif"/>
  <Override PartName="/word/media/image133.jpeg" ContentType="image/jpeg"/>
  <Override PartName="/word/media/image75.gif" ContentType="image/gif"/>
  <Override PartName="/word/media/image48.jpeg" ContentType="image/jpeg"/>
  <Override PartName="/word/media/image140.jpeg" ContentType="image/jpeg"/>
  <Override PartName="/word/media/image130.jpeg" ContentType="image/jpeg"/>
  <Override PartName="/word/media/image38.gif" ContentType="image/gif"/>
  <Override PartName="/word/media/image49.jpeg" ContentType="image/jpeg"/>
  <Override PartName="/word/media/image141.jpeg" ContentType="image/jpeg"/>
  <Override PartName="/word/media/image137.jpeg" ContentType="image/jpeg"/>
  <Override PartName="/word/media/image142.jpeg" ContentType="image/jpeg"/>
  <Override PartName="/word/media/image138.jpeg" ContentType="image/jpeg"/>
  <Override PartName="/word/media/image42.jpeg" ContentType="image/jpeg"/>
  <Override PartName="/word/media/image12.gif" ContentType="image/gif"/>
  <Override PartName="/word/media/image80.gif" ContentType="image/gif"/>
  <Override PartName="/word/media/image53.gif" ContentType="image/gif"/>
  <Override PartName="/word/media/image143.jpeg" ContentType="image/jpeg"/>
  <Override PartName="/word/media/image144.jpeg" ContentType="image/jpeg"/>
  <Override PartName="/word/media/image57.gif" ContentType="image/gif"/>
  <Override PartName="/word/media/image145.jpeg" ContentType="image/jpeg"/>
  <Override PartName="/word/media/image146.jpeg" ContentType="image/jpeg"/>
  <Override PartName="/word/media/image88.gif" ContentType="image/gif"/>
  <Override PartName="/word/media/image135.jpeg" ContentType="image/jpeg"/>
  <Override PartName="/word/media/image50.gif" ContentType="image/gif"/>
  <Override PartName="/word/media/image52.gif" ContentType="image/gif"/>
  <Override PartName="/word/media/image116.jpeg" ContentType="image/jpeg"/>
  <Override PartName="/word/media/image128.jpeg" ContentType="image/jpeg"/>
  <Override PartName="/word/media/image58.gif" ContentType="image/gif"/>
  <Override PartName="/word/media/image132.jpeg" ContentType="image/jpeg"/>
  <Override PartName="/word/media/image8.gif" ContentType="image/gif"/>
  <Override PartName="/word/media/image129.jpeg" ContentType="image/jpeg"/>
  <Override PartName="/word/media/image136.jpeg" ContentType="image/jpeg"/>
  <Override PartName="/word/media/image60.gif" ContentType="image/gif"/>
  <Override PartName="/word/media/image45.jpeg" ContentType="image/jpeg"/>
  <Override PartName="/word/media/image76.jpeg" ContentType="image/jpeg"/>
  <Override PartName="/word/media/image59.gif" ContentType="image/gif"/>
  <Override PartName="/word/media/image110.gif" ContentType="image/gif"/>
  <Override PartName="/word/media/image18.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6.jpeg" ContentType="image/jpeg"/>
  <Override PartName="/word/media/image2.jpeg" ContentType="image/jpeg"/>
  <Override PartName="/word/media/image66.jpeg" ContentType="image/jpeg"/>
  <Override PartName="/word/media/image23.jpeg" ContentType="image/jpeg"/>
  <Override PartName="/word/media/image85.gif" ContentType="image/gif"/>
  <Override PartName="/word/media/image17.gif" ContentType="image/gif"/>
  <Override PartName="/word/media/image82.jpeg" ContentType="image/jpeg"/>
  <Override PartName="/word/media/image102.jpeg" ContentType="image/jpeg"/>
  <Override PartName="/word/media/image35.jpeg" ContentType="image/jpeg"/>
  <Override PartName="/word/media/image1.jpeg" ContentType="image/jpeg"/>
  <Override PartName="/word/media/image65.jpeg" ContentType="image/jpeg"/>
  <Override PartName="/word/media/image22.jpeg" ContentType="image/jpeg"/>
  <Override PartName="/word/media/image101.jpeg" ContentType="image/jpeg"/>
  <Override PartName="/word/media/image118.jpeg" ContentType="image/jpeg"/>
  <Override PartName="/word/media/image44.gif" ContentType="image/gif"/>
  <Override PartName="/word/media/image14.jpeg" ContentType="image/jpeg"/>
  <Override PartName="/word/media/image54.gif" ContentType="image/gif"/>
  <Override PartName="/word/media/image15.jpeg" ContentType="image/jpeg"/>
  <Override PartName="/word/media/image39.gif" ContentType="image/gif"/>
  <Override PartName="/word/media/image32.jpeg" ContentType="image/jpeg"/>
  <Override PartName="/word/media/image9.gif" ContentType="image/gif"/>
  <Override PartName="/word/media/image69.jpeg" ContentType="image/jpeg"/>
  <Override PartName="/word/media/image16.jpeg" ContentType="image/jpeg"/>
  <Override PartName="/word/media/image6.gif" ContentType="image/gif"/>
  <Override PartName="/word/media/image100.jpeg" ContentType="image/jpeg"/>
  <Override PartName="/word/media/image117.jpeg" ContentType="image/jpeg"/>
  <Override PartName="/word/media/image19.jpeg" ContentType="image/jpeg"/>
  <Override PartName="/word/media/image123.gif" ContentType="image/gif"/>
  <Override PartName="/word/media/image28.jpeg" ContentType="image/jpeg"/>
  <Override PartName="/word/media/image107.jpeg" ContentType="image/jpeg"/>
  <Override PartName="/word/media/image7.gif" ContentType="image/gif"/>
  <Override PartName="/word/media/image29.jpeg" ContentType="image/jpeg"/>
  <Override PartName="/word/media/image61.jpeg" ContentType="image/jpeg"/>
  <Override PartName="/word/media/image62.jpeg" ContentType="image/jpeg"/>
  <Override PartName="/word/media/image81.gif" ContentType="image/gif"/>
  <Override PartName="/word/media/image37.jpeg" ContentType="image/jpeg"/>
  <Override PartName="/word/media/image63.jpeg" ContentType="image/jpeg"/>
  <Override PartName="/word/media/image91.gif" ContentType="image/gif"/>
  <Override PartName="/word/media/image64.jpeg" ContentType="image/jpeg"/>
  <Override PartName="/word/media/image67.jpeg" ContentType="image/jpeg"/>
  <Override PartName="/word/media/image68.jpeg" ContentType="image/jpeg"/>
  <Override PartName="/word/media/image70.jpeg" ContentType="image/jpeg"/>
  <Override PartName="/word/media/image77.gif" ContentType="image/gif"/>
  <Override PartName="/word/media/image71.jpeg" ContentType="image/jpeg"/>
  <Override PartName="/word/media/image73.gif" ContentType="image/gif"/>
  <Override PartName="/word/media/image74.gif" ContentType="image/gif"/>
  <Override PartName="/word/media/image79.gif" ContentType="image/gif"/>
  <Override PartName="/word/media/image89.gif" ContentType="image/gif"/>
  <Override PartName="/word/media/image93.gif" ContentType="image/gif"/>
  <Override PartName="/word/media/image46.gif" ContentType="image/gif"/>
  <Override PartName="/word/media/image94.jpeg" ContentType="image/jpeg"/>
  <Override PartName="/word/media/image56.gif" ContentType="image/gif"/>
  <Override PartName="/word/media/image95.jpeg" ContentType="image/jpeg"/>
  <Override PartName="/word/media/image96.jpeg" ContentType="image/jpeg"/>
  <Override PartName="/word/media/image97.jpeg" ContentType="image/jpeg"/>
  <Override PartName="/word/media/image86.gif" ContentType="image/gif"/>
  <Override PartName="/word/media/image9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25-1_def14a.htm"/>
        <w:bookmarkStart w:id="1" w:name="kstm261325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020" w:right="0" w:hanging="0"/>
        <w:jc w:val="center"/>
        <w:rPr>
          <w:rFonts w:ascii="Arial;Helvetica;sans-serif" w:hAnsi="Arial;Helvetica;sans-serif"/>
          <w:b/>
          <w:i w:val="false"/>
          <w:caps w:val="false"/>
          <w:smallCaps w:val="false"/>
          <w:color w:val="3F3F3F"/>
          <w:sz w:val="20"/>
        </w:rPr>
      </w:pPr>
      <w:r>
        <w:rPr>
          <w:rFonts w:ascii="Arial;Helvetica;sans-serif" w:hAnsi="Arial;Helvetica;sans-serif"/>
          <w:b/>
          <w:i w:val="false"/>
          <w:caps w:val="false"/>
          <w:smallCaps w:val="false"/>
          <w:color w:val="3F3F3F"/>
          <w:spacing w:val="-3"/>
          <w:sz w:val="20"/>
        </w:rPr>
        <w:t xml:space="preserve">UNITED STATES </w:t>
        <w:br/>
        <w:t>SECURITIES AND EXCHANGE COMMISSION</w:t>
      </w:r>
      <w:r>
        <w:rPr>
          <w:rFonts w:ascii="Arial;Helvetica;sans-serif" w:hAnsi="Arial;Helvetica;sans-serif"/>
          <w:b/>
          <w:i w:val="false"/>
          <w:caps w:val="false"/>
          <w:smallCaps w:val="false"/>
          <w:color w:val="3F3F3F"/>
          <w:sz w:val="20"/>
        </w:rPr>
        <w:t xml:space="preserve"> </w:t>
        <w:br/>
      </w:r>
      <w:r>
        <w:rPr>
          <w:rFonts w:ascii="Arial;Helvetica;sans-serif" w:hAnsi="Arial;Helvetica;sans-serif"/>
          <w:b/>
          <w:i w:val="false"/>
          <w:caps w:val="false"/>
          <w:smallCaps w:val="false"/>
          <w:color w:val="3F3F3F"/>
          <w:spacing w:val="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3F3F3F"/>
          <w:sz w:val="28"/>
        </w:rPr>
      </w:pPr>
      <w:r>
        <w:rPr>
          <w:rFonts w:ascii="Arial;Helvetica;sans-serif" w:hAnsi="Arial;Helvetica;sans-serif"/>
          <w:b/>
          <w:i w:val="false"/>
          <w:caps w:val="false"/>
          <w:smallCaps w:val="false"/>
          <w:color w:val="3F3F3F"/>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3F3F3F"/>
          <w:sz w:val="20"/>
        </w:rPr>
      </w:pPr>
      <w:r>
        <w:rPr>
          <w:rFonts w:ascii="Arial;Helvetica;sans-serif" w:hAnsi="Arial;Helvetica;sans-serif"/>
          <w:b/>
          <w:i w:val="false"/>
          <w:caps w:val="false"/>
          <w:smallCaps w:val="false"/>
          <w:color w:val="3F3F3F"/>
          <w:spacing w:val="0"/>
          <w:sz w:val="20"/>
        </w:rPr>
        <w:t xml:space="preserve">Proxy Statement Pursuant to Section 14(a) of </w:t>
        <w:br/>
        <w:t>the Securities Exchange Act of 1934 (Amendment No.   )</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Soliciting Material under §240.14a-12 </w:t>
      </w:r>
      <w:r>
        <mc:AlternateContent>
          <mc:Choice Requires="wps">
            <w:drawing>
              <wp:anchor behindDoc="0" distT="10160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440" w:before="240" w:after="283"/>
        <w:jc w:val="center"/>
        <w:rPr>
          <w:rFonts w:ascii="Arial;Helvetica;sans-serif" w:hAnsi="Arial;Helvetica;sans-serif"/>
          <w:b/>
          <w:i w:val="false"/>
          <w:caps w:val="false"/>
          <w:smallCaps w:val="false"/>
          <w:color w:val="3F3F3F"/>
          <w:sz w:val="40"/>
        </w:rPr>
      </w:pPr>
      <w:r>
        <w:rPr>
          <w:rFonts w:ascii="Arial;Helvetica;sans-serif" w:hAnsi="Arial;Helvetica;sans-serif"/>
          <w:b/>
          <w:i w:val="false"/>
          <w:caps w:val="false"/>
          <w:smallCaps w:val="false"/>
          <w:color w:val="3F3F3F"/>
          <w:spacing w:val="-1"/>
          <w:sz w:val="40"/>
        </w:rPr>
        <w:t>Minerals Technologies Inc.</w:t>
      </w:r>
      <w:r>
        <w:rPr>
          <w:rFonts w:ascii="Arial;Helvetica;sans-serif" w:hAnsi="Arial;Helvetica;sans-serif"/>
          <w:b/>
          <w:i w:val="false"/>
          <w:caps w:val="false"/>
          <w:smallCaps w:val="false"/>
          <w:color w:val="3F3F3F"/>
          <w:sz w:val="40"/>
        </w:rPr>
        <w:t xml:space="preserve"> </w:t>
      </w:r>
    </w:p>
    <w:p>
      <w:pPr>
        <w:pStyle w:val="TextBody"/>
        <w:bidi w:val="0"/>
        <w:spacing w:lineRule="atLeast" w:line="240" w:before="40" w:after="283"/>
        <w:jc w:val="center"/>
        <w:rPr>
          <w:rFonts w:ascii="Arial;Helvetica;sans-serif" w:hAnsi="Arial;Helvetica;sans-serif"/>
          <w:b w:val="false"/>
          <w:i w:val="false"/>
          <w:caps w:val="false"/>
          <w:smallCaps w:val="false"/>
          <w:color w:val="3F3F3F"/>
          <w:sz w:val="20"/>
        </w:rPr>
      </w:pPr>
      <w:r>
        <w:rPr>
          <w:rFonts w:ascii="Arial;Helvetica;sans-serif" w:hAnsi="Arial;Helvetica;sans-serif"/>
          <w:b w:val="false"/>
          <w:i w:val="false"/>
          <w:caps w:val="false"/>
          <w:smallCaps w:val="false"/>
          <w:color w:val="3F3F3F"/>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caps w:val="false"/>
          <w:smallCaps w:val="false"/>
          <w:color w:val="3F3F3F"/>
        </w:rPr>
      </w:pPr>
      <w:r>
        <w:rPr>
          <w:caps w:val="false"/>
          <w:smallCaps w:val="false"/>
          <w:color w:val="3F3F3F"/>
          <w:spacing w:val="-3"/>
        </w:rPr>
        <w:t xml:space="preserve">  </w:t>
      </w:r>
      <w:r>
        <w:rPr>
          <w:rFonts w:ascii="Arial;Helvetica;sans-serif" w:hAnsi="Arial;Helvetica;sans-serif"/>
          <w:b w:val="false"/>
          <w:i w:val="false"/>
          <w:caps w:val="false"/>
          <w:smallCaps w:val="false"/>
          <w:color w:val="3F3F3F"/>
          <w:sz w:val="20"/>
        </w:rPr>
        <w:br/>
      </w:r>
      <w:r>
        <w:rPr>
          <w:rFonts w:ascii="Arial;Helvetica;sans-serif" w:hAnsi="Arial;Helvetica;sans-serif"/>
          <w:b w:val="false"/>
          <w:i w:val="false"/>
          <w:caps w:val="false"/>
          <w:smallCaps w:val="false"/>
          <w:color w:val="3F3F3F"/>
          <w:spacing w:val="-2"/>
          <w:sz w:val="20"/>
        </w:rPr>
        <w:t>(Name of Person(s) Filing Proxy Statement, if other than the Registrant)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4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965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01000" cy="102965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291" w:type="dxa"/>
        <w:jc w:val="left"/>
        <w:tblInd w:w="1020" w:type="dxa"/>
        <w:tblLayout w:type="fixed"/>
        <w:tblCellMar>
          <w:top w:w="0" w:type="dxa"/>
          <w:left w:w="0" w:type="dxa"/>
          <w:bottom w:w="0" w:type="dxa"/>
          <w:right w:w="0" w:type="dxa"/>
        </w:tblCellMar>
      </w:tblPr>
      <w:tblGrid>
        <w:gridCol w:w="124"/>
        <w:gridCol w:w="4331"/>
        <w:gridCol w:w="109"/>
        <w:gridCol w:w="109"/>
        <w:gridCol w:w="3464"/>
        <w:gridCol w:w="154"/>
      </w:tblGrid>
      <w:tr>
        <w:trPr/>
        <w:tc>
          <w:tcPr>
            <w:tcW w:w="124" w:type="dxa"/>
            <w:tcBorders/>
            <w:vAlign w:val="center"/>
          </w:tcPr>
          <w:p>
            <w:pPr>
              <w:pStyle w:val="TableContents"/>
              <w:bidi w:val="0"/>
              <w:spacing w:before="0" w:after="283"/>
              <w:jc w:val="left"/>
              <w:rPr/>
            </w:pPr>
            <w:r>
              <w:rPr/>
              <w:t>​</w:t>
            </w:r>
          </w:p>
        </w:tc>
        <w:tc>
          <w:tcPr>
            <w:tcW w:w="4331" w:type="dxa"/>
            <w:tcBorders/>
            <w:vAlign w:val="center"/>
          </w:tcPr>
          <w:p>
            <w:pPr>
              <w:pStyle w:val="TableContents"/>
              <w:bidi w:val="0"/>
              <w:spacing w:before="0" w:after="0"/>
              <w:jc w:val="left"/>
              <w:rPr/>
            </w:pPr>
            <w:r>
              <w:rPr/>
              <w:drawing>
                <wp:inline distT="0" distB="0" distL="0" distR="0">
                  <wp:extent cx="2657475" cy="4953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657475" cy="495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4" w:type="dxa"/>
            <w:tcBorders/>
            <w:vAlign w:val="center"/>
          </w:tcPr>
          <w:p>
            <w:pPr>
              <w:pStyle w:val="TableContents"/>
              <w:bidi w:val="0"/>
              <w:spacing w:lineRule="atLeast" w:line="177" w:before="0" w:after="0"/>
              <w:jc w:val="left"/>
              <w:rPr/>
            </w:pPr>
            <w:r>
              <w:rPr>
                <w:b/>
                <w:spacing w:val="0"/>
              </w:rPr>
              <w:t>Minerals Technologies Inc.</w:t>
            </w:r>
            <w:r>
              <w:rPr/>
              <w:t xml:space="preserve"> </w:t>
              <w:br/>
            </w:r>
            <w:r>
              <w:rPr>
                <w:spacing w:val="-1"/>
              </w:rPr>
              <w:t xml:space="preserve">622 Third Avenue </w:t>
              <w:br/>
              <w:t xml:space="preserve">38th Floor </w:t>
              <w:br/>
              <w:t xml:space="preserve">New York New York 10017-6707 </w:t>
              <w:br/>
              <w:t>www.mineralstech.com</w:t>
            </w:r>
            <w:r>
              <w:rPr/>
              <w:t xml:space="preserve"> </w:t>
            </w:r>
          </w:p>
        </w:tc>
        <w:tc>
          <w:tcPr>
            <w:tcW w:w="154" w:type="dxa"/>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4880"/>
        <w:gridCol w:w="109"/>
        <w:gridCol w:w="109"/>
        <w:gridCol w:w="3808"/>
        <w:gridCol w:w="155"/>
      </w:tblGrid>
      <w:tr>
        <w:trPr/>
        <w:tc>
          <w:tcPr>
            <w:tcW w:w="124"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0"/>
              <w:jc w:val="both"/>
              <w:rPr/>
            </w:pPr>
            <w:r>
              <w:rPr/>
              <w:drawing>
                <wp:inline distT="0" distB="0" distL="0" distR="0">
                  <wp:extent cx="3019425" cy="18669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3019425" cy="1866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8" w:type="dxa"/>
            <w:tcBorders/>
            <w:vAlign w:val="center"/>
          </w:tcPr>
          <w:p>
            <w:pPr>
              <w:pStyle w:val="TableContents"/>
              <w:bidi w:val="0"/>
              <w:spacing w:lineRule="atLeast" w:line="600" w:before="0" w:after="283"/>
              <w:jc w:val="left"/>
              <w:rPr/>
            </w:pPr>
            <w:r>
              <w:rPr>
                <w:caps/>
                <w:spacing w:val="-3"/>
              </w:rPr>
              <w:t>A MESSAGE FROM OUR CHAIRMAN &amp; CEO</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353"/>
        <w:ind w:left="1020" w:right="0" w:hanging="0"/>
        <w:jc w:val="left"/>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199">
                <wp:simplePos x="0" y="0"/>
                <wp:positionH relativeFrom="column">
                  <wp:align>left</wp:align>
                </wp:positionH>
                <wp:positionV relativeFrom="line">
                  <wp:posOffset>635</wp:posOffset>
                </wp:positionV>
                <wp:extent cx="2984500" cy="8157845"/>
                <wp:effectExtent l="0" t="0" r="0" b="0"/>
                <wp:wrapSquare wrapText="right"/>
                <wp:docPr id="13" name="Frame10"/>
                <a:graphic xmlns:a="http://schemas.openxmlformats.org/drawingml/2006/main">
                  <a:graphicData uri="http://schemas.microsoft.com/office/word/2010/wordprocessingShape">
                    <wps:wsp>
                      <wps:cNvSpPr txBox="1"/>
                      <wps:spPr>
                        <a:xfrm>
                          <a:off x="0" y="0"/>
                          <a:ext cx="2984500" cy="8157845"/>
                        </a:xfrm>
                        <a:prstGeom prst="rect"/>
                        <a:solidFill>
                          <a:srgbClr val="FFFFFF"/>
                        </a:solidFill>
                      </wps:spPr>
                      <wps:txbx>
                        <w:txbxContent>
                          <w:p>
                            <w:pPr>
                              <w:pStyle w:val="TextBody"/>
                              <w:bidi w:val="0"/>
                              <w:spacing w:lineRule="atLeast" w:line="200" w:before="0" w:after="0"/>
                              <w:jc w:val="left"/>
                              <w:rPr/>
                            </w:pPr>
                            <w:r>
                              <w:rPr>
                                <w:spacing w:val="-1"/>
                              </w:rPr>
                              <w:t xml:space="preserve">Finally, you will be asked to approve, on an advisory basis, the 2025 compensation of our named executive officers as described in this Proxy Statement. Your Board of Directors unanimously recommends that you vote </w:t>
                            </w:r>
                            <w:r>
                              <w:rPr>
                                <w:b/>
                                <w:spacing w:val="-2"/>
                              </w:rPr>
                              <w:t>FOR</w:t>
                            </w:r>
                            <w:r>
                              <w:rPr>
                                <w:spacing w:val="-1"/>
                              </w:rPr>
                              <w:t xml:space="preserve"> the advisory vote approving 2025 executive compensation.</w:t>
                            </w:r>
                            <w:r>
                              <w:rPr>
                                <w:spacing w:val="4"/>
                              </w:rPr>
                              <w:t xml:space="preserve"> </w:t>
                            </w:r>
                          </w:p>
                          <w:p>
                            <w:pPr>
                              <w:pStyle w:val="TextBody"/>
                              <w:bidi w:val="0"/>
                              <w:spacing w:lineRule="atLeast" w:line="200" w:before="132" w:after="283"/>
                              <w:jc w:val="left"/>
                              <w:rPr/>
                            </w:pPr>
                            <w:r>
                              <w:rPr>
                                <w:spacing w:val="-1"/>
                              </w:rPr>
                              <w:t>The three items upon which you will be asked to vote are discussed more fully in the Proxy Statement. We urge you to read the Proxy Statement completely and carefully so that you can vote your interests on an informed basis.</w:t>
                            </w:r>
                            <w:r>
                              <w:rPr>
                                <w:spacing w:val="4"/>
                              </w:rPr>
                              <w:t xml:space="preserve"> </w:t>
                            </w:r>
                          </w:p>
                          <w:p>
                            <w:pPr>
                              <w:pStyle w:val="TextBody"/>
                              <w:bidi w:val="0"/>
                              <w:spacing w:lineRule="atLeast" w:line="200" w:before="132" w:after="283"/>
                              <w:jc w:val="left"/>
                              <w:rPr/>
                            </w:pPr>
                            <w:r>
                              <w:rPr>
                                <w:spacing w:val="-1"/>
                              </w:rPr>
                              <w:t>Your vote is important. Whether or not you plan to attend the meeting, we encourage you to read this Proxy Statement and submit your vote as soon as possible. For specific instructions on how to vote your shares, please refer to the Notice you received in the mail, the section entitled “</w:t>
                            </w:r>
                            <w:r>
                              <w:rPr>
                                <w:i/>
                              </w:rPr>
                              <w:t>Questions and Answers about the Proxy Materials and the Annual Meeting</w:t>
                            </w:r>
                            <w:r>
                              <w:rPr>
                                <w:spacing w:val="-1"/>
                              </w:rPr>
                              <w:t>” of this Proxy Statement, or if you requested to receive printed proxy materials, your enclosed Proxy. If you return a signed proxy without marking it, it will be voted in accordance with the Board of Directors’ recommendations. You may also attend the meeting and vote via the online platform, even if you have previously submitted a proxy.</w:t>
                            </w:r>
                            <w:r>
                              <w:rPr>
                                <w:spacing w:val="4"/>
                              </w:rPr>
                              <w:t xml:space="preserve"> </w:t>
                            </w:r>
                          </w:p>
                          <w:p>
                            <w:pPr>
                              <w:pStyle w:val="TextBody"/>
                              <w:bidi w:val="0"/>
                              <w:spacing w:lineRule="atLeast" w:line="210" w:before="355" w:after="283"/>
                              <w:jc w:val="left"/>
                              <w:rPr/>
                            </w:pPr>
                            <w:r>
                              <w:rPr>
                                <w:spacing w:val="-1"/>
                              </w:rPr>
                              <w:t>Sincerely,</w:t>
                            </w:r>
                            <w:r>
                              <w:rPr>
                                <w:spacing w:val="4"/>
                              </w:rPr>
                              <w:t xml:space="preserve"> </w:t>
                            </w:r>
                          </w:p>
                          <w:p>
                            <w:pPr>
                              <w:pStyle w:val="TextBody"/>
                              <w:bidi w:val="0"/>
                              <w:spacing w:before="132" w:after="283"/>
                              <w:jc w:val="left"/>
                              <w:rPr/>
                            </w:pPr>
                            <w:r>
                              <w:rPr/>
                              <w:drawing>
                                <wp:inline distT="0" distB="0" distL="0" distR="0">
                                  <wp:extent cx="1685925" cy="7334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685925" cy="733425"/>
                                          </a:xfrm>
                                          <a:prstGeom prst="rect">
                                            <a:avLst/>
                                          </a:prstGeom>
                                        </pic:spPr>
                                      </pic:pic>
                                    </a:graphicData>
                                  </a:graphic>
                                </wp:inline>
                              </w:drawing>
                            </w:r>
                            <w:r>
                              <w:rPr/>
                              <w:t xml:space="preserve"> </w:t>
                            </w:r>
                          </w:p>
                          <w:p>
                            <w:pPr>
                              <w:pStyle w:val="TextBody"/>
                              <w:bidi w:val="0"/>
                              <w:spacing w:lineRule="atLeast" w:line="200" w:before="182" w:after="283"/>
                              <w:jc w:val="left"/>
                              <w:rPr/>
                            </w:pPr>
                            <w:r>
                              <w:rPr>
                                <w:b/>
                                <w:color w:val="002F56"/>
                                <w:spacing w:val="-2"/>
                              </w:rPr>
                              <w:t>DOUGLAS T. DIETRICH</w:t>
                            </w:r>
                            <w:r>
                              <w:rPr>
                                <w:spacing w:val="-1"/>
                              </w:rPr>
                              <w:t xml:space="preserve"> </w:t>
                            </w:r>
                            <w:r>
                              <w:rPr/>
                              <w:br/>
                            </w:r>
                            <w:r>
                              <w:rPr>
                                <w:i/>
                              </w:rPr>
                              <w:t>Chairman of the Board and Chief Executive Officer</w:t>
                            </w:r>
                            <w:r>
                              <w:rPr>
                                <w:spacing w:val="4"/>
                              </w:rPr>
                              <w:t xml:space="preserve"> </w:t>
                            </w:r>
                          </w:p>
                          <w:p>
                            <w:pPr>
                              <w:pStyle w:val="TextBody"/>
                              <w:bidi w:val="0"/>
                              <w:spacing w:lineRule="atLeast" w:line="210" w:before="184" w:after="283"/>
                              <w:jc w:val="left"/>
                              <w:rPr/>
                            </w:pPr>
                            <w:r>
                              <w:rPr>
                                <w:spacing w:val="-1"/>
                              </w:rPr>
                              <w:t>April 2, 2026</w:t>
                            </w:r>
                            <w:r>
                              <w:rPr/>
                              <w:t xml:space="preserve"> </w:t>
                            </w:r>
                          </w:p>
                        </w:txbxContent>
                      </wps:txbx>
                      <wps:bodyPr anchor="t" lIns="0" tIns="0" rIns="0" bIns="0">
                        <a:noAutofit/>
                      </wps:bodyPr>
                    </wps:wsp>
                  </a:graphicData>
                </a:graphic>
              </wp:anchor>
            </w:drawing>
          </mc:Choice>
          <mc:Fallback>
            <w:pict>
              <v:rect style="position:absolute;rotation:-0;width:235pt;height:642.3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00" w:before="0" w:after="0"/>
                        <w:jc w:val="left"/>
                        <w:rPr/>
                      </w:pPr>
                      <w:r>
                        <w:rPr>
                          <w:spacing w:val="-1"/>
                        </w:rPr>
                        <w:t xml:space="preserve">Finally, you will be asked to approve, on an advisory basis, the 2025 compensation of our named executive officers as described in this Proxy Statement. Your Board of Directors unanimously recommends that you vote </w:t>
                      </w:r>
                      <w:r>
                        <w:rPr>
                          <w:b/>
                          <w:spacing w:val="-2"/>
                        </w:rPr>
                        <w:t>FOR</w:t>
                      </w:r>
                      <w:r>
                        <w:rPr>
                          <w:spacing w:val="-1"/>
                        </w:rPr>
                        <w:t xml:space="preserve"> the advisory vote approving 2025 executive compensation.</w:t>
                      </w:r>
                      <w:r>
                        <w:rPr>
                          <w:spacing w:val="4"/>
                        </w:rPr>
                        <w:t xml:space="preserve"> </w:t>
                      </w:r>
                    </w:p>
                    <w:p>
                      <w:pPr>
                        <w:pStyle w:val="TextBody"/>
                        <w:bidi w:val="0"/>
                        <w:spacing w:lineRule="atLeast" w:line="200" w:before="132" w:after="283"/>
                        <w:jc w:val="left"/>
                        <w:rPr/>
                      </w:pPr>
                      <w:r>
                        <w:rPr>
                          <w:spacing w:val="-1"/>
                        </w:rPr>
                        <w:t>The three items upon which you will be asked to vote are discussed more fully in the Proxy Statement. We urge you to read the Proxy Statement completely and carefully so that you can vote your interests on an informed basis.</w:t>
                      </w:r>
                      <w:r>
                        <w:rPr>
                          <w:spacing w:val="4"/>
                        </w:rPr>
                        <w:t xml:space="preserve"> </w:t>
                      </w:r>
                    </w:p>
                    <w:p>
                      <w:pPr>
                        <w:pStyle w:val="TextBody"/>
                        <w:bidi w:val="0"/>
                        <w:spacing w:lineRule="atLeast" w:line="200" w:before="132" w:after="283"/>
                        <w:jc w:val="left"/>
                        <w:rPr/>
                      </w:pPr>
                      <w:r>
                        <w:rPr>
                          <w:spacing w:val="-1"/>
                        </w:rPr>
                        <w:t>Your vote is important. Whether or not you plan to attend the meeting, we encourage you to read this Proxy Statement and submit your vote as soon as possible. For specific instructions on how to vote your shares, please refer to the Notice you received in the mail, the section entitled “</w:t>
                      </w:r>
                      <w:r>
                        <w:rPr>
                          <w:i/>
                        </w:rPr>
                        <w:t>Questions and Answers about the Proxy Materials and the Annual Meeting</w:t>
                      </w:r>
                      <w:r>
                        <w:rPr>
                          <w:spacing w:val="-1"/>
                        </w:rPr>
                        <w:t>” of this Proxy Statement, or if you requested to receive printed proxy materials, your enclosed Proxy. If you return a signed proxy without marking it, it will be voted in accordance with the Board of Directors’ recommendations. You may also attend the meeting and vote via the online platform, even if you have previously submitted a proxy.</w:t>
                      </w:r>
                      <w:r>
                        <w:rPr>
                          <w:spacing w:val="4"/>
                        </w:rPr>
                        <w:t xml:space="preserve"> </w:t>
                      </w:r>
                    </w:p>
                    <w:p>
                      <w:pPr>
                        <w:pStyle w:val="TextBody"/>
                        <w:bidi w:val="0"/>
                        <w:spacing w:lineRule="atLeast" w:line="210" w:before="355" w:after="283"/>
                        <w:jc w:val="left"/>
                        <w:rPr/>
                      </w:pPr>
                      <w:r>
                        <w:rPr>
                          <w:spacing w:val="-1"/>
                        </w:rPr>
                        <w:t>Sincerely,</w:t>
                      </w:r>
                      <w:r>
                        <w:rPr>
                          <w:spacing w:val="4"/>
                        </w:rPr>
                        <w:t xml:space="preserve"> </w:t>
                      </w:r>
                    </w:p>
                    <w:p>
                      <w:pPr>
                        <w:pStyle w:val="TextBody"/>
                        <w:bidi w:val="0"/>
                        <w:spacing w:before="132" w:after="283"/>
                        <w:jc w:val="left"/>
                        <w:rPr/>
                      </w:pPr>
                      <w:r>
                        <w:rPr/>
                        <w:drawing>
                          <wp:inline distT="0" distB="0" distL="0" distR="0">
                            <wp:extent cx="1685925" cy="73342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7"/>
                                    <a:stretch>
                                      <a:fillRect/>
                                    </a:stretch>
                                  </pic:blipFill>
                                  <pic:spPr bwMode="auto">
                                    <a:xfrm>
                                      <a:off x="0" y="0"/>
                                      <a:ext cx="1685925" cy="733425"/>
                                    </a:xfrm>
                                    <a:prstGeom prst="rect">
                                      <a:avLst/>
                                    </a:prstGeom>
                                  </pic:spPr>
                                </pic:pic>
                              </a:graphicData>
                            </a:graphic>
                          </wp:inline>
                        </w:drawing>
                      </w:r>
                      <w:r>
                        <w:rPr/>
                        <w:t xml:space="preserve"> </w:t>
                      </w:r>
                    </w:p>
                    <w:p>
                      <w:pPr>
                        <w:pStyle w:val="TextBody"/>
                        <w:bidi w:val="0"/>
                        <w:spacing w:lineRule="atLeast" w:line="200" w:before="182" w:after="283"/>
                        <w:jc w:val="left"/>
                        <w:rPr/>
                      </w:pPr>
                      <w:r>
                        <w:rPr>
                          <w:b/>
                          <w:color w:val="002F56"/>
                          <w:spacing w:val="-2"/>
                        </w:rPr>
                        <w:t>DOUGLAS T. DIETRICH</w:t>
                      </w:r>
                      <w:r>
                        <w:rPr>
                          <w:spacing w:val="-1"/>
                        </w:rPr>
                        <w:t xml:space="preserve"> </w:t>
                      </w:r>
                      <w:r>
                        <w:rPr/>
                        <w:br/>
                      </w:r>
                      <w:r>
                        <w:rPr>
                          <w:i/>
                        </w:rPr>
                        <w:t>Chairman of the Board and Chief Executive Officer</w:t>
                      </w:r>
                      <w:r>
                        <w:rPr>
                          <w:spacing w:val="4"/>
                        </w:rPr>
                        <w:t xml:space="preserve"> </w:t>
                      </w:r>
                    </w:p>
                    <w:p>
                      <w:pPr>
                        <w:pStyle w:val="TextBody"/>
                        <w:bidi w:val="0"/>
                        <w:spacing w:lineRule="atLeast" w:line="210" w:before="184" w:after="283"/>
                        <w:jc w:val="left"/>
                        <w:rPr/>
                      </w:pPr>
                      <w:r>
                        <w:rPr>
                          <w:spacing w:val="-1"/>
                        </w:rPr>
                        <w:t>April 2, 2026</w:t>
                      </w:r>
                      <w:r>
                        <w:rPr/>
                        <w:t xml:space="preserve"> </w:t>
                      </w:r>
                    </w:p>
                  </w:txbxContent>
                </v:textbox>
                <w10:wrap type="square" side="right"/>
              </v:rect>
            </w:pict>
          </mc:Fallback>
        </mc:AlternateContent>
      </w:r>
      <w:r>
        <mc:AlternateContent>
          <mc:Choice Requires="wps">
            <w:drawing>
              <wp:anchor behindDoc="0" distT="0" distB="0" distL="647700" distR="0" simplePos="0" locked="0" layoutInCell="1" allowOverlap="1" relativeHeight="319">
                <wp:simplePos x="0" y="0"/>
                <wp:positionH relativeFrom="column">
                  <wp:align>left</wp:align>
                </wp:positionH>
                <wp:positionV relativeFrom="line">
                  <wp:posOffset>635</wp:posOffset>
                </wp:positionV>
                <wp:extent cx="2984500" cy="6490335"/>
                <wp:effectExtent l="0" t="0" r="0" b="0"/>
                <wp:wrapSquare wrapText="right"/>
                <wp:docPr id="16" name="Frame9"/>
                <a:graphic xmlns:a="http://schemas.openxmlformats.org/drawingml/2006/main">
                  <a:graphicData uri="http://schemas.microsoft.com/office/word/2010/wordprocessingShape">
                    <wps:wsp>
                      <wps:cNvSpPr txBox="1"/>
                      <wps:spPr>
                        <a:xfrm>
                          <a:off x="0" y="0"/>
                          <a:ext cx="2984500" cy="6490335"/>
                        </a:xfrm>
                        <a:prstGeom prst="rect"/>
                        <a:solidFill>
                          <a:srgbClr val="FFFFFF"/>
                        </a:solidFill>
                      </wps:spPr>
                      <wps:txbx>
                        <w:txbxContent>
                          <w:p>
                            <w:pPr>
                              <w:pStyle w:val="TextBody"/>
                              <w:bidi w:val="0"/>
                              <w:spacing w:lineRule="atLeast" w:line="390" w:before="0" w:after="0"/>
                              <w:jc w:val="left"/>
                              <w:rPr>
                                <w:sz w:val="34"/>
                              </w:rPr>
                            </w:pPr>
                            <w:r>
                              <w:rPr>
                                <w:spacing w:val="-3"/>
                                <w:sz w:val="34"/>
                              </w:rPr>
                              <w:t>DEAR FELLOW SHAREHOLDER:</w:t>
                            </w:r>
                            <w:r>
                              <w:rPr>
                                <w:spacing w:val="7"/>
                                <w:sz w:val="34"/>
                              </w:rPr>
                              <w:t xml:space="preserve"> </w:t>
                            </w:r>
                          </w:p>
                          <w:p>
                            <w:pPr>
                              <w:pStyle w:val="TextBody"/>
                              <w:bidi w:val="0"/>
                              <w:spacing w:before="0" w:after="283"/>
                              <w:ind w:left="0" w:right="0" w:hanging="0"/>
                              <w:jc w:val="left"/>
                              <w:rPr>
                                <w:bdr w:val="single" w:sz="18" w:space="1" w:color="DF0000"/>
                              </w:rPr>
                            </w:pPr>
                            <w:r>
                              <w:rPr>
                                <w:bdr w:val="single" w:sz="18" w:space="1" w:color="DF0000"/>
                              </w:rPr>
                              <w:t>​</w:t>
                            </w:r>
                          </w:p>
                          <w:p>
                            <w:pPr>
                              <w:pStyle w:val="TextBody"/>
                              <w:bidi w:val="0"/>
                              <w:spacing w:lineRule="atLeast" w:line="220" w:before="300" w:after="283"/>
                              <w:jc w:val="left"/>
                              <w:rPr/>
                            </w:pPr>
                            <w:r>
                              <w:rPr>
                                <w:spacing w:val="-1"/>
                              </w:rPr>
                              <w:t>You are cordially invited to attend the 2026 Annual Meeting of Shareholders of Minerals Technologies Inc. (the “Company,” “MTI,” “we,” or “us”), which will be held on Wednesday, May 20, 2026, at 9:00 a.m., Eastern Time. Once again this year, the Annual Meeting will be held in a virtual meeting format via live webcast.</w:t>
                            </w:r>
                            <w:r>
                              <w:rPr>
                                <w:spacing w:val="4"/>
                              </w:rPr>
                              <w:t xml:space="preserve"> </w:t>
                            </w:r>
                          </w:p>
                          <w:p>
                            <w:pPr>
                              <w:pStyle w:val="TextBody"/>
                              <w:bidi w:val="0"/>
                              <w:spacing w:lineRule="atLeast" w:line="220" w:before="160" w:after="283"/>
                              <w:jc w:val="left"/>
                              <w:rPr/>
                            </w:pPr>
                            <w:r>
                              <w:rPr>
                                <w:spacing w:val="-1"/>
                              </w:rPr>
                              <w:t xml:space="preserve">You can attend the meeting online at </w:t>
                            </w:r>
                            <w:r>
                              <w:rPr>
                                <w:color w:val="002F56"/>
                                <w:spacing w:val="-1"/>
                              </w:rPr>
                              <w:t>www.virtualshareholdermeeting.com/MTX2026</w:t>
                            </w:r>
                            <w:r>
                              <w:rPr>
                                <w:spacing w:val="-1"/>
                              </w:rPr>
                              <w:t>. Specific instructions for accessing the meeting are provided in the section of this Proxy Statement entitled “</w:t>
                            </w:r>
                            <w:r>
                              <w:rPr>
                                <w:i/>
                              </w:rPr>
                              <w:t>Questions and Answers about the Proxy Materials and the Annual Meeting</w:t>
                            </w:r>
                            <w:r>
                              <w:rPr>
                                <w:spacing w:val="-1"/>
                              </w:rPr>
                              <w:t xml:space="preserve">.” </w:t>
                            </w:r>
                          </w:p>
                          <w:p>
                            <w:pPr>
                              <w:pStyle w:val="TextBody"/>
                              <w:bidi w:val="0"/>
                              <w:spacing w:lineRule="atLeast" w:line="220" w:before="160" w:after="283"/>
                              <w:jc w:val="left"/>
                              <w:rPr/>
                            </w:pPr>
                            <w:r>
                              <w:rPr>
                                <w:spacing w:val="-1"/>
                              </w:rPr>
                              <w:t xml:space="preserve">At this year’s meeting, you will be asked to consider and to vote upon the election of two directors. Your Board of Directors unanimously recommends that you vote </w:t>
                            </w:r>
                            <w:r>
                              <w:rPr>
                                <w:b/>
                                <w:color w:val="002F56"/>
                                <w:spacing w:val="-2"/>
                              </w:rPr>
                              <w:t>FOR</w:t>
                            </w:r>
                            <w:r>
                              <w:rPr>
                                <w:spacing w:val="-1"/>
                              </w:rPr>
                              <w:t xml:space="preserve"> the nominees.</w:t>
                            </w:r>
                            <w:r>
                              <w:rPr>
                                <w:spacing w:val="4"/>
                              </w:rPr>
                              <w:t xml:space="preserve"> </w:t>
                            </w:r>
                          </w:p>
                          <w:p>
                            <w:pPr>
                              <w:pStyle w:val="TextBody"/>
                              <w:bidi w:val="0"/>
                              <w:spacing w:lineRule="atLeast" w:line="220" w:before="160" w:after="283"/>
                              <w:jc w:val="left"/>
                              <w:rPr/>
                            </w:pPr>
                            <w:r>
                              <w:rPr>
                                <w:spacing w:val="-1"/>
                              </w:rPr>
                              <w:t xml:space="preserve">You will also be asked to ratify the appointment of KPMG LLP as our independent registered public accounting firm for the 2026 fiscal year. The Board continues to be satisfied with the services KPMG LLP has rendered to the Company and unanimously recommends that you vote </w:t>
                            </w:r>
                            <w:r>
                              <w:rPr>
                                <w:b/>
                                <w:color w:val="002F56"/>
                                <w:spacing w:val="-2"/>
                              </w:rPr>
                              <w:t>FOR</w:t>
                            </w:r>
                            <w:r>
                              <w:rPr>
                                <w:spacing w:val="-1"/>
                              </w:rPr>
                              <w:t xml:space="preserve"> this proposal. </w:t>
                            </w:r>
                          </w:p>
                        </w:txbxContent>
                      </wps:txbx>
                      <wps:bodyPr anchor="t" lIns="0" tIns="0" rIns="0" bIns="0">
                        <a:noAutofit/>
                      </wps:bodyPr>
                    </wps:wsp>
                  </a:graphicData>
                </a:graphic>
              </wp:anchor>
            </w:drawing>
          </mc:Choice>
          <mc:Fallback>
            <w:pict>
              <v:rect style="position:absolute;rotation:-0;width:235pt;height:511.05pt;mso-wrap-distance-left:51pt;mso-wrap-distance-right:0pt;mso-wrap-distance-top:0pt;mso-wrap-distance-bottom:0pt;margin-top:0pt;mso-position-vertical:top;mso-position-vertical-relative:text;margin-left:51pt;mso-position-horizontal:left;mso-position-horizontal-relative:text">
                <v:textbox>
                  <w:txbxContent>
                    <w:p>
                      <w:pPr>
                        <w:pStyle w:val="TextBody"/>
                        <w:bidi w:val="0"/>
                        <w:spacing w:lineRule="atLeast" w:line="390" w:before="0" w:after="0"/>
                        <w:jc w:val="left"/>
                        <w:rPr>
                          <w:sz w:val="34"/>
                        </w:rPr>
                      </w:pPr>
                      <w:r>
                        <w:rPr>
                          <w:spacing w:val="-3"/>
                          <w:sz w:val="34"/>
                        </w:rPr>
                        <w:t>DEAR FELLOW SHAREHOLDER:</w:t>
                      </w:r>
                      <w:r>
                        <w:rPr>
                          <w:spacing w:val="7"/>
                          <w:sz w:val="34"/>
                        </w:rPr>
                        <w:t xml:space="preserve"> </w:t>
                      </w:r>
                    </w:p>
                    <w:p>
                      <w:pPr>
                        <w:pStyle w:val="TextBody"/>
                        <w:bidi w:val="0"/>
                        <w:spacing w:before="0" w:after="283"/>
                        <w:ind w:left="0" w:right="0" w:hanging="0"/>
                        <w:jc w:val="left"/>
                        <w:rPr>
                          <w:bdr w:val="single" w:sz="18" w:space="1" w:color="DF0000"/>
                        </w:rPr>
                      </w:pPr>
                      <w:r>
                        <w:rPr>
                          <w:bdr w:val="single" w:sz="18" w:space="1" w:color="DF0000"/>
                        </w:rPr>
                        <w:t>​</w:t>
                      </w:r>
                    </w:p>
                    <w:p>
                      <w:pPr>
                        <w:pStyle w:val="TextBody"/>
                        <w:bidi w:val="0"/>
                        <w:spacing w:lineRule="atLeast" w:line="220" w:before="300" w:after="283"/>
                        <w:jc w:val="left"/>
                        <w:rPr/>
                      </w:pPr>
                      <w:r>
                        <w:rPr>
                          <w:spacing w:val="-1"/>
                        </w:rPr>
                        <w:t>You are cordially invited to attend the 2026 Annual Meeting of Shareholders of Minerals Technologies Inc. (the “Company,” “MTI,” “we,” or “us”), which will be held on Wednesday, May 20, 2026, at 9:00 a.m., Eastern Time. Once again this year, the Annual Meeting will be held in a virtual meeting format via live webcast.</w:t>
                      </w:r>
                      <w:r>
                        <w:rPr>
                          <w:spacing w:val="4"/>
                        </w:rPr>
                        <w:t xml:space="preserve"> </w:t>
                      </w:r>
                    </w:p>
                    <w:p>
                      <w:pPr>
                        <w:pStyle w:val="TextBody"/>
                        <w:bidi w:val="0"/>
                        <w:spacing w:lineRule="atLeast" w:line="220" w:before="160" w:after="283"/>
                        <w:jc w:val="left"/>
                        <w:rPr/>
                      </w:pPr>
                      <w:r>
                        <w:rPr>
                          <w:spacing w:val="-1"/>
                        </w:rPr>
                        <w:t xml:space="preserve">You can attend the meeting online at </w:t>
                      </w:r>
                      <w:r>
                        <w:rPr>
                          <w:color w:val="002F56"/>
                          <w:spacing w:val="-1"/>
                        </w:rPr>
                        <w:t>www.virtualshareholdermeeting.com/MTX2026</w:t>
                      </w:r>
                      <w:r>
                        <w:rPr>
                          <w:spacing w:val="-1"/>
                        </w:rPr>
                        <w:t>. Specific instructions for accessing the meeting are provided in the section of this Proxy Statement entitled “</w:t>
                      </w:r>
                      <w:r>
                        <w:rPr>
                          <w:i/>
                        </w:rPr>
                        <w:t>Questions and Answers about the Proxy Materials and the Annual Meeting</w:t>
                      </w:r>
                      <w:r>
                        <w:rPr>
                          <w:spacing w:val="-1"/>
                        </w:rPr>
                        <w:t xml:space="preserve">.” </w:t>
                      </w:r>
                    </w:p>
                    <w:p>
                      <w:pPr>
                        <w:pStyle w:val="TextBody"/>
                        <w:bidi w:val="0"/>
                        <w:spacing w:lineRule="atLeast" w:line="220" w:before="160" w:after="283"/>
                        <w:jc w:val="left"/>
                        <w:rPr/>
                      </w:pPr>
                      <w:r>
                        <w:rPr>
                          <w:spacing w:val="-1"/>
                        </w:rPr>
                        <w:t xml:space="preserve">At this year’s meeting, you will be asked to consider and to vote upon the election of two directors. Your Board of Directors unanimously recommends that you vote </w:t>
                      </w:r>
                      <w:r>
                        <w:rPr>
                          <w:b/>
                          <w:color w:val="002F56"/>
                          <w:spacing w:val="-2"/>
                        </w:rPr>
                        <w:t>FOR</w:t>
                      </w:r>
                      <w:r>
                        <w:rPr>
                          <w:spacing w:val="-1"/>
                        </w:rPr>
                        <w:t xml:space="preserve"> the nominees.</w:t>
                      </w:r>
                      <w:r>
                        <w:rPr>
                          <w:spacing w:val="4"/>
                        </w:rPr>
                        <w:t xml:space="preserve"> </w:t>
                      </w:r>
                    </w:p>
                    <w:p>
                      <w:pPr>
                        <w:pStyle w:val="TextBody"/>
                        <w:bidi w:val="0"/>
                        <w:spacing w:lineRule="atLeast" w:line="220" w:before="160" w:after="283"/>
                        <w:jc w:val="left"/>
                        <w:rPr/>
                      </w:pPr>
                      <w:r>
                        <w:rPr>
                          <w:spacing w:val="-1"/>
                        </w:rPr>
                        <w:t xml:space="preserve">You will also be asked to ratify the appointment of KPMG LLP as our independent registered public accounting firm for the 2026 fiscal year. The Board continues to be satisfied with the services KPMG LLP has rendered to the Company and unanimously recommends that you vote </w:t>
                      </w:r>
                      <w:r>
                        <w:rPr>
                          <w:b/>
                          <w:color w:val="002F56"/>
                          <w:spacing w:val="-2"/>
                        </w:rPr>
                        <w:t>FOR</w:t>
                      </w:r>
                      <w:r>
                        <w:rPr>
                          <w:spacing w:val="-1"/>
                        </w:rPr>
                        <w:t xml:space="preserve"> this proposal.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20" w:after="283"/>
        <w:ind w:left="1020" w:right="0" w:hanging="0"/>
        <w:jc w:val="left"/>
        <w:rPr>
          <w:caps w:val="false"/>
          <w:smallCaps w:val="false"/>
          <w:color w:val="000000"/>
        </w:rPr>
      </w:pPr>
      <w:r>
        <w:rPr>
          <w:caps w:val="false"/>
          <w:smallCaps w:val="false"/>
          <w:color w:val="000000"/>
        </w:rPr>
        <w:drawing>
          <wp:inline distT="0" distB="0" distL="0" distR="0">
            <wp:extent cx="2657475" cy="4953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8"/>
                    <a:stretch>
                      <a:fillRect/>
                    </a:stretch>
                  </pic:blipFill>
                  <pic:spPr bwMode="auto">
                    <a:xfrm>
                      <a:off x="0" y="0"/>
                      <a:ext cx="2657475" cy="495300"/>
                    </a:xfrm>
                    <a:prstGeom prst="rect">
                      <a:avLst/>
                    </a:prstGeom>
                  </pic:spPr>
                </pic:pic>
              </a:graphicData>
            </a:graphic>
          </wp:inline>
        </w:drawing>
      </w:r>
      <w:r>
        <w:rPr>
          <w:caps w:val="false"/>
          <w:smallCaps w:val="false"/>
          <w:color w:val="000000"/>
        </w:rPr>
        <w:t xml:space="preserve"> </w:t>
      </w:r>
    </w:p>
    <w:p>
      <w:pPr>
        <w:pStyle w:val="TextBody"/>
        <w:bidi w:val="0"/>
        <w:spacing w:lineRule="atLeast" w:line="600" w:before="1050" w:after="283"/>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 xml:space="preserve">NOTICE OF THE ANNUAL MEETING </w:t>
        <w:br/>
        <w:t>OF SHAREHOLDERS </w:t>
      </w:r>
      <w:r>
        <w:rPr>
          <w:rFonts w:ascii="Arial;Helvetica;sans-serif" w:hAnsi="Arial;Helvetica;sans-serif"/>
          <w:b w:val="false"/>
          <w:i w:val="false"/>
          <w:caps/>
          <w:color w:val="E73E3E"/>
          <w:spacing w:val="-3"/>
          <w:sz w:val="52"/>
        </w:rPr>
        <w:t>|</w:t>
      </w:r>
      <w:r>
        <w:rPr>
          <w:rFonts w:ascii="Arial;Helvetica;sans-serif" w:hAnsi="Arial;Helvetica;sans-serif"/>
          <w:b w:val="false"/>
          <w:i w:val="false"/>
          <w:caps/>
          <w:color w:val="3F3F3F"/>
          <w:spacing w:val="-3"/>
          <w:sz w:val="52"/>
        </w:rPr>
        <w:t> </w:t>
      </w:r>
      <w:r>
        <w:rPr>
          <w:rFonts w:ascii="Arial;Helvetica;sans-serif" w:hAnsi="Arial;Helvetica;sans-serif"/>
          <w:b w:val="false"/>
          <w:i w:val="false"/>
          <w:caps/>
          <w:color w:val="BFBFBF"/>
          <w:spacing w:val="-3"/>
          <w:sz w:val="52"/>
        </w:rPr>
        <w:t>MAY 20, 2026</w:t>
      </w:r>
      <w:r>
        <w:rPr>
          <w:rFonts w:ascii="Arial;Helvetica;sans-serif" w:hAnsi="Arial;Helvetica;sans-serif"/>
          <w:b w:val="false"/>
          <w:i w:val="false"/>
          <w:caps w:val="false"/>
          <w:smallCaps w:val="false"/>
          <w:color w:val="000000"/>
          <w:spacing w:val="10"/>
          <w:sz w:val="52"/>
        </w:rPr>
        <w:t xml:space="preserve"> </w:t>
      </w:r>
    </w:p>
    <w:tbl>
      <w:tblPr>
        <w:tblW w:w="9185" w:type="dxa"/>
        <w:jc w:val="left"/>
        <w:tblInd w:w="1020" w:type="dxa"/>
        <w:tblLayout w:type="fixed"/>
        <w:tblCellMar>
          <w:top w:w="0" w:type="dxa"/>
          <w:left w:w="0" w:type="dxa"/>
          <w:bottom w:w="0" w:type="dxa"/>
          <w:right w:w="0" w:type="dxa"/>
        </w:tblCellMar>
      </w:tblPr>
      <w:tblGrid>
        <w:gridCol w:w="124"/>
        <w:gridCol w:w="777"/>
        <w:gridCol w:w="109"/>
        <w:gridCol w:w="109"/>
        <w:gridCol w:w="990"/>
        <w:gridCol w:w="109"/>
        <w:gridCol w:w="109"/>
        <w:gridCol w:w="1545"/>
        <w:gridCol w:w="187"/>
        <w:gridCol w:w="187"/>
        <w:gridCol w:w="2291"/>
        <w:gridCol w:w="109"/>
        <w:gridCol w:w="109"/>
        <w:gridCol w:w="783"/>
        <w:gridCol w:w="118"/>
        <w:gridCol w:w="118"/>
        <w:gridCol w:w="1252"/>
        <w:gridCol w:w="159"/>
      </w:tblGrid>
      <w:tr>
        <w:trPr/>
        <w:tc>
          <w:tcPr>
            <w:tcW w:w="124" w:type="dxa"/>
            <w:tcBorders/>
            <w:shd w:fill="002F56" w:val="clear"/>
            <w:vAlign w:val="center"/>
          </w:tcPr>
          <w:p>
            <w:pPr>
              <w:pStyle w:val="TableContents"/>
              <w:bidi w:val="0"/>
              <w:spacing w:before="0" w:after="283"/>
              <w:jc w:val="left"/>
              <w:rPr/>
            </w:pPr>
            <w:r>
              <w:rPr/>
              <w:t>​</w:t>
            </w:r>
          </w:p>
        </w:tc>
        <w:tc>
          <w:tcPr>
            <w:tcW w:w="777"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38150" cy="4191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9"/>
                          <a:stretch>
                            <a:fillRect/>
                          </a:stretch>
                        </pic:blipFill>
                        <pic:spPr bwMode="auto">
                          <a:xfrm>
                            <a:off x="0" y="0"/>
                            <a:ext cx="438150" cy="419100"/>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990" w:type="dxa"/>
            <w:tcBorders/>
            <w:shd w:fill="002F56" w:val="clear"/>
            <w:tcMar>
              <w:top w:w="28" w:type="dxa"/>
              <w:left w:w="28" w:type="dxa"/>
              <w:bottom w:w="28" w:type="dxa"/>
              <w:right w:w="28" w:type="dxa"/>
            </w:tcMar>
            <w:vAlign w:val="center"/>
          </w:tcPr>
          <w:p>
            <w:pPr>
              <w:pStyle w:val="TableContents"/>
              <w:bidi w:val="0"/>
              <w:spacing w:lineRule="atLeast" w:line="240" w:before="0" w:after="0"/>
              <w:jc w:val="left"/>
              <w:rPr>
                <w:spacing w:val="-7"/>
              </w:rPr>
            </w:pPr>
            <w:r>
              <w:rPr>
                <w:spacing w:val="-7"/>
              </w:rPr>
              <w:t xml:space="preserve">TIME &amp; DATE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545"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514350" cy="3905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0"/>
                          <a:stretch>
                            <a:fillRect/>
                          </a:stretch>
                        </pic:blipFill>
                        <pic:spPr bwMode="auto">
                          <a:xfrm>
                            <a:off x="0" y="0"/>
                            <a:ext cx="514350" cy="390525"/>
                          </a:xfrm>
                          <a:prstGeom prst="rect">
                            <a:avLst/>
                          </a:prstGeom>
                        </pic:spPr>
                      </pic:pic>
                    </a:graphicData>
                  </a:graphic>
                </wp:inline>
              </w:drawing>
            </w:r>
            <w:r>
              <w:rPr/>
              <w:t xml:space="preserve"> </w:t>
            </w:r>
          </w:p>
        </w:tc>
        <w:tc>
          <w:tcPr>
            <w:tcW w:w="187" w:type="dxa"/>
            <w:tcBorders/>
            <w:shd w:fill="002F56" w:val="clear"/>
            <w:vAlign w:val="center"/>
          </w:tcPr>
          <w:p>
            <w:pPr>
              <w:pStyle w:val="TableContents"/>
              <w:bidi w:val="0"/>
              <w:spacing w:before="0" w:after="283"/>
              <w:jc w:val="left"/>
              <w:rPr/>
            </w:pPr>
            <w:r>
              <w:rPr/>
              <w:t>​</w:t>
            </w:r>
          </w:p>
        </w:tc>
        <w:tc>
          <w:tcPr>
            <w:tcW w:w="187" w:type="dxa"/>
            <w:tcBorders/>
            <w:shd w:fill="002F56" w:val="clear"/>
            <w:vAlign w:val="center"/>
          </w:tcPr>
          <w:p>
            <w:pPr>
              <w:pStyle w:val="TableContents"/>
              <w:bidi w:val="0"/>
              <w:spacing w:before="0" w:after="283"/>
              <w:jc w:val="left"/>
              <w:rPr/>
            </w:pPr>
            <w:r>
              <w:rPr/>
              <w:t>​</w:t>
            </w:r>
          </w:p>
        </w:tc>
        <w:tc>
          <w:tcPr>
            <w:tcW w:w="2291" w:type="dxa"/>
            <w:tcBorders/>
            <w:shd w:fill="002F56" w:val="clear"/>
            <w:tcMar>
              <w:top w:w="28" w:type="dxa"/>
              <w:left w:w="28" w:type="dxa"/>
              <w:bottom w:w="28" w:type="dxa"/>
              <w:right w:w="28" w:type="dxa"/>
            </w:tcMar>
            <w:vAlign w:val="center"/>
          </w:tcPr>
          <w:p>
            <w:pPr>
              <w:pStyle w:val="TableContents"/>
              <w:bidi w:val="0"/>
              <w:spacing w:lineRule="atLeast" w:line="240" w:before="0" w:after="0"/>
              <w:jc w:val="left"/>
              <w:rPr>
                <w:spacing w:val="-7"/>
              </w:rPr>
            </w:pPr>
            <w:r>
              <w:rPr>
                <w:spacing w:val="-7"/>
              </w:rPr>
              <w:t xml:space="preserve">VIRTUAL MEETING </w:t>
              <w:br/>
              <w:t xml:space="preserve">LOCATION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783"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00050" cy="4095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1"/>
                          <a:stretch>
                            <a:fillRect/>
                          </a:stretch>
                        </pic:blipFill>
                        <pic:spPr bwMode="auto">
                          <a:xfrm>
                            <a:off x="0" y="0"/>
                            <a:ext cx="400050" cy="409575"/>
                          </a:xfrm>
                          <a:prstGeom prst="rect">
                            <a:avLst/>
                          </a:prstGeom>
                        </pic:spPr>
                      </pic:pic>
                    </a:graphicData>
                  </a:graphic>
                </wp:inline>
              </w:drawing>
            </w:r>
            <w:r>
              <w:rPr/>
              <w:t xml:space="preserve"> </w:t>
            </w:r>
          </w:p>
        </w:tc>
        <w:tc>
          <w:tcPr>
            <w:tcW w:w="118" w:type="dxa"/>
            <w:tcBorders/>
            <w:shd w:fill="002F56" w:val="clear"/>
            <w:vAlign w:val="center"/>
          </w:tcPr>
          <w:p>
            <w:pPr>
              <w:pStyle w:val="TableContents"/>
              <w:bidi w:val="0"/>
              <w:spacing w:before="0" w:after="283"/>
              <w:jc w:val="left"/>
              <w:rPr/>
            </w:pPr>
            <w:r>
              <w:rPr/>
              <w:t>​</w:t>
            </w:r>
          </w:p>
        </w:tc>
        <w:tc>
          <w:tcPr>
            <w:tcW w:w="118" w:type="dxa"/>
            <w:tcBorders/>
            <w:shd w:fill="002F56" w:val="clear"/>
            <w:vAlign w:val="center"/>
          </w:tcPr>
          <w:p>
            <w:pPr>
              <w:pStyle w:val="TableContents"/>
              <w:bidi w:val="0"/>
              <w:spacing w:before="0" w:after="283"/>
              <w:jc w:val="left"/>
              <w:rPr/>
            </w:pPr>
            <w:r>
              <w:rPr/>
              <w:t>​</w:t>
            </w:r>
          </w:p>
        </w:tc>
        <w:tc>
          <w:tcPr>
            <w:tcW w:w="1252" w:type="dxa"/>
            <w:tcBorders/>
            <w:shd w:fill="002F56" w:val="clear"/>
            <w:tcMar>
              <w:top w:w="28" w:type="dxa"/>
              <w:left w:w="28" w:type="dxa"/>
              <w:bottom w:w="28" w:type="dxa"/>
              <w:right w:w="28" w:type="dxa"/>
            </w:tcMar>
            <w:vAlign w:val="center"/>
          </w:tcPr>
          <w:p>
            <w:pPr>
              <w:pStyle w:val="TableContents"/>
              <w:bidi w:val="0"/>
              <w:spacing w:lineRule="atLeast" w:line="240" w:before="0" w:after="0"/>
              <w:ind w:left="200" w:right="0" w:hanging="0"/>
              <w:jc w:val="left"/>
              <w:rPr>
                <w:spacing w:val="-7"/>
              </w:rPr>
            </w:pPr>
            <w:r>
              <w:rPr>
                <w:spacing w:val="-7"/>
              </w:rPr>
              <w:t xml:space="preserve">RECORD DATE </w:t>
            </w:r>
          </w:p>
        </w:tc>
        <w:tc>
          <w:tcPr>
            <w:tcW w:w="159" w:type="dxa"/>
            <w:tcBorders/>
            <w:shd w:fill="002F56" w:val="clear"/>
            <w:vAlign w:val="center"/>
          </w:tcPr>
          <w:p>
            <w:pPr>
              <w:pStyle w:val="TableContents"/>
              <w:bidi w:val="0"/>
              <w:spacing w:before="0" w:after="283"/>
              <w:jc w:val="left"/>
              <w:rPr/>
            </w:pPr>
            <w:r>
              <w:rPr/>
              <w:t>​</w:t>
            </w:r>
          </w:p>
        </w:tc>
      </w:tr>
      <w:tr>
        <w:trPr/>
        <w:tc>
          <w:tcPr>
            <w:tcW w:w="124" w:type="dxa"/>
            <w:tcBorders/>
            <w:shd w:fill="002F56" w:val="clear"/>
            <w:vAlign w:val="center"/>
          </w:tcPr>
          <w:p>
            <w:pPr>
              <w:pStyle w:val="TableContents"/>
              <w:bidi w:val="0"/>
              <w:spacing w:before="0" w:after="283"/>
              <w:jc w:val="left"/>
              <w:rPr/>
            </w:pPr>
            <w:r>
              <w:rPr/>
              <w:t>​</w:t>
            </w:r>
          </w:p>
        </w:tc>
        <w:tc>
          <w:tcPr>
            <w:tcW w:w="1985" w:type="dxa"/>
            <w:gridSpan w:val="4"/>
            <w:tcBorders/>
            <w:shd w:fill="002F56" w:val="clear"/>
            <w:vAlign w:val="center"/>
          </w:tcPr>
          <w:p>
            <w:pPr>
              <w:pStyle w:val="TableContents"/>
              <w:bidi w:val="0"/>
              <w:spacing w:lineRule="atLeast" w:line="200" w:before="0" w:after="0"/>
              <w:jc w:val="left"/>
              <w:rPr>
                <w:spacing w:val="-1"/>
              </w:rPr>
            </w:pPr>
            <w:r>
              <w:rPr>
                <w:spacing w:val="-1"/>
              </w:rPr>
              <w:t xml:space="preserve">Wednesday, May 20, 2026 </w:t>
              <w:br/>
              <w:t xml:space="preserve">9:00 a.m., Eastern Time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4210" w:type="dxa"/>
            <w:gridSpan w:val="4"/>
            <w:tcBorders/>
            <w:shd w:fill="002F56" w:val="clear"/>
            <w:vAlign w:val="center"/>
          </w:tcPr>
          <w:p>
            <w:pPr>
              <w:pStyle w:val="TableContents"/>
              <w:bidi w:val="0"/>
              <w:spacing w:lineRule="atLeast" w:line="200" w:before="0" w:after="0"/>
              <w:jc w:val="left"/>
              <w:rPr/>
            </w:pPr>
            <w:r>
              <w:rPr>
                <w:spacing w:val="-1"/>
              </w:rPr>
              <w:t>The 2026 Annual Meeting of Shareowners will be held exclusively online. To attend, visit www.virtualshareholderingmeeting.com/</w:t>
            </w:r>
            <w:r>
              <w:rPr/>
              <w:t>​</w:t>
            </w:r>
            <w:r>
              <w:rPr>
                <w:spacing w:val="-1"/>
              </w:rPr>
              <w:t xml:space="preserve">MTX2026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71" w:type="dxa"/>
            <w:gridSpan w:val="4"/>
            <w:tcBorders/>
            <w:shd w:fill="002F56" w:val="clear"/>
            <w:vAlign w:val="center"/>
          </w:tcPr>
          <w:p>
            <w:pPr>
              <w:pStyle w:val="TableContents"/>
              <w:bidi w:val="0"/>
              <w:spacing w:lineRule="atLeast" w:line="200" w:before="0" w:after="0"/>
              <w:jc w:val="left"/>
              <w:rPr/>
            </w:pPr>
            <w:r>
              <w:rPr>
                <w:spacing w:val="-1"/>
              </w:rPr>
              <w:t>Shareholders of record as of the close of business on March 24, 2026 are entitled to notice of and to vote at the meeting</w:t>
            </w:r>
            <w:r>
              <w:rPr/>
              <w:t xml:space="preserve"> </w:t>
            </w:r>
          </w:p>
        </w:tc>
        <w:tc>
          <w:tcPr>
            <w:tcW w:w="159" w:type="dxa"/>
            <w:tcBorders/>
            <w:shd w:fill="002F56" w:val="clear"/>
            <w:vAlign w:val="center"/>
          </w:tcPr>
          <w:p>
            <w:pPr>
              <w:pStyle w:val="TableContents"/>
              <w:bidi w:val="0"/>
              <w:spacing w:before="0" w:after="283"/>
              <w:jc w:val="left"/>
              <w:rPr/>
            </w:pPr>
            <w:r>
              <w:rPr/>
              <w:t>​</w:t>
            </w:r>
          </w:p>
        </w:tc>
      </w:tr>
    </w:tbl>
    <w:p>
      <w:pPr>
        <w:pStyle w:val="TextBody"/>
        <w:bidi w:val="0"/>
        <w:spacing w:lineRule="atLeast" w:line="210" w:before="36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Annual Meeting of Shareholders of Minerals Technologies Inc., a Delaware corporation, will be held to consider and take action on the following items: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227">
                <wp:simplePos x="0" y="0"/>
                <wp:positionH relativeFrom="column">
                  <wp:align>left</wp:align>
                </wp:positionH>
                <wp:positionV relativeFrom="line">
                  <wp:posOffset>635</wp:posOffset>
                </wp:positionV>
                <wp:extent cx="2565400" cy="2717800"/>
                <wp:effectExtent l="0" t="0" r="0" b="0"/>
                <wp:wrapSquare wrapText="right"/>
                <wp:docPr id="21" name="Frame12"/>
                <a:graphic xmlns:a="http://schemas.openxmlformats.org/drawingml/2006/main">
                  <a:graphicData uri="http://schemas.microsoft.com/office/word/2010/wordprocessingShape">
                    <wps:wsp>
                      <wps:cNvSpPr txBox="1"/>
                      <wps:spPr>
                        <a:xfrm>
                          <a:off x="0" y="0"/>
                          <a:ext cx="2565400" cy="27178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774"/>
                              <w:gridCol w:w="109"/>
                              <w:gridCol w:w="109"/>
                              <w:gridCol w:w="1239"/>
                              <w:gridCol w:w="109"/>
                              <w:gridCol w:w="109"/>
                              <w:gridCol w:w="7476"/>
                              <w:gridCol w:w="156"/>
                            </w:tblGrid>
                            <w:tr>
                              <w:trPr/>
                              <w:tc>
                                <w:tcPr>
                                  <w:tcW w:w="124" w:type="dxa"/>
                                  <w:tcBorders/>
                                  <w:shd w:fill="002F56" w:val="clear"/>
                                  <w:vAlign w:val="center"/>
                                </w:tcPr>
                                <w:p>
                                  <w:pPr>
                                    <w:pStyle w:val="TableContents"/>
                                    <w:bidi w:val="0"/>
                                    <w:spacing w:before="0" w:after="283"/>
                                    <w:jc w:val="left"/>
                                    <w:rPr/>
                                  </w:pPr>
                                  <w:r>
                                    <w:rPr/>
                                    <w:t>​</w:t>
                                  </w:r>
                                </w:p>
                              </w:tc>
                              <w:tc>
                                <w:tcPr>
                                  <w:tcW w:w="9925" w:type="dxa"/>
                                  <w:gridSpan w:val="7"/>
                                  <w:tcBorders/>
                                  <w:shd w:fill="002F56" w:val="clear"/>
                                  <w:vAlign w:val="center"/>
                                </w:tcPr>
                                <w:p>
                                  <w:pPr>
                                    <w:pStyle w:val="TableContents"/>
                                    <w:bidi w:val="0"/>
                                    <w:spacing w:lineRule="atLeast" w:line="221" w:before="0" w:after="0"/>
                                    <w:jc w:val="center"/>
                                    <w:rPr/>
                                  </w:pPr>
                                  <w:r>
                                    <w:rPr>
                                      <w:spacing w:val="-7"/>
                                    </w:rPr>
                                    <w:t>YOUR VOTE IS IMPORTANT.</w:t>
                                  </w:r>
                                  <w:r>
                                    <w:rPr>
                                      <w:color w:val="FFFFFF"/>
                                    </w:rPr>
                                    <w:t>​</w:t>
                                  </w:r>
                                  <w:r>
                                    <w:rPr/>
                                    <w:t xml:space="preserve"> </w:t>
                                  </w:r>
                                </w:p>
                              </w:tc>
                              <w:tc>
                                <w:tcPr>
                                  <w:tcW w:w="156" w:type="dxa"/>
                                  <w:tcBorders/>
                                  <w:shd w:fill="002F56" w:val="clear"/>
                                  <w:vAlign w:val="center"/>
                                </w:tcPr>
                                <w:p>
                                  <w:pPr>
                                    <w:pStyle w:val="TableContents"/>
                                    <w:bidi w:val="0"/>
                                    <w:spacing w:before="0" w:after="283"/>
                                    <w:jc w:val="left"/>
                                    <w:rPr/>
                                  </w:pPr>
                                  <w:r>
                                    <w:rPr/>
                                    <w:t>​</w:t>
                                  </w:r>
                                </w:p>
                              </w:tc>
                            </w:tr>
                            <w:tr>
                              <w:trPr/>
                              <w:tc>
                                <w:tcPr>
                                  <w:tcW w:w="124" w:type="dxa"/>
                                  <w:tcBorders>
                                    <w:bottom w:val="single" w:sz="2" w:space="0" w:color="FEFEFE"/>
                                  </w:tcBorders>
                                  <w:shd w:fill="002F56" w:val="clear"/>
                                  <w:tcMar>
                                    <w:bottom w:w="28" w:type="dxa"/>
                                  </w:tcMar>
                                  <w:vAlign w:val="center"/>
                                </w:tcPr>
                                <w:p>
                                  <w:pPr>
                                    <w:pStyle w:val="TableContents"/>
                                    <w:bidi w:val="0"/>
                                    <w:spacing w:before="0" w:after="283"/>
                                    <w:jc w:val="left"/>
                                    <w:rPr/>
                                  </w:pPr>
                                  <w:r>
                                    <w:rPr/>
                                    <w:t>​</w:t>
                                  </w:r>
                                </w:p>
                              </w:tc>
                              <w:tc>
                                <w:tcPr>
                                  <w:tcW w:w="9925" w:type="dxa"/>
                                  <w:gridSpan w:val="7"/>
                                  <w:tcBorders>
                                    <w:bottom w:val="single" w:sz="2" w:space="0" w:color="FEFEFE"/>
                                  </w:tcBorders>
                                  <w:shd w:fill="002F56" w:val="clear"/>
                                  <w:tcMar>
                                    <w:bottom w:w="109" w:type="dxa"/>
                                  </w:tcMar>
                                  <w:vAlign w:val="center"/>
                                </w:tcPr>
                                <w:p>
                                  <w:pPr>
                                    <w:pStyle w:val="TableContents"/>
                                    <w:bidi w:val="0"/>
                                    <w:spacing w:lineRule="atLeast" w:line="191" w:before="0" w:after="0"/>
                                    <w:jc w:val="center"/>
                                    <w:rPr>
                                      <w:spacing w:val="0"/>
                                    </w:rPr>
                                  </w:pPr>
                                  <w:r>
                                    <w:rPr>
                                      <w:spacing w:val="0"/>
                                    </w:rPr>
                                    <w:t xml:space="preserve">Whether or not you plan to attend the meeting, </w:t>
                                    <w:br/>
                                    <w:t xml:space="preserve">please vote as soon as possible by: </w:t>
                                  </w:r>
                                </w:p>
                              </w:tc>
                              <w:tc>
                                <w:tcPr>
                                  <w:tcW w:w="156" w:type="dxa"/>
                                  <w:tcBorders>
                                    <w:bottom w:val="single" w:sz="2" w:space="0" w:color="FEFEFE"/>
                                  </w:tcBorders>
                                  <w:shd w:fill="002F56" w:val="clear"/>
                                  <w:tcMar>
                                    <w:bottom w:w="28" w:type="dxa"/>
                                  </w:tcM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00050" cy="24765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2"/>
                                                <a:stretch>
                                                  <a:fillRect/>
                                                </a:stretch>
                                              </pic:blipFill>
                                              <pic:spPr bwMode="auto">
                                                <a:xfrm>
                                                  <a:off x="0" y="0"/>
                                                  <a:ext cx="400050" cy="247650"/>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81" w:before="0" w:after="0"/>
                                    <w:jc w:val="left"/>
                                    <w:rPr>
                                      <w:b/>
                                    </w:rPr>
                                  </w:pPr>
                                  <w:r>
                                    <w:rPr>
                                      <w:b/>
                                      <w:spacing w:val="0"/>
                                    </w:rPr>
                                    <w:t>Internet</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81" w:before="0" w:after="0"/>
                                    <w:jc w:val="left"/>
                                    <w:rPr>
                                      <w:spacing w:val="-1"/>
                                    </w:rPr>
                                  </w:pPr>
                                  <w:r>
                                    <w:rPr>
                                      <w:spacing w:val="-1"/>
                                    </w:rPr>
                                    <w:t xml:space="preserve">Go to www.proxyvote.com </w:t>
                                  </w:r>
                                </w:p>
                              </w:tc>
                              <w:tc>
                                <w:tcPr>
                                  <w:tcW w:w="156" w:type="dxa"/>
                                  <w:tcBorders/>
                                  <w:shd w:fill="DCECF1" w:val="cle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90500" cy="3238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3"/>
                                                <a:stretch>
                                                  <a:fillRect/>
                                                </a:stretch>
                                              </pic:blipFill>
                                              <pic:spPr bwMode="auto">
                                                <a:xfrm>
                                                  <a:off x="0" y="0"/>
                                                  <a:ext cx="190500" cy="323850"/>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78" w:before="0" w:after="0"/>
                                    <w:jc w:val="left"/>
                                    <w:rPr>
                                      <w:b/>
                                    </w:rPr>
                                  </w:pPr>
                                  <w:r>
                                    <w:rPr>
                                      <w:b/>
                                      <w:spacing w:val="0"/>
                                    </w:rPr>
                                    <w:t>Phone</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78" w:before="0" w:after="0"/>
                                    <w:jc w:val="left"/>
                                    <w:rPr/>
                                  </w:pPr>
                                  <w:r>
                                    <w:rPr>
                                      <w:spacing w:val="-1"/>
                                    </w:rPr>
                                    <w:t>Call toll-free</w:t>
                                  </w:r>
                                  <w:r>
                                    <w:rPr/>
                                    <w:t xml:space="preserve"> </w:t>
                                  </w:r>
                                </w:p>
                                <w:p>
                                  <w:pPr>
                                    <w:pStyle w:val="TableContents"/>
                                    <w:bidi w:val="0"/>
                                    <w:spacing w:lineRule="atLeast" w:line="178" w:before="40" w:after="283"/>
                                    <w:jc w:val="left"/>
                                    <w:rPr>
                                      <w:spacing w:val="-1"/>
                                    </w:rPr>
                                  </w:pPr>
                                  <w:r>
                                    <w:rPr>
                                      <w:spacing w:val="-1"/>
                                    </w:rPr>
                                    <w:t xml:space="preserve">1 (800) 690-6903 </w:t>
                                  </w:r>
                                </w:p>
                              </w:tc>
                              <w:tc>
                                <w:tcPr>
                                  <w:tcW w:w="156" w:type="dxa"/>
                                  <w:tcBorders/>
                                  <w:shd w:fill="DCECF1" w:val="cle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4"/>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78" w:before="0" w:after="0"/>
                                    <w:jc w:val="left"/>
                                    <w:rPr>
                                      <w:b/>
                                    </w:rPr>
                                  </w:pPr>
                                  <w:r>
                                    <w:rPr>
                                      <w:b/>
                                      <w:spacing w:val="0"/>
                                    </w:rPr>
                                    <w:t>Mail</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77" w:before="0" w:after="0"/>
                                    <w:jc w:val="left"/>
                                    <w:rPr>
                                      <w:spacing w:val="-1"/>
                                    </w:rPr>
                                  </w:pPr>
                                  <w:r>
                                    <w:rPr>
                                      <w:spacing w:val="-1"/>
                                    </w:rPr>
                                    <w:t xml:space="preserve">Mark, sign, and date your proxy card and return it in the postage-paid envelope </w:t>
                                  </w:r>
                                </w:p>
                              </w:tc>
                              <w:tc>
                                <w:tcPr>
                                  <w:tcW w:w="156" w:type="dxa"/>
                                  <w:tcBorders/>
                                  <w:shd w:fill="DCECF1" w:val="cle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00050" cy="219075"/>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5"/>
                                                <a:stretch>
                                                  <a:fillRect/>
                                                </a:stretch>
                                              </pic:blipFill>
                                              <pic:spPr bwMode="auto">
                                                <a:xfrm>
                                                  <a:off x="0" y="0"/>
                                                  <a:ext cx="400050" cy="219075"/>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77" w:before="0" w:after="0"/>
                                    <w:jc w:val="left"/>
                                    <w:rPr>
                                      <w:b/>
                                    </w:rPr>
                                  </w:pPr>
                                  <w:r>
                                    <w:rPr>
                                      <w:b/>
                                      <w:spacing w:val="0"/>
                                    </w:rPr>
                                    <w:t xml:space="preserve">Attend the </w:t>
                                    <w:br/>
                                    <w:t>Meeting</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77" w:before="0" w:after="0"/>
                                    <w:jc w:val="left"/>
                                    <w:rPr/>
                                  </w:pPr>
                                  <w:r>
                                    <w:rPr>
                                      <w:spacing w:val="-1"/>
                                    </w:rPr>
                                    <w:t>Attend the virtual meeting and vote online</w:t>
                                  </w:r>
                                  <w:r>
                                    <w:rPr/>
                                    <w:t xml:space="preserve"> </w:t>
                                  </w:r>
                                </w:p>
                              </w:tc>
                              <w:tc>
                                <w:tcPr>
                                  <w:tcW w:w="156" w:type="dxa"/>
                                  <w:tcBorders/>
                                  <w:shd w:fill="DCECF1"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02pt;height:214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774"/>
                        <w:gridCol w:w="109"/>
                        <w:gridCol w:w="109"/>
                        <w:gridCol w:w="1239"/>
                        <w:gridCol w:w="109"/>
                        <w:gridCol w:w="109"/>
                        <w:gridCol w:w="7476"/>
                        <w:gridCol w:w="156"/>
                      </w:tblGrid>
                      <w:tr>
                        <w:trPr/>
                        <w:tc>
                          <w:tcPr>
                            <w:tcW w:w="124" w:type="dxa"/>
                            <w:tcBorders/>
                            <w:shd w:fill="002F56" w:val="clear"/>
                            <w:vAlign w:val="center"/>
                          </w:tcPr>
                          <w:p>
                            <w:pPr>
                              <w:pStyle w:val="TableContents"/>
                              <w:bidi w:val="0"/>
                              <w:spacing w:before="0" w:after="283"/>
                              <w:jc w:val="left"/>
                              <w:rPr/>
                            </w:pPr>
                            <w:r>
                              <w:rPr/>
                              <w:t>​</w:t>
                            </w:r>
                          </w:p>
                        </w:tc>
                        <w:tc>
                          <w:tcPr>
                            <w:tcW w:w="9925" w:type="dxa"/>
                            <w:gridSpan w:val="7"/>
                            <w:tcBorders/>
                            <w:shd w:fill="002F56" w:val="clear"/>
                            <w:vAlign w:val="center"/>
                          </w:tcPr>
                          <w:p>
                            <w:pPr>
                              <w:pStyle w:val="TableContents"/>
                              <w:bidi w:val="0"/>
                              <w:spacing w:lineRule="atLeast" w:line="221" w:before="0" w:after="0"/>
                              <w:jc w:val="center"/>
                              <w:rPr/>
                            </w:pPr>
                            <w:r>
                              <w:rPr>
                                <w:spacing w:val="-7"/>
                              </w:rPr>
                              <w:t>YOUR VOTE IS IMPORTANT.</w:t>
                            </w:r>
                            <w:r>
                              <w:rPr>
                                <w:color w:val="FFFFFF"/>
                              </w:rPr>
                              <w:t>​</w:t>
                            </w:r>
                            <w:r>
                              <w:rPr/>
                              <w:t xml:space="preserve"> </w:t>
                            </w:r>
                          </w:p>
                        </w:tc>
                        <w:tc>
                          <w:tcPr>
                            <w:tcW w:w="156" w:type="dxa"/>
                            <w:tcBorders/>
                            <w:shd w:fill="002F56" w:val="clear"/>
                            <w:vAlign w:val="center"/>
                          </w:tcPr>
                          <w:p>
                            <w:pPr>
                              <w:pStyle w:val="TableContents"/>
                              <w:bidi w:val="0"/>
                              <w:spacing w:before="0" w:after="283"/>
                              <w:jc w:val="left"/>
                              <w:rPr/>
                            </w:pPr>
                            <w:r>
                              <w:rPr/>
                              <w:t>​</w:t>
                            </w:r>
                          </w:p>
                        </w:tc>
                      </w:tr>
                      <w:tr>
                        <w:trPr/>
                        <w:tc>
                          <w:tcPr>
                            <w:tcW w:w="124" w:type="dxa"/>
                            <w:tcBorders>
                              <w:bottom w:val="single" w:sz="2" w:space="0" w:color="FEFEFE"/>
                            </w:tcBorders>
                            <w:shd w:fill="002F56" w:val="clear"/>
                            <w:tcMar>
                              <w:bottom w:w="28" w:type="dxa"/>
                            </w:tcMar>
                            <w:vAlign w:val="center"/>
                          </w:tcPr>
                          <w:p>
                            <w:pPr>
                              <w:pStyle w:val="TableContents"/>
                              <w:bidi w:val="0"/>
                              <w:spacing w:before="0" w:after="283"/>
                              <w:jc w:val="left"/>
                              <w:rPr/>
                            </w:pPr>
                            <w:r>
                              <w:rPr/>
                              <w:t>​</w:t>
                            </w:r>
                          </w:p>
                        </w:tc>
                        <w:tc>
                          <w:tcPr>
                            <w:tcW w:w="9925" w:type="dxa"/>
                            <w:gridSpan w:val="7"/>
                            <w:tcBorders>
                              <w:bottom w:val="single" w:sz="2" w:space="0" w:color="FEFEFE"/>
                            </w:tcBorders>
                            <w:shd w:fill="002F56" w:val="clear"/>
                            <w:tcMar>
                              <w:bottom w:w="109" w:type="dxa"/>
                            </w:tcMar>
                            <w:vAlign w:val="center"/>
                          </w:tcPr>
                          <w:p>
                            <w:pPr>
                              <w:pStyle w:val="TableContents"/>
                              <w:bidi w:val="0"/>
                              <w:spacing w:lineRule="atLeast" w:line="191" w:before="0" w:after="0"/>
                              <w:jc w:val="center"/>
                              <w:rPr>
                                <w:spacing w:val="0"/>
                              </w:rPr>
                            </w:pPr>
                            <w:r>
                              <w:rPr>
                                <w:spacing w:val="0"/>
                              </w:rPr>
                              <w:t xml:space="preserve">Whether or not you plan to attend the meeting, </w:t>
                              <w:br/>
                              <w:t xml:space="preserve">please vote as soon as possible by: </w:t>
                            </w:r>
                          </w:p>
                        </w:tc>
                        <w:tc>
                          <w:tcPr>
                            <w:tcW w:w="156" w:type="dxa"/>
                            <w:tcBorders>
                              <w:bottom w:val="single" w:sz="2" w:space="0" w:color="FEFEFE"/>
                            </w:tcBorders>
                            <w:shd w:fill="002F56" w:val="clear"/>
                            <w:tcMar>
                              <w:bottom w:w="28" w:type="dxa"/>
                            </w:tcM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00050" cy="24765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6"/>
                                          <a:stretch>
                                            <a:fillRect/>
                                          </a:stretch>
                                        </pic:blipFill>
                                        <pic:spPr bwMode="auto">
                                          <a:xfrm>
                                            <a:off x="0" y="0"/>
                                            <a:ext cx="400050" cy="247650"/>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81" w:before="0" w:after="0"/>
                              <w:jc w:val="left"/>
                              <w:rPr>
                                <w:b/>
                              </w:rPr>
                            </w:pPr>
                            <w:r>
                              <w:rPr>
                                <w:b/>
                                <w:spacing w:val="0"/>
                              </w:rPr>
                              <w:t>Internet</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81" w:before="0" w:after="0"/>
                              <w:jc w:val="left"/>
                              <w:rPr>
                                <w:spacing w:val="-1"/>
                              </w:rPr>
                            </w:pPr>
                            <w:r>
                              <w:rPr>
                                <w:spacing w:val="-1"/>
                              </w:rPr>
                              <w:t xml:space="preserve">Go to www.proxyvote.com </w:t>
                            </w:r>
                          </w:p>
                        </w:tc>
                        <w:tc>
                          <w:tcPr>
                            <w:tcW w:w="156" w:type="dxa"/>
                            <w:tcBorders/>
                            <w:shd w:fill="DCECF1" w:val="cle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90500" cy="32385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7"/>
                                          <a:stretch>
                                            <a:fillRect/>
                                          </a:stretch>
                                        </pic:blipFill>
                                        <pic:spPr bwMode="auto">
                                          <a:xfrm>
                                            <a:off x="0" y="0"/>
                                            <a:ext cx="190500" cy="323850"/>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78" w:before="0" w:after="0"/>
                              <w:jc w:val="left"/>
                              <w:rPr>
                                <w:b/>
                              </w:rPr>
                            </w:pPr>
                            <w:r>
                              <w:rPr>
                                <w:b/>
                                <w:spacing w:val="0"/>
                              </w:rPr>
                              <w:t>Phone</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78" w:before="0" w:after="0"/>
                              <w:jc w:val="left"/>
                              <w:rPr/>
                            </w:pPr>
                            <w:r>
                              <w:rPr>
                                <w:spacing w:val="-1"/>
                              </w:rPr>
                              <w:t>Call toll-free</w:t>
                            </w:r>
                            <w:r>
                              <w:rPr/>
                              <w:t xml:space="preserve"> </w:t>
                            </w:r>
                          </w:p>
                          <w:p>
                            <w:pPr>
                              <w:pStyle w:val="TableContents"/>
                              <w:bidi w:val="0"/>
                              <w:spacing w:lineRule="atLeast" w:line="178" w:before="40" w:after="283"/>
                              <w:jc w:val="left"/>
                              <w:rPr>
                                <w:spacing w:val="-1"/>
                              </w:rPr>
                            </w:pPr>
                            <w:r>
                              <w:rPr>
                                <w:spacing w:val="-1"/>
                              </w:rPr>
                              <w:t xml:space="preserve">1 (800) 690-6903 </w:t>
                            </w:r>
                          </w:p>
                        </w:tc>
                        <w:tc>
                          <w:tcPr>
                            <w:tcW w:w="156" w:type="dxa"/>
                            <w:tcBorders/>
                            <w:shd w:fill="DCECF1" w:val="cle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04800" cy="3048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8"/>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78" w:before="0" w:after="0"/>
                              <w:jc w:val="left"/>
                              <w:rPr>
                                <w:b/>
                              </w:rPr>
                            </w:pPr>
                            <w:r>
                              <w:rPr>
                                <w:b/>
                                <w:spacing w:val="0"/>
                              </w:rPr>
                              <w:t>Mail</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77" w:before="0" w:after="0"/>
                              <w:jc w:val="left"/>
                              <w:rPr>
                                <w:spacing w:val="-1"/>
                              </w:rPr>
                            </w:pPr>
                            <w:r>
                              <w:rPr>
                                <w:spacing w:val="-1"/>
                              </w:rPr>
                              <w:t xml:space="preserve">Mark, sign, and date your proxy card and return it in the postage-paid envelope </w:t>
                            </w:r>
                          </w:p>
                        </w:tc>
                        <w:tc>
                          <w:tcPr>
                            <w:tcW w:w="156" w:type="dxa"/>
                            <w:tcBorders/>
                            <w:shd w:fill="DCECF1" w:val="clear"/>
                            <w:vAlign w:val="center"/>
                          </w:tcPr>
                          <w:p>
                            <w:pPr>
                              <w:pStyle w:val="TableContents"/>
                              <w:bidi w:val="0"/>
                              <w:spacing w:before="0" w:after="283"/>
                              <w:jc w:val="left"/>
                              <w:rPr/>
                            </w:pPr>
                            <w:r>
                              <w:rPr/>
                              <w:t>​</w:t>
                            </w:r>
                          </w:p>
                        </w:tc>
                      </w:tr>
                      <w:tr>
                        <w:trPr/>
                        <w:tc>
                          <w:tcPr>
                            <w:tcW w:w="124" w:type="dxa"/>
                            <w:tcBorders/>
                            <w:shd w:fill="DCECF1" w:val="clear"/>
                            <w:vAlign w:val="center"/>
                          </w:tcPr>
                          <w:p>
                            <w:pPr>
                              <w:pStyle w:val="TableContents"/>
                              <w:bidi w:val="0"/>
                              <w:spacing w:before="0" w:after="283"/>
                              <w:jc w:val="left"/>
                              <w:rPr/>
                            </w:pPr>
                            <w:r>
                              <w:rPr/>
                              <w:t>​</w:t>
                            </w:r>
                          </w:p>
                        </w:tc>
                        <w:tc>
                          <w:tcPr>
                            <w:tcW w:w="774" w:type="dxa"/>
                            <w:tcBorders/>
                            <w:shd w:fill="DCECF1"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00050" cy="21907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9"/>
                                          <a:stretch>
                                            <a:fillRect/>
                                          </a:stretch>
                                        </pic:blipFill>
                                        <pic:spPr bwMode="auto">
                                          <a:xfrm>
                                            <a:off x="0" y="0"/>
                                            <a:ext cx="400050" cy="219075"/>
                                          </a:xfrm>
                                          <a:prstGeom prst="rect">
                                            <a:avLst/>
                                          </a:prstGeom>
                                        </pic:spPr>
                                      </pic:pic>
                                    </a:graphicData>
                                  </a:graphic>
                                </wp:inline>
                              </w:drawing>
                            </w:r>
                            <w:r>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1239" w:type="dxa"/>
                            <w:tcBorders/>
                            <w:shd w:fill="DCECF1" w:val="clear"/>
                            <w:vAlign w:val="center"/>
                          </w:tcPr>
                          <w:p>
                            <w:pPr>
                              <w:pStyle w:val="TableContents"/>
                              <w:bidi w:val="0"/>
                              <w:spacing w:lineRule="atLeast" w:line="177" w:before="0" w:after="0"/>
                              <w:jc w:val="left"/>
                              <w:rPr>
                                <w:b/>
                              </w:rPr>
                            </w:pPr>
                            <w:r>
                              <w:rPr>
                                <w:b/>
                                <w:spacing w:val="0"/>
                              </w:rPr>
                              <w:t xml:space="preserve">Attend the </w:t>
                              <w:br/>
                              <w:t>Meeting</w:t>
                            </w:r>
                            <w:r>
                              <w:rPr>
                                <w:b/>
                              </w:rPr>
                              <w:t xml:space="preserve"> </w:t>
                            </w:r>
                          </w:p>
                        </w:tc>
                        <w:tc>
                          <w:tcPr>
                            <w:tcW w:w="109" w:type="dxa"/>
                            <w:tcBorders/>
                            <w:shd w:fill="DCECF1" w:val="clear"/>
                            <w:vAlign w:val="center"/>
                          </w:tcPr>
                          <w:p>
                            <w:pPr>
                              <w:pStyle w:val="TableContents"/>
                              <w:bidi w:val="0"/>
                              <w:spacing w:before="0" w:after="283"/>
                              <w:jc w:val="left"/>
                              <w:rPr/>
                            </w:pPr>
                            <w:r>
                              <w:rPr/>
                              <w:t>​</w:t>
                            </w:r>
                          </w:p>
                        </w:tc>
                        <w:tc>
                          <w:tcPr>
                            <w:tcW w:w="109" w:type="dxa"/>
                            <w:tcBorders/>
                            <w:shd w:fill="DCECF1" w:val="clear"/>
                            <w:vAlign w:val="center"/>
                          </w:tcPr>
                          <w:p>
                            <w:pPr>
                              <w:pStyle w:val="TableContents"/>
                              <w:bidi w:val="0"/>
                              <w:spacing w:before="0" w:after="283"/>
                              <w:jc w:val="left"/>
                              <w:rPr/>
                            </w:pPr>
                            <w:r>
                              <w:rPr/>
                              <w:t>​</w:t>
                            </w:r>
                          </w:p>
                        </w:tc>
                        <w:tc>
                          <w:tcPr>
                            <w:tcW w:w="7476" w:type="dxa"/>
                            <w:tcBorders/>
                            <w:shd w:fill="DCECF1" w:val="clear"/>
                            <w:vAlign w:val="center"/>
                          </w:tcPr>
                          <w:p>
                            <w:pPr>
                              <w:pStyle w:val="TableContents"/>
                              <w:bidi w:val="0"/>
                              <w:spacing w:lineRule="atLeast" w:line="177" w:before="0" w:after="0"/>
                              <w:jc w:val="left"/>
                              <w:rPr/>
                            </w:pPr>
                            <w:r>
                              <w:rPr>
                                <w:spacing w:val="-1"/>
                              </w:rPr>
                              <w:t>Attend the virtual meeting and vote online</w:t>
                            </w:r>
                            <w:r>
                              <w:rPr/>
                              <w:t xml:space="preserve"> </w:t>
                            </w:r>
                          </w:p>
                        </w:tc>
                        <w:tc>
                          <w:tcPr>
                            <w:tcW w:w="156" w:type="dxa"/>
                            <w:tcBorders/>
                            <w:shd w:fill="DCECF1"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647700" distR="0" simplePos="0" locked="0" layoutInCell="1" allowOverlap="1" relativeHeight="233">
                <wp:simplePos x="0" y="0"/>
                <wp:positionH relativeFrom="column">
                  <wp:align>left</wp:align>
                </wp:positionH>
                <wp:positionV relativeFrom="line">
                  <wp:posOffset>635</wp:posOffset>
                </wp:positionV>
                <wp:extent cx="3403600" cy="2235835"/>
                <wp:effectExtent l="0" t="0" r="0" b="0"/>
                <wp:wrapSquare wrapText="right"/>
                <wp:docPr id="30" name="Frame11"/>
                <a:graphic xmlns:a="http://schemas.openxmlformats.org/drawingml/2006/main">
                  <a:graphicData uri="http://schemas.microsoft.com/office/word/2010/wordprocessingShape">
                    <wps:wsp>
                      <wps:cNvSpPr txBox="1"/>
                      <wps:spPr>
                        <a:xfrm>
                          <a:off x="0" y="0"/>
                          <a:ext cx="3403600" cy="22358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254"/>
                              <w:gridCol w:w="109"/>
                              <w:gridCol w:w="109"/>
                              <w:gridCol w:w="6585"/>
                              <w:gridCol w:w="109"/>
                              <w:gridCol w:w="109"/>
                              <w:gridCol w:w="581"/>
                              <w:gridCol w:w="109"/>
                              <w:gridCol w:w="109"/>
                              <w:gridCol w:w="1851"/>
                              <w:gridCol w:w="156"/>
                            </w:tblGrid>
                            <w:tr>
                              <w:trPr/>
                              <w:tc>
                                <w:tcPr>
                                  <w:tcW w:w="124" w:type="dxa"/>
                                  <w:tcBorders/>
                                  <w:shd w:fill="002F56" w:val="clear"/>
                                  <w:vAlign w:val="center"/>
                                </w:tcPr>
                                <w:p>
                                  <w:pPr>
                                    <w:pStyle w:val="TableContents"/>
                                    <w:bidi w:val="0"/>
                                    <w:spacing w:before="0" w:after="283"/>
                                    <w:jc w:val="left"/>
                                    <w:rPr/>
                                  </w:pPr>
                                  <w:r>
                                    <w:rPr/>
                                    <w:t>​</w:t>
                                  </w:r>
                                </w:p>
                              </w:tc>
                              <w:tc>
                                <w:tcPr>
                                  <w:tcW w:w="7057" w:type="dxa"/>
                                  <w:gridSpan w:val="4"/>
                                  <w:tcBorders/>
                                  <w:shd w:fill="002F56" w:val="clear"/>
                                  <w:vAlign w:val="center"/>
                                </w:tcPr>
                                <w:p>
                                  <w:pPr>
                                    <w:pStyle w:val="TableContents"/>
                                    <w:bidi w:val="0"/>
                                    <w:spacing w:before="0" w:after="0"/>
                                    <w:jc w:val="left"/>
                                    <w:rPr>
                                      <w:spacing w:val="0"/>
                                    </w:rPr>
                                  </w:pPr>
                                  <w:r>
                                    <w:rPr>
                                      <w:spacing w:val="0"/>
                                    </w:rPr>
                                    <w:t xml:space="preserve">Items of Business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650" w:type="dxa"/>
                                  <w:gridSpan w:val="4"/>
                                  <w:tcBorders/>
                                  <w:shd w:fill="002F56" w:val="clear"/>
                                  <w:vAlign w:val="center"/>
                                </w:tcPr>
                                <w:p>
                                  <w:pPr>
                                    <w:pStyle w:val="TableContents"/>
                                    <w:bidi w:val="0"/>
                                    <w:spacing w:before="0" w:after="0"/>
                                    <w:jc w:val="left"/>
                                    <w:rPr>
                                      <w:spacing w:val="0"/>
                                    </w:rPr>
                                  </w:pPr>
                                  <w:r>
                                    <w:rPr>
                                      <w:spacing w:val="0"/>
                                    </w:rPr>
                                    <w:t xml:space="preserve">Board Recommendation </w:t>
                                  </w:r>
                                </w:p>
                              </w:tc>
                              <w:tc>
                                <w:tcPr>
                                  <w:tcW w:w="156" w:type="dxa"/>
                                  <w:tcBorders/>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4" w:type="dxa"/>
                                  <w:tcBorders>
                                    <w:bottom w:val="single" w:sz="6" w:space="0" w:color="CCCCCC"/>
                                  </w:tcBorders>
                                  <w:tcMar>
                                    <w:bottom w:w="28" w:type="dxa"/>
                                  </w:tcMar>
                                  <w:vAlign w:val="center"/>
                                </w:tcPr>
                                <w:p>
                                  <w:pPr>
                                    <w:pStyle w:val="TableContents"/>
                                    <w:bidi w:val="0"/>
                                    <w:spacing w:lineRule="atLeast" w:line="260" w:before="0" w:after="0"/>
                                    <w:jc w:val="left"/>
                                    <w:rPr>
                                      <w:b/>
                                      <w:color w:val="002F56"/>
                                      <w:spacing w:val="-8"/>
                                      <w:sz w:val="22"/>
                                    </w:rPr>
                                  </w:pPr>
                                  <w:r>
                                    <w:rPr>
                                      <w:b/>
                                      <w:color w:val="002F56"/>
                                      <w:spacing w:val="-8"/>
                                      <w:sz w:val="22"/>
                                    </w:rPr>
                                    <w:t xml:space="preserve">1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585"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The election of two directors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81" w:type="dxa"/>
                                  <w:tcBorders>
                                    <w:bottom w:val="single" w:sz="6" w:space="0" w:color="CCCCCC"/>
                                  </w:tcBorders>
                                  <w:tcMar>
                                    <w:bottom w:w="80" w:type="dxa"/>
                                  </w:tcMar>
                                  <w:vAlign w:val="center"/>
                                </w:tcPr>
                                <w:p>
                                  <w:pPr>
                                    <w:pStyle w:val="TableContents"/>
                                    <w:bidi w:val="0"/>
                                    <w:spacing w:before="0" w:after="0"/>
                                    <w:jc w:val="left"/>
                                    <w:rPr/>
                                  </w:pPr>
                                  <w:r>
                                    <w:rPr/>
                                    <w:drawing>
                                      <wp:inline distT="0" distB="0" distL="0" distR="0">
                                        <wp:extent cx="276225" cy="27622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0"/>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51" w:type="dxa"/>
                                  <w:tcBorders>
                                    <w:bottom w:val="single" w:sz="6" w:space="0" w:color="CCCCCC"/>
                                  </w:tcBorders>
                                  <w:tcMar>
                                    <w:bottom w:w="28" w:type="dxa"/>
                                  </w:tcMar>
                                  <w:vAlign w:val="center"/>
                                </w:tcPr>
                                <w:p>
                                  <w:pPr>
                                    <w:pStyle w:val="TableContents"/>
                                    <w:bidi w:val="0"/>
                                    <w:spacing w:lineRule="atLeast" w:line="189" w:before="0" w:after="0"/>
                                    <w:jc w:val="left"/>
                                    <w:rPr/>
                                  </w:pPr>
                                  <w:r>
                                    <w:rPr>
                                      <w:b/>
                                      <w:color w:val="002F56"/>
                                      <w:spacing w:val="-2"/>
                                    </w:rPr>
                                    <w:t>FOR</w:t>
                                  </w:r>
                                  <w:r>
                                    <w:rPr>
                                      <w:spacing w:val="-1"/>
                                    </w:rPr>
                                    <w:t xml:space="preserve"> each director nominee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4" w:type="dxa"/>
                                  <w:tcBorders>
                                    <w:bottom w:val="single" w:sz="6" w:space="0" w:color="CCCCCC"/>
                                  </w:tcBorders>
                                  <w:tcMar>
                                    <w:bottom w:w="28" w:type="dxa"/>
                                  </w:tcMar>
                                  <w:vAlign w:val="center"/>
                                </w:tcPr>
                                <w:p>
                                  <w:pPr>
                                    <w:pStyle w:val="TableContents"/>
                                    <w:bidi w:val="0"/>
                                    <w:spacing w:lineRule="atLeast" w:line="260" w:before="0" w:after="0"/>
                                    <w:jc w:val="left"/>
                                    <w:rPr>
                                      <w:b/>
                                      <w:color w:val="002F56"/>
                                      <w:spacing w:val="-8"/>
                                      <w:sz w:val="22"/>
                                    </w:rPr>
                                  </w:pPr>
                                  <w:r>
                                    <w:rPr>
                                      <w:b/>
                                      <w:color w:val="002F56"/>
                                      <w:spacing w:val="-8"/>
                                      <w:sz w:val="22"/>
                                    </w:rPr>
                                    <w:t xml:space="preserve">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585"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The ratification of the appointment of KPMG LLP as the independent registered public accounting firm for the 2026 fiscal year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81"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276225" cy="27622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1"/>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51" w:type="dxa"/>
                                  <w:tcBorders>
                                    <w:bottom w:val="single" w:sz="6" w:space="0" w:color="CCCCCC"/>
                                  </w:tcBorders>
                                  <w:tcMar>
                                    <w:bottom w:w="28" w:type="dxa"/>
                                  </w:tcMar>
                                  <w:vAlign w:val="center"/>
                                </w:tcPr>
                                <w:p>
                                  <w:pPr>
                                    <w:pStyle w:val="TableContents"/>
                                    <w:bidi w:val="0"/>
                                    <w:spacing w:lineRule="atLeast" w:line="189" w:before="0" w:after="0"/>
                                    <w:jc w:val="left"/>
                                    <w:rPr>
                                      <w:b/>
                                      <w:color w:val="002F56"/>
                                    </w:rPr>
                                  </w:pPr>
                                  <w:r>
                                    <w:rPr>
                                      <w:b/>
                                      <w:color w:val="002F56"/>
                                      <w:spacing w:val="-2"/>
                                    </w:rPr>
                                    <w:t>FOR</w:t>
                                  </w:r>
                                  <w:r>
                                    <w:rPr>
                                      <w:b/>
                                      <w:color w:val="002F56"/>
                                    </w:rPr>
                                    <w:t xml:space="preserve">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4" w:type="dxa"/>
                                  <w:tcBorders>
                                    <w:bottom w:val="single" w:sz="6" w:space="0" w:color="CCCCCC"/>
                                  </w:tcBorders>
                                  <w:tcMar>
                                    <w:bottom w:w="28" w:type="dxa"/>
                                  </w:tcMar>
                                  <w:vAlign w:val="center"/>
                                </w:tcPr>
                                <w:p>
                                  <w:pPr>
                                    <w:pStyle w:val="TableContents"/>
                                    <w:bidi w:val="0"/>
                                    <w:spacing w:lineRule="atLeast" w:line="260" w:before="0" w:after="0"/>
                                    <w:jc w:val="left"/>
                                    <w:rPr>
                                      <w:b/>
                                      <w:color w:val="002F56"/>
                                      <w:spacing w:val="-8"/>
                                      <w:sz w:val="22"/>
                                    </w:rPr>
                                  </w:pPr>
                                  <w:r>
                                    <w:rPr>
                                      <w:b/>
                                      <w:color w:val="002F56"/>
                                      <w:spacing w:val="-8"/>
                                      <w:sz w:val="22"/>
                                    </w:rPr>
                                    <w:t xml:space="preserve">3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585"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An advisory vote to approve 2025 named executive officer compensation (“Say-on-Pay” vote)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81"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276225" cy="276225"/>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51" w:type="dxa"/>
                                  <w:tcBorders>
                                    <w:bottom w:val="single" w:sz="6" w:space="0" w:color="CCCCCC"/>
                                  </w:tcBorders>
                                  <w:tcMar>
                                    <w:bottom w:w="28" w:type="dxa"/>
                                  </w:tcMar>
                                  <w:vAlign w:val="center"/>
                                </w:tcPr>
                                <w:p>
                                  <w:pPr>
                                    <w:pStyle w:val="TableContents"/>
                                    <w:bidi w:val="0"/>
                                    <w:spacing w:lineRule="atLeast" w:line="189" w:before="0" w:after="0"/>
                                    <w:jc w:val="left"/>
                                    <w:rPr>
                                      <w:b/>
                                      <w:color w:val="002F56"/>
                                    </w:rPr>
                                  </w:pPr>
                                  <w:r>
                                    <w:rPr>
                                      <w:b/>
                                      <w:color w:val="002F56"/>
                                      <w:spacing w:val="-2"/>
                                    </w:rPr>
                                    <w:t>FOR</w:t>
                                  </w:r>
                                  <w:r>
                                    <w:rPr>
                                      <w:b/>
                                      <w:color w:val="002F56"/>
                                    </w:rPr>
                                    <w:t xml:space="preserve">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4" w:type="dxa"/>
                                  <w:tcBorders/>
                                  <w:vAlign w:val="center"/>
                                </w:tcPr>
                                <w:p>
                                  <w:pPr>
                                    <w:pStyle w:val="TableContents"/>
                                    <w:bidi w:val="0"/>
                                    <w:spacing w:before="0" w:after="0"/>
                                    <w:jc w:val="left"/>
                                    <w:rPr>
                                      <w:b/>
                                      <w:color w:val="002F56"/>
                                      <w:spacing w:val="-8"/>
                                      <w:sz w:val="22"/>
                                    </w:rPr>
                                  </w:pPr>
                                  <w:r>
                                    <w:rPr>
                                      <w:b/>
                                      <w:color w:val="002F56"/>
                                      <w:spacing w:val="-8"/>
                                      <w:sz w:val="22"/>
                                    </w:rPr>
                                    <w:t xml:space="preserve">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85" w:type="dxa"/>
                                  <w:tcBorders/>
                                  <w:vAlign w:val="center"/>
                                </w:tcPr>
                                <w:p>
                                  <w:pPr>
                                    <w:pStyle w:val="TableContents"/>
                                    <w:bidi w:val="0"/>
                                    <w:spacing w:lineRule="atLeast" w:line="189" w:before="0" w:after="0"/>
                                    <w:jc w:val="left"/>
                                    <w:rPr>
                                      <w:spacing w:val="-1"/>
                                    </w:rPr>
                                  </w:pPr>
                                  <w:r>
                                    <w:rPr>
                                      <w:spacing w:val="-1"/>
                                    </w:rPr>
                                    <w:t xml:space="preserve">Any other business that properly comes before the meeting, either at the scheduled time or after any adjournment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0" w:type="dxa"/>
                                  <w:gridSpan w:val="4"/>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8pt;height:176.05pt;mso-wrap-distance-left:51pt;mso-wrap-distance-right:0pt;mso-wrap-distance-top:0pt;mso-wrap-distance-bottom:0pt;margin-top:0pt;mso-position-vertical:top;mso-position-vertical-relative:text;margin-left:51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254"/>
                        <w:gridCol w:w="109"/>
                        <w:gridCol w:w="109"/>
                        <w:gridCol w:w="6585"/>
                        <w:gridCol w:w="109"/>
                        <w:gridCol w:w="109"/>
                        <w:gridCol w:w="581"/>
                        <w:gridCol w:w="109"/>
                        <w:gridCol w:w="109"/>
                        <w:gridCol w:w="1851"/>
                        <w:gridCol w:w="156"/>
                      </w:tblGrid>
                      <w:tr>
                        <w:trPr/>
                        <w:tc>
                          <w:tcPr>
                            <w:tcW w:w="124" w:type="dxa"/>
                            <w:tcBorders/>
                            <w:shd w:fill="002F56" w:val="clear"/>
                            <w:vAlign w:val="center"/>
                          </w:tcPr>
                          <w:p>
                            <w:pPr>
                              <w:pStyle w:val="TableContents"/>
                              <w:bidi w:val="0"/>
                              <w:spacing w:before="0" w:after="283"/>
                              <w:jc w:val="left"/>
                              <w:rPr/>
                            </w:pPr>
                            <w:r>
                              <w:rPr/>
                              <w:t>​</w:t>
                            </w:r>
                          </w:p>
                        </w:tc>
                        <w:tc>
                          <w:tcPr>
                            <w:tcW w:w="7057" w:type="dxa"/>
                            <w:gridSpan w:val="4"/>
                            <w:tcBorders/>
                            <w:shd w:fill="002F56" w:val="clear"/>
                            <w:vAlign w:val="center"/>
                          </w:tcPr>
                          <w:p>
                            <w:pPr>
                              <w:pStyle w:val="TableContents"/>
                              <w:bidi w:val="0"/>
                              <w:spacing w:before="0" w:after="0"/>
                              <w:jc w:val="left"/>
                              <w:rPr>
                                <w:spacing w:val="0"/>
                              </w:rPr>
                            </w:pPr>
                            <w:r>
                              <w:rPr>
                                <w:spacing w:val="0"/>
                              </w:rPr>
                              <w:t xml:space="preserve">Items of Business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650" w:type="dxa"/>
                            <w:gridSpan w:val="4"/>
                            <w:tcBorders/>
                            <w:shd w:fill="002F56" w:val="clear"/>
                            <w:vAlign w:val="center"/>
                          </w:tcPr>
                          <w:p>
                            <w:pPr>
                              <w:pStyle w:val="TableContents"/>
                              <w:bidi w:val="0"/>
                              <w:spacing w:before="0" w:after="0"/>
                              <w:jc w:val="left"/>
                              <w:rPr>
                                <w:spacing w:val="0"/>
                              </w:rPr>
                            </w:pPr>
                            <w:r>
                              <w:rPr>
                                <w:spacing w:val="0"/>
                              </w:rPr>
                              <w:t xml:space="preserve">Board Recommendation </w:t>
                            </w:r>
                          </w:p>
                        </w:tc>
                        <w:tc>
                          <w:tcPr>
                            <w:tcW w:w="156" w:type="dxa"/>
                            <w:tcBorders/>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4" w:type="dxa"/>
                            <w:tcBorders>
                              <w:bottom w:val="single" w:sz="6" w:space="0" w:color="CCCCCC"/>
                            </w:tcBorders>
                            <w:tcMar>
                              <w:bottom w:w="28" w:type="dxa"/>
                            </w:tcMar>
                            <w:vAlign w:val="center"/>
                          </w:tcPr>
                          <w:p>
                            <w:pPr>
                              <w:pStyle w:val="TableContents"/>
                              <w:bidi w:val="0"/>
                              <w:spacing w:lineRule="atLeast" w:line="260" w:before="0" w:after="0"/>
                              <w:jc w:val="left"/>
                              <w:rPr>
                                <w:b/>
                                <w:color w:val="002F56"/>
                                <w:spacing w:val="-8"/>
                                <w:sz w:val="22"/>
                              </w:rPr>
                            </w:pPr>
                            <w:r>
                              <w:rPr>
                                <w:b/>
                                <w:color w:val="002F56"/>
                                <w:spacing w:val="-8"/>
                                <w:sz w:val="22"/>
                              </w:rPr>
                              <w:t xml:space="preserve">1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585"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The election of two directors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81" w:type="dxa"/>
                            <w:tcBorders>
                              <w:bottom w:val="single" w:sz="6" w:space="0" w:color="CCCCCC"/>
                            </w:tcBorders>
                            <w:tcMar>
                              <w:bottom w:w="80" w:type="dxa"/>
                            </w:tcMar>
                            <w:vAlign w:val="center"/>
                          </w:tcPr>
                          <w:p>
                            <w:pPr>
                              <w:pStyle w:val="TableContents"/>
                              <w:bidi w:val="0"/>
                              <w:spacing w:before="0" w:after="0"/>
                              <w:jc w:val="left"/>
                              <w:rPr/>
                            </w:pPr>
                            <w:r>
                              <w:rPr/>
                              <w:drawing>
                                <wp:inline distT="0" distB="0" distL="0" distR="0">
                                  <wp:extent cx="276225" cy="276225"/>
                                  <wp:effectExtent l="0" t="0" r="0" b="0"/>
                                  <wp:docPr id="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0" descr=""/>
                                          <pic:cNvPicPr>
                                            <a:picLocks noChangeAspect="1" noChangeArrowheads="1"/>
                                          </pic:cNvPicPr>
                                        </pic:nvPicPr>
                                        <pic:blipFill>
                                          <a:blip r:embed="rId23"/>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51" w:type="dxa"/>
                            <w:tcBorders>
                              <w:bottom w:val="single" w:sz="6" w:space="0" w:color="CCCCCC"/>
                            </w:tcBorders>
                            <w:tcMar>
                              <w:bottom w:w="28" w:type="dxa"/>
                            </w:tcMar>
                            <w:vAlign w:val="center"/>
                          </w:tcPr>
                          <w:p>
                            <w:pPr>
                              <w:pStyle w:val="TableContents"/>
                              <w:bidi w:val="0"/>
                              <w:spacing w:lineRule="atLeast" w:line="189" w:before="0" w:after="0"/>
                              <w:jc w:val="left"/>
                              <w:rPr/>
                            </w:pPr>
                            <w:r>
                              <w:rPr>
                                <w:b/>
                                <w:color w:val="002F56"/>
                                <w:spacing w:val="-2"/>
                              </w:rPr>
                              <w:t>FOR</w:t>
                            </w:r>
                            <w:r>
                              <w:rPr>
                                <w:spacing w:val="-1"/>
                              </w:rPr>
                              <w:t xml:space="preserve"> each director nominee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4" w:type="dxa"/>
                            <w:tcBorders>
                              <w:bottom w:val="single" w:sz="6" w:space="0" w:color="CCCCCC"/>
                            </w:tcBorders>
                            <w:tcMar>
                              <w:bottom w:w="28" w:type="dxa"/>
                            </w:tcMar>
                            <w:vAlign w:val="center"/>
                          </w:tcPr>
                          <w:p>
                            <w:pPr>
                              <w:pStyle w:val="TableContents"/>
                              <w:bidi w:val="0"/>
                              <w:spacing w:lineRule="atLeast" w:line="260" w:before="0" w:after="0"/>
                              <w:jc w:val="left"/>
                              <w:rPr>
                                <w:b/>
                                <w:color w:val="002F56"/>
                                <w:spacing w:val="-8"/>
                                <w:sz w:val="22"/>
                              </w:rPr>
                            </w:pPr>
                            <w:r>
                              <w:rPr>
                                <w:b/>
                                <w:color w:val="002F56"/>
                                <w:spacing w:val="-8"/>
                                <w:sz w:val="22"/>
                              </w:rPr>
                              <w:t xml:space="preserve">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585"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The ratification of the appointment of KPMG LLP as the independent registered public accounting firm for the 2026 fiscal year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81"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276225" cy="276225"/>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24"/>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51" w:type="dxa"/>
                            <w:tcBorders>
                              <w:bottom w:val="single" w:sz="6" w:space="0" w:color="CCCCCC"/>
                            </w:tcBorders>
                            <w:tcMar>
                              <w:bottom w:w="28" w:type="dxa"/>
                            </w:tcMar>
                            <w:vAlign w:val="center"/>
                          </w:tcPr>
                          <w:p>
                            <w:pPr>
                              <w:pStyle w:val="TableContents"/>
                              <w:bidi w:val="0"/>
                              <w:spacing w:lineRule="atLeast" w:line="189" w:before="0" w:after="0"/>
                              <w:jc w:val="left"/>
                              <w:rPr>
                                <w:b/>
                                <w:color w:val="002F56"/>
                              </w:rPr>
                            </w:pPr>
                            <w:r>
                              <w:rPr>
                                <w:b/>
                                <w:color w:val="002F56"/>
                                <w:spacing w:val="-2"/>
                              </w:rPr>
                              <w:t>FOR</w:t>
                            </w:r>
                            <w:r>
                              <w:rPr>
                                <w:b/>
                                <w:color w:val="002F56"/>
                              </w:rPr>
                              <w:t xml:space="preserve">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4" w:type="dxa"/>
                            <w:tcBorders>
                              <w:bottom w:val="single" w:sz="6" w:space="0" w:color="CCCCCC"/>
                            </w:tcBorders>
                            <w:tcMar>
                              <w:bottom w:w="28" w:type="dxa"/>
                            </w:tcMar>
                            <w:vAlign w:val="center"/>
                          </w:tcPr>
                          <w:p>
                            <w:pPr>
                              <w:pStyle w:val="TableContents"/>
                              <w:bidi w:val="0"/>
                              <w:spacing w:lineRule="atLeast" w:line="260" w:before="0" w:after="0"/>
                              <w:jc w:val="left"/>
                              <w:rPr>
                                <w:b/>
                                <w:color w:val="002F56"/>
                                <w:spacing w:val="-8"/>
                                <w:sz w:val="22"/>
                              </w:rPr>
                            </w:pPr>
                            <w:r>
                              <w:rPr>
                                <w:b/>
                                <w:color w:val="002F56"/>
                                <w:spacing w:val="-8"/>
                                <w:sz w:val="22"/>
                              </w:rPr>
                              <w:t xml:space="preserve">3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6585"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An advisory vote to approve 2025 named executive officer compensation (“Say-on-Pay” vote)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81"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276225" cy="276225"/>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5"/>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51" w:type="dxa"/>
                            <w:tcBorders>
                              <w:bottom w:val="single" w:sz="6" w:space="0" w:color="CCCCCC"/>
                            </w:tcBorders>
                            <w:tcMar>
                              <w:bottom w:w="28" w:type="dxa"/>
                            </w:tcMar>
                            <w:vAlign w:val="center"/>
                          </w:tcPr>
                          <w:p>
                            <w:pPr>
                              <w:pStyle w:val="TableContents"/>
                              <w:bidi w:val="0"/>
                              <w:spacing w:lineRule="atLeast" w:line="189" w:before="0" w:after="0"/>
                              <w:jc w:val="left"/>
                              <w:rPr>
                                <w:b/>
                                <w:color w:val="002F56"/>
                              </w:rPr>
                            </w:pPr>
                            <w:r>
                              <w:rPr>
                                <w:b/>
                                <w:color w:val="002F56"/>
                                <w:spacing w:val="-2"/>
                              </w:rPr>
                              <w:t>FOR</w:t>
                            </w:r>
                            <w:r>
                              <w:rPr>
                                <w:b/>
                                <w:color w:val="002F56"/>
                              </w:rPr>
                              <w:t xml:space="preserve">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4" w:type="dxa"/>
                            <w:tcBorders/>
                            <w:vAlign w:val="center"/>
                          </w:tcPr>
                          <w:p>
                            <w:pPr>
                              <w:pStyle w:val="TableContents"/>
                              <w:bidi w:val="0"/>
                              <w:spacing w:before="0" w:after="0"/>
                              <w:jc w:val="left"/>
                              <w:rPr>
                                <w:b/>
                                <w:color w:val="002F56"/>
                                <w:spacing w:val="-8"/>
                                <w:sz w:val="22"/>
                              </w:rPr>
                            </w:pPr>
                            <w:r>
                              <w:rPr>
                                <w:b/>
                                <w:color w:val="002F56"/>
                                <w:spacing w:val="-8"/>
                                <w:sz w:val="22"/>
                              </w:rPr>
                              <w:t xml:space="preserve">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85" w:type="dxa"/>
                            <w:tcBorders/>
                            <w:vAlign w:val="center"/>
                          </w:tcPr>
                          <w:p>
                            <w:pPr>
                              <w:pStyle w:val="TableContents"/>
                              <w:bidi w:val="0"/>
                              <w:spacing w:lineRule="atLeast" w:line="189" w:before="0" w:after="0"/>
                              <w:jc w:val="left"/>
                              <w:rPr>
                                <w:spacing w:val="-1"/>
                              </w:rPr>
                            </w:pPr>
                            <w:r>
                              <w:rPr>
                                <w:spacing w:val="-1"/>
                              </w:rPr>
                              <w:t xml:space="preserve">Any other business that properly comes before the meeting, either at the scheduled time or after any adjournment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0" w:type="dxa"/>
                            <w:gridSpan w:val="4"/>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2422"/>
        <w:jc w:val="left"/>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222">
                <wp:simplePos x="0" y="0"/>
                <wp:positionH relativeFrom="column">
                  <wp:align>left</wp:align>
                </wp:positionH>
                <wp:positionV relativeFrom="line">
                  <wp:posOffset>635</wp:posOffset>
                </wp:positionV>
                <wp:extent cx="3276600" cy="2373630"/>
                <wp:effectExtent l="0" t="0" r="0" b="0"/>
                <wp:wrapSquare wrapText="right"/>
                <wp:docPr id="37" name="Frame14"/>
                <a:graphic xmlns:a="http://schemas.openxmlformats.org/drawingml/2006/main">
                  <a:graphicData uri="http://schemas.microsoft.com/office/word/2010/wordprocessingShape">
                    <wps:wsp>
                      <wps:cNvSpPr txBox="1"/>
                      <wps:spPr>
                        <a:xfrm>
                          <a:off x="0" y="0"/>
                          <a:ext cx="3276600" cy="2373630"/>
                        </a:xfrm>
                        <a:prstGeom prst="rect"/>
                        <a:solidFill>
                          <a:srgbClr val="FFFFFF"/>
                        </a:solidFill>
                      </wps:spPr>
                      <wps:txbx>
                        <w:txbxContent>
                          <w:tbl>
                            <w:tblPr>
                              <w:tblW w:w="6178" w:type="dxa"/>
                              <w:jc w:val="left"/>
                              <w:tblInd w:w="0" w:type="dxa"/>
                              <w:tblLayout w:type="fixed"/>
                              <w:tblCellMar>
                                <w:top w:w="0" w:type="dxa"/>
                                <w:left w:w="0" w:type="dxa"/>
                                <w:bottom w:w="0" w:type="dxa"/>
                                <w:right w:w="0" w:type="dxa"/>
                              </w:tblCellMar>
                            </w:tblPr>
                            <w:tblGrid>
                              <w:gridCol w:w="124"/>
                              <w:gridCol w:w="1751"/>
                              <w:gridCol w:w="109"/>
                              <w:gridCol w:w="109"/>
                              <w:gridCol w:w="3931"/>
                              <w:gridCol w:w="154"/>
                            </w:tblGrid>
                            <w:tr>
                              <w:trPr/>
                              <w:tc>
                                <w:tcPr>
                                  <w:tcW w:w="124" w:type="dxa"/>
                                  <w:vMerge w:val="restart"/>
                                  <w:tcBorders/>
                                  <w:vAlign w:val="center"/>
                                </w:tcPr>
                                <w:p>
                                  <w:pPr>
                                    <w:pStyle w:val="TableContents"/>
                                    <w:bidi w:val="0"/>
                                    <w:spacing w:before="0" w:after="283"/>
                                    <w:jc w:val="left"/>
                                    <w:rPr/>
                                  </w:pPr>
                                  <w:r>
                                    <w:rPr/>
                                    <w:t>​</w:t>
                                  </w:r>
                                </w:p>
                              </w:tc>
                              <w:tc>
                                <w:tcPr>
                                  <w:tcW w:w="1751" w:type="dxa"/>
                                  <w:vMerge w:val="restart"/>
                                  <w:tcBorders/>
                                  <w:vAlign w:val="center"/>
                                </w:tcPr>
                                <w:p>
                                  <w:pPr>
                                    <w:pStyle w:val="TableContents"/>
                                    <w:bidi w:val="0"/>
                                    <w:spacing w:before="0" w:after="0"/>
                                    <w:jc w:val="left"/>
                                    <w:rPr/>
                                  </w:pPr>
                                  <w:r>
                                    <w:rPr/>
                                    <w:drawing>
                                      <wp:inline distT="0" distB="0" distL="0" distR="0">
                                        <wp:extent cx="1019175" cy="1457325"/>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26"/>
                                                <a:stretch>
                                                  <a:fillRect/>
                                                </a:stretch>
                                              </pic:blipFill>
                                              <pic:spPr bwMode="auto">
                                                <a:xfrm>
                                                  <a:off x="0" y="0"/>
                                                  <a:ext cx="1019175" cy="1457325"/>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31" w:type="dxa"/>
                                  <w:tcBorders/>
                                  <w:tcMar>
                                    <w:top w:w="28" w:type="dxa"/>
                                    <w:left w:w="28" w:type="dxa"/>
                                    <w:bottom w:w="28" w:type="dxa"/>
                                    <w:right w:w="28" w:type="dxa"/>
                                  </w:tcMar>
                                  <w:vAlign w:val="center"/>
                                </w:tcPr>
                                <w:p>
                                  <w:pPr>
                                    <w:pStyle w:val="TableContents"/>
                                    <w:bidi w:val="0"/>
                                    <w:spacing w:before="0" w:after="0"/>
                                    <w:jc w:val="left"/>
                                    <w:rPr>
                                      <w:spacing w:val="-1"/>
                                    </w:rPr>
                                  </w:pPr>
                                  <w:r>
                                    <w:rPr>
                                      <w:spacing w:val="-1"/>
                                    </w:rPr>
                                    <w:t xml:space="preserve">By Order of the Board of Directors, </w:t>
                                  </w:r>
                                </w:p>
                                <w:p>
                                  <w:pPr>
                                    <w:pStyle w:val="TableContents"/>
                                    <w:bidi w:val="0"/>
                                    <w:spacing w:before="60" w:after="283"/>
                                    <w:jc w:val="left"/>
                                    <w:rPr/>
                                  </w:pPr>
                                  <w:r>
                                    <w:rPr/>
                                    <w:drawing>
                                      <wp:inline distT="0" distB="0" distL="0" distR="0">
                                        <wp:extent cx="2105025" cy="4191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27"/>
                                                <a:stretch>
                                                  <a:fillRect/>
                                                </a:stretch>
                                              </pic:blipFill>
                                              <pic:spPr bwMode="auto">
                                                <a:xfrm>
                                                  <a:off x="0" y="0"/>
                                                  <a:ext cx="2105025" cy="4191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7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931" w:type="dxa"/>
                                  <w:tcBorders/>
                                  <w:tcMar>
                                    <w:top w:w="28" w:type="dxa"/>
                                    <w:left w:w="28" w:type="dxa"/>
                                    <w:bottom w:w="28" w:type="dxa"/>
                                    <w:right w:w="28" w:type="dxa"/>
                                  </w:tcMar>
                                  <w:vAlign w:val="center"/>
                                </w:tcPr>
                                <w:p>
                                  <w:pPr>
                                    <w:pStyle w:val="TableContents"/>
                                    <w:bidi w:val="0"/>
                                    <w:spacing w:lineRule="atLeast" w:line="200" w:before="0" w:after="0"/>
                                    <w:jc w:val="left"/>
                                    <w:rPr>
                                      <w:i/>
                                    </w:rPr>
                                  </w:pPr>
                                  <w:r>
                                    <w:rPr>
                                      <w:b/>
                                      <w:i w:val="false"/>
                                      <w:caps w:val="false"/>
                                      <w:smallCaps w:val="false"/>
                                      <w:color w:val="002F56"/>
                                      <w:spacing w:val="-2"/>
                                    </w:rPr>
                                    <w:t>TIMOTHY J. JORDAN</w:t>
                                  </w:r>
                                  <w:r>
                                    <w:rPr>
                                      <w:i/>
                                    </w:rPr>
                                    <w:t xml:space="preserve"> </w:t>
                                    <w:br/>
                                    <w:t>Vice President, General Counsel,</w:t>
                                    <w:br/>
                                    <w:t>Secretary and Chief Compliance Officer</w:t>
                                  </w:r>
                                </w:p>
                                <w:p>
                                  <w:pPr>
                                    <w:pStyle w:val="TableContents"/>
                                    <w:bidi w:val="0"/>
                                    <w:spacing w:lineRule="atLeast" w:line="200" w:before="80" w:after="283"/>
                                    <w:jc w:val="left"/>
                                    <w:rPr/>
                                  </w:pPr>
                                  <w:r>
                                    <w:rPr>
                                      <w:spacing w:val="-1"/>
                                    </w:rPr>
                                    <w:t xml:space="preserve">New York, New York </w:t>
                                    <w:br/>
                                    <w:t>April 2,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186.9pt;mso-wrap-distance-left:24pt;mso-wrap-distance-right:0pt;mso-wrap-distance-top:0pt;mso-wrap-distance-bottom:0pt;margin-top:0pt;mso-position-vertical:top;mso-position-vertical-relative:text;margin-left:24pt;mso-position-horizontal:left;mso-position-horizontal-relative:text">
                <v:textbox>
                  <w:txbxContent>
                    <w:tbl>
                      <w:tblPr>
                        <w:tblW w:w="6178" w:type="dxa"/>
                        <w:jc w:val="left"/>
                        <w:tblInd w:w="0" w:type="dxa"/>
                        <w:tblLayout w:type="fixed"/>
                        <w:tblCellMar>
                          <w:top w:w="0" w:type="dxa"/>
                          <w:left w:w="0" w:type="dxa"/>
                          <w:bottom w:w="0" w:type="dxa"/>
                          <w:right w:w="0" w:type="dxa"/>
                        </w:tblCellMar>
                      </w:tblPr>
                      <w:tblGrid>
                        <w:gridCol w:w="124"/>
                        <w:gridCol w:w="1751"/>
                        <w:gridCol w:w="109"/>
                        <w:gridCol w:w="109"/>
                        <w:gridCol w:w="3931"/>
                        <w:gridCol w:w="154"/>
                      </w:tblGrid>
                      <w:tr>
                        <w:trPr/>
                        <w:tc>
                          <w:tcPr>
                            <w:tcW w:w="124" w:type="dxa"/>
                            <w:vMerge w:val="restart"/>
                            <w:tcBorders/>
                            <w:vAlign w:val="center"/>
                          </w:tcPr>
                          <w:p>
                            <w:pPr>
                              <w:pStyle w:val="TableContents"/>
                              <w:bidi w:val="0"/>
                              <w:spacing w:before="0" w:after="283"/>
                              <w:jc w:val="left"/>
                              <w:rPr/>
                            </w:pPr>
                            <w:r>
                              <w:rPr/>
                              <w:t>​</w:t>
                            </w:r>
                          </w:p>
                        </w:tc>
                        <w:tc>
                          <w:tcPr>
                            <w:tcW w:w="1751" w:type="dxa"/>
                            <w:vMerge w:val="restart"/>
                            <w:tcBorders/>
                            <w:vAlign w:val="center"/>
                          </w:tcPr>
                          <w:p>
                            <w:pPr>
                              <w:pStyle w:val="TableContents"/>
                              <w:bidi w:val="0"/>
                              <w:spacing w:before="0" w:after="0"/>
                              <w:jc w:val="left"/>
                              <w:rPr/>
                            </w:pPr>
                            <w:r>
                              <w:rPr/>
                              <w:drawing>
                                <wp:inline distT="0" distB="0" distL="0" distR="0">
                                  <wp:extent cx="1019175" cy="1457325"/>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28"/>
                                          <a:stretch>
                                            <a:fillRect/>
                                          </a:stretch>
                                        </pic:blipFill>
                                        <pic:spPr bwMode="auto">
                                          <a:xfrm>
                                            <a:off x="0" y="0"/>
                                            <a:ext cx="1019175" cy="1457325"/>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31" w:type="dxa"/>
                            <w:tcBorders/>
                            <w:tcMar>
                              <w:top w:w="28" w:type="dxa"/>
                              <w:left w:w="28" w:type="dxa"/>
                              <w:bottom w:w="28" w:type="dxa"/>
                              <w:right w:w="28" w:type="dxa"/>
                            </w:tcMar>
                            <w:vAlign w:val="center"/>
                          </w:tcPr>
                          <w:p>
                            <w:pPr>
                              <w:pStyle w:val="TableContents"/>
                              <w:bidi w:val="0"/>
                              <w:spacing w:before="0" w:after="0"/>
                              <w:jc w:val="left"/>
                              <w:rPr>
                                <w:spacing w:val="-1"/>
                              </w:rPr>
                            </w:pPr>
                            <w:r>
                              <w:rPr>
                                <w:spacing w:val="-1"/>
                              </w:rPr>
                              <w:t xml:space="preserve">By Order of the Board of Directors, </w:t>
                            </w:r>
                          </w:p>
                          <w:p>
                            <w:pPr>
                              <w:pStyle w:val="TableContents"/>
                              <w:bidi w:val="0"/>
                              <w:spacing w:before="60" w:after="283"/>
                              <w:jc w:val="left"/>
                              <w:rPr/>
                            </w:pPr>
                            <w:r>
                              <w:rPr/>
                              <w:drawing>
                                <wp:inline distT="0" distB="0" distL="0" distR="0">
                                  <wp:extent cx="2105025" cy="419100"/>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29"/>
                                          <a:stretch>
                                            <a:fillRect/>
                                          </a:stretch>
                                        </pic:blipFill>
                                        <pic:spPr bwMode="auto">
                                          <a:xfrm>
                                            <a:off x="0" y="0"/>
                                            <a:ext cx="2105025" cy="4191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75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3931" w:type="dxa"/>
                            <w:tcBorders/>
                            <w:tcMar>
                              <w:top w:w="28" w:type="dxa"/>
                              <w:left w:w="28" w:type="dxa"/>
                              <w:bottom w:w="28" w:type="dxa"/>
                              <w:right w:w="28" w:type="dxa"/>
                            </w:tcMar>
                            <w:vAlign w:val="center"/>
                          </w:tcPr>
                          <w:p>
                            <w:pPr>
                              <w:pStyle w:val="TableContents"/>
                              <w:bidi w:val="0"/>
                              <w:spacing w:lineRule="atLeast" w:line="200" w:before="0" w:after="0"/>
                              <w:jc w:val="left"/>
                              <w:rPr>
                                <w:i/>
                              </w:rPr>
                            </w:pPr>
                            <w:r>
                              <w:rPr>
                                <w:b/>
                                <w:i w:val="false"/>
                                <w:caps w:val="false"/>
                                <w:smallCaps w:val="false"/>
                                <w:color w:val="002F56"/>
                                <w:spacing w:val="-2"/>
                              </w:rPr>
                              <w:t>TIMOTHY J. JORDAN</w:t>
                            </w:r>
                            <w:r>
                              <w:rPr>
                                <w:i/>
                              </w:rPr>
                              <w:t xml:space="preserve"> </w:t>
                              <w:br/>
                              <w:t>Vice President, General Counsel,</w:t>
                              <w:br/>
                              <w:t>Secretary and Chief Compliance Officer</w:t>
                            </w:r>
                          </w:p>
                          <w:p>
                            <w:pPr>
                              <w:pStyle w:val="TableContents"/>
                              <w:bidi w:val="0"/>
                              <w:spacing w:lineRule="atLeast" w:line="200" w:before="80" w:after="283"/>
                              <w:jc w:val="left"/>
                              <w:rPr/>
                            </w:pPr>
                            <w:r>
                              <w:rPr>
                                <w:spacing w:val="-1"/>
                              </w:rPr>
                              <w:t xml:space="preserve">New York, New York </w:t>
                              <w:br/>
                              <w:t>April 2,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647700" distR="0" simplePos="0" locked="0" layoutInCell="1" allowOverlap="1" relativeHeight="320">
                <wp:simplePos x="0" y="0"/>
                <wp:positionH relativeFrom="column">
                  <wp:align>left</wp:align>
                </wp:positionH>
                <wp:positionV relativeFrom="line">
                  <wp:posOffset>635</wp:posOffset>
                </wp:positionV>
                <wp:extent cx="2692400" cy="1464310"/>
                <wp:effectExtent l="0" t="0" r="0" b="0"/>
                <wp:wrapSquare wrapText="right"/>
                <wp:docPr id="42" name="Frame13"/>
                <a:graphic xmlns:a="http://schemas.openxmlformats.org/drawingml/2006/main">
                  <a:graphicData uri="http://schemas.microsoft.com/office/word/2010/wordprocessingShape">
                    <wps:wsp>
                      <wps:cNvSpPr txBox="1"/>
                      <wps:spPr>
                        <a:xfrm>
                          <a:off x="0" y="0"/>
                          <a:ext cx="2692400" cy="1464310"/>
                        </a:xfrm>
                        <a:prstGeom prst="rect"/>
                        <a:solidFill>
                          <a:srgbClr val="FFFFFF"/>
                        </a:solidFill>
                      </wps:spPr>
                      <wps:txbx>
                        <w:txbxContent>
                          <w:p>
                            <w:pPr>
                              <w:pStyle w:val="TextBody"/>
                              <w:bidi w:val="0"/>
                              <w:spacing w:lineRule="atLeast" w:line="210" w:before="0" w:after="0"/>
                              <w:jc w:val="left"/>
                              <w:rPr/>
                            </w:pPr>
                            <w:r>
                              <w:rPr>
                                <w:spacing w:val="-1"/>
                              </w:rPr>
                              <w:t> </w:t>
                            </w:r>
                            <w:r>
                              <w:rPr/>
                              <w:t xml:space="preserve"> </w:t>
                            </w:r>
                          </w:p>
                          <w:tbl>
                            <w:tblPr>
                              <w:tblW w:w="10205" w:type="dxa"/>
                              <w:jc w:val="left"/>
                              <w:tblInd w:w="0" w:type="dxa"/>
                              <w:tblLayout w:type="fixed"/>
                              <w:tblCellMar>
                                <w:top w:w="0" w:type="dxa"/>
                                <w:left w:w="0" w:type="dxa"/>
                                <w:bottom w:w="28" w:type="dxa"/>
                                <w:right w:w="0" w:type="dxa"/>
                              </w:tblCellMar>
                            </w:tblPr>
                            <w:tblGrid>
                              <w:gridCol w:w="124"/>
                              <w:gridCol w:w="9927"/>
                              <w:gridCol w:w="154"/>
                            </w:tblGrid>
                            <w:tr>
                              <w:trPr/>
                              <w:tc>
                                <w:tcPr>
                                  <w:tcW w:w="124" w:type="dxa"/>
                                  <w:tcBorders>
                                    <w:bottom w:val="single" w:sz="6" w:space="0" w:color="DF0000"/>
                                  </w:tcBorders>
                                  <w:shd w:fill="71B1C8" w:val="clear"/>
                                  <w:vAlign w:val="center"/>
                                </w:tcPr>
                                <w:p>
                                  <w:pPr>
                                    <w:pStyle w:val="TableContents"/>
                                    <w:bidi w:val="0"/>
                                    <w:spacing w:before="0" w:after="283"/>
                                    <w:jc w:val="left"/>
                                    <w:rPr/>
                                  </w:pPr>
                                  <w:r>
                                    <w:rPr/>
                                    <w:t>​</w:t>
                                  </w:r>
                                </w:p>
                              </w:tc>
                              <w:tc>
                                <w:tcPr>
                                  <w:tcW w:w="9927" w:type="dxa"/>
                                  <w:tcBorders>
                                    <w:bottom w:val="single" w:sz="6" w:space="0" w:color="DF0000"/>
                                  </w:tcBorders>
                                  <w:shd w:fill="71B1C8" w:val="clear"/>
                                  <w:tcMar>
                                    <w:bottom w:w="76" w:type="dxa"/>
                                  </w:tcMar>
                                  <w:vAlign w:val="center"/>
                                </w:tcPr>
                                <w:p>
                                  <w:pPr>
                                    <w:pStyle w:val="TableContents"/>
                                    <w:bidi w:val="0"/>
                                    <w:spacing w:lineRule="atLeast" w:line="210" w:before="0" w:after="0"/>
                                    <w:jc w:val="center"/>
                                    <w:rPr/>
                                  </w:pPr>
                                  <w:r>
                                    <w:rPr>
                                      <w:spacing w:val="-6"/>
                                    </w:rPr>
                                    <w:t xml:space="preserve">IMPORTANT NOTICE REGARDING THE AVAILABILITY </w:t>
                                    <w:br/>
                                    <w:t xml:space="preserve">OF PROXY MATERIALS FOR THE MINERALS </w:t>
                                    <w:br/>
                                    <w:t xml:space="preserve">TECHNOLOGIES INC. ANNUAL MEETING OF </w:t>
                                    <w:br/>
                                    <w:t>SHAREHOLDERS TO BE HELD ON MAY 20, 2026</w:t>
                                  </w:r>
                                  <w:r>
                                    <w:rPr/>
                                    <w:t xml:space="preserve"> </w:t>
                                  </w:r>
                                </w:p>
                              </w:tc>
                              <w:tc>
                                <w:tcPr>
                                  <w:tcW w:w="154" w:type="dxa"/>
                                  <w:tcBorders>
                                    <w:bottom w:val="single" w:sz="6" w:space="0" w:color="DF0000"/>
                                  </w:tcBorders>
                                  <w:shd w:fill="71B1C8"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9927" w:type="dxa"/>
                                  <w:tcBorders/>
                                  <w:shd w:fill="71B1C8" w:val="clear"/>
                                  <w:tcMar>
                                    <w:bottom w:w="0" w:type="dxa"/>
                                  </w:tcMar>
                                  <w:vAlign w:val="center"/>
                                </w:tcPr>
                                <w:p>
                                  <w:pPr>
                                    <w:pStyle w:val="TableContents"/>
                                    <w:bidi w:val="0"/>
                                    <w:spacing w:lineRule="atLeast" w:line="177" w:before="0" w:after="0"/>
                                    <w:jc w:val="center"/>
                                    <w:rPr/>
                                  </w:pPr>
                                  <w:r>
                                    <w:rPr>
                                      <w:spacing w:val="-1"/>
                                    </w:rPr>
                                    <w:t>The 2026 Proxy Statement and 2025 Annual Report to Shareholders are available at www.proxyvote.com</w:t>
                                  </w:r>
                                  <w:r>
                                    <w:rPr/>
                                    <w:t xml:space="preserve"> </w:t>
                                  </w:r>
                                </w:p>
                              </w:tc>
                              <w:tc>
                                <w:tcPr>
                                  <w:tcW w:w="154" w:type="dxa"/>
                                  <w:tcBorders/>
                                  <w:shd w:fill="71B1C8"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2pt;height:115.3pt;mso-wrap-distance-left:51pt;mso-wrap-distance-right:0pt;mso-wrap-distance-top:0pt;mso-wrap-distance-bottom:0pt;margin-top:0pt;mso-position-vertical:top;mso-position-vertical-relative:text;margin-left:277pt;mso-position-horizontal:left;mso-position-horizontal-relative:text">
                <v:textbox>
                  <w:txbxContent>
                    <w:p>
                      <w:pPr>
                        <w:pStyle w:val="TextBody"/>
                        <w:bidi w:val="0"/>
                        <w:spacing w:lineRule="atLeast" w:line="210" w:before="0" w:after="0"/>
                        <w:jc w:val="left"/>
                        <w:rPr/>
                      </w:pPr>
                      <w:r>
                        <w:rPr>
                          <w:spacing w:val="-1"/>
                        </w:rPr>
                        <w:t> </w:t>
                      </w:r>
                      <w:r>
                        <w:rPr/>
                        <w:t xml:space="preserve"> </w:t>
                      </w:r>
                    </w:p>
                    <w:tbl>
                      <w:tblPr>
                        <w:tblW w:w="10205" w:type="dxa"/>
                        <w:jc w:val="left"/>
                        <w:tblInd w:w="0" w:type="dxa"/>
                        <w:tblLayout w:type="fixed"/>
                        <w:tblCellMar>
                          <w:top w:w="0" w:type="dxa"/>
                          <w:left w:w="0" w:type="dxa"/>
                          <w:bottom w:w="28" w:type="dxa"/>
                          <w:right w:w="0" w:type="dxa"/>
                        </w:tblCellMar>
                      </w:tblPr>
                      <w:tblGrid>
                        <w:gridCol w:w="124"/>
                        <w:gridCol w:w="9927"/>
                        <w:gridCol w:w="154"/>
                      </w:tblGrid>
                      <w:tr>
                        <w:trPr/>
                        <w:tc>
                          <w:tcPr>
                            <w:tcW w:w="124" w:type="dxa"/>
                            <w:tcBorders>
                              <w:bottom w:val="single" w:sz="6" w:space="0" w:color="DF0000"/>
                            </w:tcBorders>
                            <w:shd w:fill="71B1C8" w:val="clear"/>
                            <w:vAlign w:val="center"/>
                          </w:tcPr>
                          <w:p>
                            <w:pPr>
                              <w:pStyle w:val="TableContents"/>
                              <w:bidi w:val="0"/>
                              <w:spacing w:before="0" w:after="283"/>
                              <w:jc w:val="left"/>
                              <w:rPr/>
                            </w:pPr>
                            <w:r>
                              <w:rPr/>
                              <w:t>​</w:t>
                            </w:r>
                          </w:p>
                        </w:tc>
                        <w:tc>
                          <w:tcPr>
                            <w:tcW w:w="9927" w:type="dxa"/>
                            <w:tcBorders>
                              <w:bottom w:val="single" w:sz="6" w:space="0" w:color="DF0000"/>
                            </w:tcBorders>
                            <w:shd w:fill="71B1C8" w:val="clear"/>
                            <w:tcMar>
                              <w:bottom w:w="76" w:type="dxa"/>
                            </w:tcMar>
                            <w:vAlign w:val="center"/>
                          </w:tcPr>
                          <w:p>
                            <w:pPr>
                              <w:pStyle w:val="TableContents"/>
                              <w:bidi w:val="0"/>
                              <w:spacing w:lineRule="atLeast" w:line="210" w:before="0" w:after="0"/>
                              <w:jc w:val="center"/>
                              <w:rPr/>
                            </w:pPr>
                            <w:r>
                              <w:rPr>
                                <w:spacing w:val="-6"/>
                              </w:rPr>
                              <w:t xml:space="preserve">IMPORTANT NOTICE REGARDING THE AVAILABILITY </w:t>
                              <w:br/>
                              <w:t xml:space="preserve">OF PROXY MATERIALS FOR THE MINERALS </w:t>
                              <w:br/>
                              <w:t xml:space="preserve">TECHNOLOGIES INC. ANNUAL MEETING OF </w:t>
                              <w:br/>
                              <w:t>SHAREHOLDERS TO BE HELD ON MAY 20, 2026</w:t>
                            </w:r>
                            <w:r>
                              <w:rPr/>
                              <w:t xml:space="preserve"> </w:t>
                            </w:r>
                          </w:p>
                        </w:tc>
                        <w:tc>
                          <w:tcPr>
                            <w:tcW w:w="154" w:type="dxa"/>
                            <w:tcBorders>
                              <w:bottom w:val="single" w:sz="6" w:space="0" w:color="DF0000"/>
                            </w:tcBorders>
                            <w:shd w:fill="71B1C8"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9927" w:type="dxa"/>
                            <w:tcBorders/>
                            <w:shd w:fill="71B1C8" w:val="clear"/>
                            <w:tcMar>
                              <w:bottom w:w="0" w:type="dxa"/>
                            </w:tcMar>
                            <w:vAlign w:val="center"/>
                          </w:tcPr>
                          <w:p>
                            <w:pPr>
                              <w:pStyle w:val="TableContents"/>
                              <w:bidi w:val="0"/>
                              <w:spacing w:lineRule="atLeast" w:line="177" w:before="0" w:after="0"/>
                              <w:jc w:val="center"/>
                              <w:rPr/>
                            </w:pPr>
                            <w:r>
                              <w:rPr>
                                <w:spacing w:val="-1"/>
                              </w:rPr>
                              <w:t>The 2026 Proxy Statement and 2025 Annual Report to Shareholders are available at www.proxyvote.com</w:t>
                            </w:r>
                            <w:r>
                              <w:rPr/>
                              <w:t xml:space="preserve"> </w:t>
                            </w:r>
                          </w:p>
                        </w:tc>
                        <w:tc>
                          <w:tcPr>
                            <w:tcW w:w="154" w:type="dxa"/>
                            <w:tcBorders/>
                            <w:shd w:fill="71B1C8"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TABLE OF CONTENTS</w:t>
      </w:r>
      <w:r>
        <w:rPr>
          <w:rFonts w:ascii="Arial;Helvetica;sans-serif" w:hAnsi="Arial;Helvetica;sans-serif"/>
          <w:b w:val="false"/>
          <w:i w:val="false"/>
          <w:caps w:val="false"/>
          <w:smallCaps w:val="false"/>
          <w:color w:val="000000"/>
          <w:spacing w:val="10"/>
          <w:sz w:val="52"/>
        </w:rPr>
        <w:t xml:space="preserve"> </w:t>
      </w:r>
    </w:p>
    <w:p>
      <w:pPr>
        <w:pStyle w:val="TextBody"/>
        <w:bidi w:val="0"/>
        <w:spacing w:before="0" w:after="4227"/>
        <w:jc w:val="left"/>
        <w:rPr>
          <w:caps w:val="false"/>
          <w:smallCaps w:val="false"/>
          <w:color w:val="000000"/>
        </w:rPr>
      </w:pPr>
      <w:r>
        <w:rPr>
          <w:caps w:val="false"/>
          <w:smallCaps w:val="false"/>
          <w:color w:val="000000"/>
        </w:rPr>
        <w:t>​</w:t>
      </w:r>
      <w:r>
        <mc:AlternateContent>
          <mc:Choice Requires="wps">
            <w:drawing>
              <wp:anchor behindDoc="0" distT="0" distB="0" distL="647700" distR="0" simplePos="0" locked="0" layoutInCell="1" allowOverlap="1" relativeHeight="321">
                <wp:simplePos x="0" y="0"/>
                <wp:positionH relativeFrom="column">
                  <wp:align>left</wp:align>
                </wp:positionH>
                <wp:positionV relativeFrom="line">
                  <wp:posOffset>635</wp:posOffset>
                </wp:positionV>
                <wp:extent cx="2984500" cy="9972040"/>
                <wp:effectExtent l="0" t="0" r="0" b="0"/>
                <wp:wrapSquare wrapText="right"/>
                <wp:docPr id="43" name="Frame15"/>
                <a:graphic xmlns:a="http://schemas.openxmlformats.org/drawingml/2006/main">
                  <a:graphicData uri="http://schemas.microsoft.com/office/word/2010/wordprocessingShape">
                    <wps:wsp>
                      <wps:cNvSpPr txBox="1"/>
                      <wps:spPr>
                        <a:xfrm>
                          <a:off x="0" y="0"/>
                          <a:ext cx="2984500" cy="9972040"/>
                        </a:xfrm>
                        <a:prstGeom prst="rect"/>
                        <a:solidFill>
                          <a:srgbClr val="FFFFFF"/>
                        </a:solidFill>
                      </wps:spPr>
                      <wps:txbx>
                        <w:txbxContent>
                          <w:tbl>
                            <w:tblPr>
                              <w:tblW w:w="7283" w:type="dxa"/>
                              <w:jc w:val="left"/>
                              <w:tblInd w:w="0" w:type="dxa"/>
                              <w:tblLayout w:type="fixed"/>
                              <w:tblCellMar>
                                <w:top w:w="0" w:type="dxa"/>
                                <w:left w:w="0" w:type="dxa"/>
                                <w:bottom w:w="0" w:type="dxa"/>
                                <w:right w:w="0" w:type="dxa"/>
                              </w:tblCellMar>
                            </w:tblPr>
                            <w:tblGrid>
                              <w:gridCol w:w="124"/>
                              <w:gridCol w:w="406"/>
                              <w:gridCol w:w="109"/>
                              <w:gridCol w:w="109"/>
                              <w:gridCol w:w="109"/>
                              <w:gridCol w:w="6272"/>
                              <w:gridCol w:w="154"/>
                            </w:tblGrid>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RSU">
                                    <w:r>
                                      <w:rPr>
                                        <w:rStyle w:val="InternetLink"/>
                                        <w:color w:val="000080"/>
                                      </w:rPr>
                                      <w:t>1</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PRSU">
                                    <w:r>
                                      <w:rPr>
                                        <w:rStyle w:val="InternetLink"/>
                                        <w:color w:val="002F56"/>
                                        <w:spacing w:val="-8"/>
                                      </w:rPr>
                                      <w:t>PROXY SUMMARY</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AMI">
                                    <w:r>
                                      <w:rPr>
                                        <w:rStyle w:val="InternetLink"/>
                                        <w:spacing w:val="-1"/>
                                      </w:rPr>
                                      <w:t>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AMI">
                                    <w:r>
                                      <w:rPr>
                                        <w:rStyle w:val="InternetLink"/>
                                        <w:spacing w:val="-1"/>
                                      </w:rPr>
                                      <w:t xml:space="preserve">Annual Meeting Information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OUCO">
                                    <w:r>
                                      <w:rPr>
                                        <w:rStyle w:val="InternetLink"/>
                                        <w:spacing w:val="-1"/>
                                      </w:rPr>
                                      <w:t>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OUCO">
                                    <w:r>
                                      <w:rPr>
                                        <w:rStyle w:val="InternetLink"/>
                                        <w:spacing w:val="-1"/>
                                      </w:rPr>
                                      <w:t xml:space="preserve">Our Company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ODO">
                                    <w:r>
                                      <w:rPr>
                                        <w:rStyle w:val="InternetLink"/>
                                        <w:spacing w:val="-1"/>
                                      </w:rPr>
                                      <w:t>4</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ODO">
                                    <w:r>
                                      <w:rPr>
                                        <w:rStyle w:val="InternetLink"/>
                                        <w:spacing w:val="-1"/>
                                      </w:rPr>
                                      <w:t xml:space="preserve">Board of Directors Overview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GO">
                                    <w:r>
                                      <w:rPr>
                                        <w:rStyle w:val="InternetLink"/>
                                        <w:spacing w:val="-1"/>
                                      </w:rPr>
                                      <w:t>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GO">
                                    <w:r>
                                      <w:rPr>
                                        <w:rStyle w:val="InternetLink"/>
                                        <w:spacing w:val="-1"/>
                                      </w:rPr>
                                      <w:t xml:space="preserve">Corporate Governance Overview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ECO">
                                    <w:r>
                                      <w:rPr>
                                        <w:rStyle w:val="InternetLink"/>
                                        <w:spacing w:val="-1"/>
                                      </w:rPr>
                                      <w:t>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ECO">
                                    <w:r>
                                      <w:rPr>
                                        <w:rStyle w:val="InternetLink"/>
                                        <w:spacing w:val="-1"/>
                                      </w:rPr>
                                      <w:t xml:space="preserve">Executive Compensation Overview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TBOD">
                                    <w:r>
                                      <w:rPr>
                                        <w:rStyle w:val="InternetLink"/>
                                        <w:color w:val="000080"/>
                                      </w:rPr>
                                      <w:t>9</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TBOD">
                                    <w:r>
                                      <w:rPr>
                                        <w:rStyle w:val="InternetLink"/>
                                        <w:color w:val="002F56"/>
                                        <w:spacing w:val="-8"/>
                                      </w:rPr>
                                      <w:t>THE BOARD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1EO">
                                    <w:r>
                                      <w:rPr>
                                        <w:rStyle w:val="InternetLink"/>
                                        <w:spacing w:val="-1"/>
                                      </w:rPr>
                                      <w:t>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0"/>
                                    <w:jc w:val="left"/>
                                    <w:rPr/>
                                  </w:pPr>
                                  <w:hyperlink w:anchor="tP1EO">
                                    <w:r>
                                      <w:rPr>
                                        <w:rStyle w:val="InternetLink"/>
                                        <w:b/>
                                        <w:spacing w:val="0"/>
                                      </w:rPr>
                                      <w:t>Proposal 1</w:t>
                                    </w:r>
                                  </w:hyperlink>
                                  <w:hyperlink w:anchor="tP1EO">
                                    <w:r>
                                      <w:rPr>
                                        <w:rStyle w:val="InternetLink"/>
                                        <w:b/>
                                        <w:spacing w:val="-2"/>
                                      </w:rPr>
                                      <w:t> — </w:t>
                                    </w:r>
                                  </w:hyperlink>
                                  <w:hyperlink w:anchor="tP1EO">
                                    <w:r>
                                      <w:rPr>
                                        <w:rStyle w:val="InternetLink"/>
                                        <w:b/>
                                        <w:spacing w:val="0"/>
                                      </w:rPr>
                                      <w:t>Election of Directors</w:t>
                                    </w:r>
                                  </w:hyperlink>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SODQ">
                                    <w:r>
                                      <w:rPr>
                                        <w:rStyle w:val="InternetLink"/>
                                        <w:spacing w:val="-1"/>
                                      </w:rPr>
                                      <w:t>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SODQ">
                                    <w:r>
                                      <w:rPr>
                                        <w:rStyle w:val="InternetLink"/>
                                        <w:spacing w:val="-1"/>
                                      </w:rPr>
                                      <w:t xml:space="preserve">Summary of Director Qualifications and Experience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NFT">
                                    <w:r>
                                      <w:rPr>
                                        <w:rStyle w:val="InternetLink"/>
                                        <w:spacing w:val="-1"/>
                                      </w:rPr>
                                      <w:t>11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NFT">
                                    <w:r>
                                      <w:rPr>
                                        <w:rStyle w:val="InternetLink"/>
                                        <w:spacing w:val="-1"/>
                                      </w:rPr>
                                      <w:t xml:space="preserve">Director Nominees for Terms Expiring in 2029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WTE">
                                    <w:r>
                                      <w:rPr>
                                        <w:rStyle w:val="InternetLink"/>
                                        <w:spacing w:val="-1"/>
                                      </w:rPr>
                                      <w:t>12</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WTE">
                                    <w:r>
                                      <w:rPr>
                                        <w:rStyle w:val="InternetLink"/>
                                        <w:spacing w:val="-1"/>
                                      </w:rPr>
                                      <w:t xml:space="preserve">Directors Whose Terms Expire in 2027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WTE1">
                                    <w:r>
                                      <w:rPr>
                                        <w:rStyle w:val="InternetLink"/>
                                        <w:spacing w:val="-1"/>
                                      </w:rPr>
                                      <w:t>13</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WTE1">
                                    <w:r>
                                      <w:rPr>
                                        <w:rStyle w:val="InternetLink"/>
                                        <w:spacing w:val="-1"/>
                                      </w:rPr>
                                      <w:t xml:space="preserve">Directors Whose Terms Expire in 2028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WTE3">
                                    <w:r>
                                      <w:rPr>
                                        <w:rStyle w:val="InternetLink"/>
                                        <w:spacing w:val="-1"/>
                                      </w:rPr>
                                      <w:t>15</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lineRule="atLeast" w:line="204" w:before="0" w:after="0"/>
                                    <w:jc w:val="left"/>
                                    <w:rPr/>
                                  </w:pPr>
                                  <w:hyperlink w:anchor="tDWTE3">
                                    <w:r>
                                      <w:rPr>
                                        <w:rStyle w:val="InternetLink"/>
                                        <w:spacing w:val="-1"/>
                                      </w:rPr>
                                      <w:t>Directors Whose Terms Expire at the 2026 Annual Meeting</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GTB">
                                    <w:r>
                                      <w:rPr>
                                        <w:rStyle w:val="InternetLink"/>
                                        <w:color w:val="000080"/>
                                      </w:rPr>
                                      <w:t>16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GTB">
                                    <w:r>
                                      <w:rPr>
                                        <w:rStyle w:val="InternetLink"/>
                                        <w:color w:val="002F56"/>
                                        <w:spacing w:val="-8"/>
                                      </w:rPr>
                                      <w:t>CORPORATE GOVERNANCE</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OBOD">
                                    <w:r>
                                      <w:rPr>
                                        <w:rStyle w:val="InternetLink"/>
                                        <w:spacing w:val="-1"/>
                                      </w:rPr>
                                      <w:t>16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OBOD">
                                    <w:r>
                                      <w:rPr>
                                        <w:rStyle w:val="InternetLink"/>
                                        <w:spacing w:val="-1"/>
                                      </w:rPr>
                                      <w:t xml:space="preserve">Our Board of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MAA">
                                    <w:r>
                                      <w:rPr>
                                        <w:rStyle w:val="InternetLink"/>
                                        <w:spacing w:val="-1"/>
                                      </w:rPr>
                                      <w:t>17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MAA">
                                    <w:r>
                                      <w:rPr>
                                        <w:rStyle w:val="InternetLink"/>
                                        <w:spacing w:val="-1"/>
                                      </w:rPr>
                                      <w:t xml:space="preserve">Meetings and Attendance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IIN">
                                    <w:r>
                                      <w:rPr>
                                        <w:rStyle w:val="InternetLink"/>
                                        <w:spacing w:val="-1"/>
                                      </w:rPr>
                                      <w:t>17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IIN">
                                    <w:r>
                                      <w:rPr>
                                        <w:rStyle w:val="InternetLink"/>
                                        <w:spacing w:val="-1"/>
                                      </w:rPr>
                                      <w:t xml:space="preserve">Director Independence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LS">
                                    <w:r>
                                      <w:rPr>
                                        <w:rStyle w:val="InternetLink"/>
                                        <w:spacing w:val="-1"/>
                                      </w:rPr>
                                      <w:t>17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LS">
                                    <w:r>
                                      <w:rPr>
                                        <w:rStyle w:val="InternetLink"/>
                                        <w:spacing w:val="-1"/>
                                      </w:rPr>
                                      <w:t xml:space="preserve">Board Leadership Structure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SAC">
                                    <w:r>
                                      <w:rPr>
                                        <w:rStyle w:val="InternetLink"/>
                                        <w:spacing w:val="-1"/>
                                      </w:rPr>
                                      <w:t>18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SAC">
                                    <w:r>
                                      <w:rPr>
                                        <w:rStyle w:val="InternetLink"/>
                                        <w:spacing w:val="-1"/>
                                      </w:rPr>
                                      <w:t xml:space="preserve">Board Size and Committees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ORE">
                                    <w:r>
                                      <w:rPr>
                                        <w:rStyle w:val="InternetLink"/>
                                        <w:spacing w:val="-1"/>
                                      </w:rPr>
                                      <w:t>19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ORE">
                                    <w:r>
                                      <w:rPr>
                                        <w:rStyle w:val="InternetLink"/>
                                        <w:spacing w:val="-1"/>
                                      </w:rPr>
                                      <w:t xml:space="preserve">Board Refreshment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IAEO">
                                    <w:r>
                                      <w:rPr>
                                        <w:rStyle w:val="InternetLink"/>
                                        <w:spacing w:val="-1"/>
                                      </w:rPr>
                                      <w:t>19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IAEO">
                                    <w:r>
                                      <w:rPr>
                                        <w:rStyle w:val="InternetLink"/>
                                        <w:spacing w:val="-1"/>
                                      </w:rPr>
                                      <w:t xml:space="preserve">Identification and Evaluation of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IQU">
                                    <w:r>
                                      <w:rPr>
                                        <w:rStyle w:val="InternetLink"/>
                                        <w:spacing w:val="-1"/>
                                      </w:rPr>
                                      <w:t>20</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IQU">
                                    <w:r>
                                      <w:rPr>
                                        <w:rStyle w:val="InternetLink"/>
                                        <w:spacing w:val="-1"/>
                                      </w:rPr>
                                      <w:t xml:space="preserve">Director Qualifications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OTB">
                                    <w:r>
                                      <w:rPr>
                                        <w:rStyle w:val="InternetLink"/>
                                        <w:spacing w:val="-1"/>
                                      </w:rPr>
                                      <w:t>20</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OTB">
                                    <w:r>
                                      <w:rPr>
                                        <w:rStyle w:val="InternetLink"/>
                                        <w:spacing w:val="-1"/>
                                      </w:rPr>
                                      <w:t xml:space="preserve">Committees of the Board of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ACS">
                                    <w:r>
                                      <w:rPr>
                                        <w:rStyle w:val="InternetLink"/>
                                        <w:spacing w:val="-1"/>
                                      </w:rPr>
                                      <w:t>22</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ACS">
                                    <w:r>
                                      <w:rPr>
                                        <w:rStyle w:val="InternetLink"/>
                                        <w:spacing w:val="-1"/>
                                      </w:rPr>
                                      <w:t xml:space="preserve">Board and Committee Self-Evaluation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SOR">
                                    <w:r>
                                      <w:rPr>
                                        <w:rStyle w:val="InternetLink"/>
                                        <w:spacing w:val="-1"/>
                                      </w:rPr>
                                      <w:t>22</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SOR">
                                    <w:r>
                                      <w:rPr>
                                        <w:rStyle w:val="InternetLink"/>
                                        <w:spacing w:val="-1"/>
                                      </w:rPr>
                                      <w:t xml:space="preserve">Director Stock Ownership Requirements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TBRI">
                                    <w:r>
                                      <w:rPr>
                                        <w:rStyle w:val="InternetLink"/>
                                        <w:spacing w:val="-1"/>
                                      </w:rPr>
                                      <w:t>23</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TBRI">
                                    <w:r>
                                      <w:rPr>
                                        <w:rStyle w:val="InternetLink"/>
                                        <w:spacing w:val="-1"/>
                                      </w:rPr>
                                      <w:t xml:space="preserve">The Board’s Role in Risk Oversight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TBRI1">
                                    <w:r>
                                      <w:rPr>
                                        <w:rStyle w:val="InternetLink"/>
                                        <w:spacing w:val="-1"/>
                                      </w:rPr>
                                      <w:t>24</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TBRI1">
                                    <w:r>
                                      <w:rPr>
                                        <w:rStyle w:val="InternetLink"/>
                                        <w:spacing w:val="-1"/>
                                      </w:rPr>
                                      <w:t xml:space="preserve">The Board’s Role in Succession Planning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OCU">
                                    <w:r>
                                      <w:rPr>
                                        <w:rStyle w:val="InternetLink"/>
                                        <w:spacing w:val="-1"/>
                                      </w:rPr>
                                      <w:t>24</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OCU">
                                    <w:r>
                                      <w:rPr>
                                        <w:rStyle w:val="InternetLink"/>
                                        <w:spacing w:val="-1"/>
                                      </w:rPr>
                                      <w:t xml:space="preserve">Corporate Culture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SPAN">
                                    <w:r>
                                      <w:rPr>
                                        <w:rStyle w:val="InternetLink"/>
                                        <w:spacing w:val="-1"/>
                                      </w:rPr>
                                      <w:t>27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SPAN">
                                    <w:r>
                                      <w:rPr>
                                        <w:rStyle w:val="InternetLink"/>
                                        <w:spacing w:val="-1"/>
                                      </w:rPr>
                                      <w:t xml:space="preserve">Shareholder Proposals and Nominations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RAC">
                                    <w:r>
                                      <w:rPr>
                                        <w:rStyle w:val="InternetLink"/>
                                        <w:spacing w:val="-1"/>
                                      </w:rPr>
                                      <w:t>28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PRAC">
                                    <w:r>
                                      <w:rPr>
                                        <w:rStyle w:val="InternetLink"/>
                                        <w:spacing w:val="-1"/>
                                      </w:rPr>
                                      <w:t xml:space="preserve">Proxy Access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MAVO">
                                    <w:r>
                                      <w:rPr>
                                        <w:rStyle w:val="InternetLink"/>
                                        <w:spacing w:val="-1"/>
                                      </w:rPr>
                                      <w:t>28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MAVO">
                                    <w:r>
                                      <w:rPr>
                                        <w:rStyle w:val="InternetLink"/>
                                        <w:spacing w:val="-1"/>
                                      </w:rPr>
                                      <w:t xml:space="preserve">Majority Voting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WD">
                                    <w:r>
                                      <w:rPr>
                                        <w:rStyle w:val="InternetLink"/>
                                        <w:spacing w:val="-1"/>
                                      </w:rPr>
                                      <w:t>28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WD">
                                    <w:r>
                                      <w:rPr>
                                        <w:rStyle w:val="InternetLink"/>
                                        <w:spacing w:val="-1"/>
                                      </w:rPr>
                                      <w:t xml:space="preserve">Communications with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RAR">
                                    <w:r>
                                      <w:rPr>
                                        <w:rStyle w:val="InternetLink"/>
                                        <w:spacing w:val="-1"/>
                                      </w:rPr>
                                      <w:t>29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RAR">
                                    <w:r>
                                      <w:rPr>
                                        <w:rStyle w:val="InternetLink"/>
                                        <w:spacing w:val="-1"/>
                                      </w:rPr>
                                      <w:t xml:space="preserve">Certain Relationships and Related Transactions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C2">
                                    <w:r>
                                      <w:rPr>
                                        <w:rStyle w:val="InternetLink"/>
                                        <w:spacing w:val="-1"/>
                                      </w:rPr>
                                      <w:t>29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C2">
                                    <w:r>
                                      <w:rPr>
                                        <w:rStyle w:val="InternetLink"/>
                                        <w:spacing w:val="-1"/>
                                      </w:rPr>
                                      <w:t xml:space="preserve">Director Compensation — 2025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ROTC">
                                    <w:r>
                                      <w:rPr>
                                        <w:rStyle w:val="InternetLink"/>
                                        <w:spacing w:val="-1"/>
                                      </w:rPr>
                                      <w:t>31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lineRule="atLeast" w:line="204" w:before="0" w:after="0"/>
                                    <w:jc w:val="left"/>
                                    <w:rPr/>
                                  </w:pPr>
                                  <w:hyperlink w:anchor="tROTC">
                                    <w:r>
                                      <w:rPr>
                                        <w:rStyle w:val="InternetLink"/>
                                        <w:spacing w:val="-1"/>
                                      </w:rPr>
                                      <w:t xml:space="preserve">Report of the Corporate Governance and Nominating Committee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ACM">
                                    <w:r>
                                      <w:rPr>
                                        <w:rStyle w:val="InternetLink"/>
                                        <w:color w:val="000080"/>
                                      </w:rPr>
                                      <w:t>32</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ACM">
                                    <w:r>
                                      <w:rPr>
                                        <w:rStyle w:val="InternetLink"/>
                                        <w:color w:val="002F56"/>
                                        <w:spacing w:val="-8"/>
                                      </w:rPr>
                                      <w:t>AUDIT COMMITTEE MATTERS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2RO">
                                    <w:r>
                                      <w:rPr>
                                        <w:rStyle w:val="InternetLink"/>
                                        <w:b w:val="false"/>
                                        <w:spacing w:val="-1"/>
                                      </w:rPr>
                                      <w:t>32</w:t>
                                    </w:r>
                                  </w:hyperlink>
                                  <w:r>
                                    <w:rPr>
                                      <w:b w:val="false"/>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lineRule="atLeast" w:line="204" w:before="0" w:after="0"/>
                                    <w:jc w:val="left"/>
                                    <w:rPr/>
                                  </w:pPr>
                                  <w:hyperlink w:anchor="tP2RO">
                                    <w:r>
                                      <w:rPr>
                                        <w:rStyle w:val="InternetLink"/>
                                        <w:spacing w:val="0"/>
                                      </w:rPr>
                                      <w:t>Proposal 2</w:t>
                                    </w:r>
                                  </w:hyperlink>
                                  <w:hyperlink w:anchor="tP2RO">
                                    <w:r>
                                      <w:rPr>
                                        <w:rStyle w:val="InternetLink"/>
                                        <w:spacing w:val="-2"/>
                                      </w:rPr>
                                      <w:t> — </w:t>
                                    </w:r>
                                  </w:hyperlink>
                                  <w:hyperlink w:anchor="tP2RO">
                                    <w:r>
                                      <w:rPr>
                                        <w:rStyle w:val="InternetLink"/>
                                        <w:spacing w:val="0"/>
                                      </w:rPr>
                                      <w:t>Ratification of Appointment of Auditors</w:t>
                                    </w:r>
                                  </w:hyperlink>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5pt;height:785.2pt;mso-wrap-distance-left:51pt;mso-wrap-distance-right:0pt;mso-wrap-distance-top:0pt;mso-wrap-distance-bottom:0pt;margin-top:0pt;mso-position-vertical:top;mso-position-vertical-relative:text;margin-left:51pt;mso-position-horizontal:left;mso-position-horizontal-relative:text">
                <v:textbox>
                  <w:txbxContent>
                    <w:tbl>
                      <w:tblPr>
                        <w:tblW w:w="7283" w:type="dxa"/>
                        <w:jc w:val="left"/>
                        <w:tblInd w:w="0" w:type="dxa"/>
                        <w:tblLayout w:type="fixed"/>
                        <w:tblCellMar>
                          <w:top w:w="0" w:type="dxa"/>
                          <w:left w:w="0" w:type="dxa"/>
                          <w:bottom w:w="0" w:type="dxa"/>
                          <w:right w:w="0" w:type="dxa"/>
                        </w:tblCellMar>
                      </w:tblPr>
                      <w:tblGrid>
                        <w:gridCol w:w="124"/>
                        <w:gridCol w:w="406"/>
                        <w:gridCol w:w="109"/>
                        <w:gridCol w:w="109"/>
                        <w:gridCol w:w="109"/>
                        <w:gridCol w:w="6272"/>
                        <w:gridCol w:w="154"/>
                      </w:tblGrid>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RSU">
                              <w:r>
                                <w:rPr>
                                  <w:rStyle w:val="InternetLink"/>
                                  <w:color w:val="000080"/>
                                </w:rPr>
                                <w:t>1</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PRSU">
                              <w:r>
                                <w:rPr>
                                  <w:rStyle w:val="InternetLink"/>
                                  <w:color w:val="002F56"/>
                                  <w:spacing w:val="-8"/>
                                </w:rPr>
                                <w:t>PROXY SUMMARY</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AMI">
                              <w:r>
                                <w:rPr>
                                  <w:rStyle w:val="InternetLink"/>
                                  <w:spacing w:val="-1"/>
                                </w:rPr>
                                <w:t>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AMI">
                              <w:r>
                                <w:rPr>
                                  <w:rStyle w:val="InternetLink"/>
                                  <w:spacing w:val="-1"/>
                                </w:rPr>
                                <w:t xml:space="preserve">Annual Meeting Information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OUCO">
                              <w:r>
                                <w:rPr>
                                  <w:rStyle w:val="InternetLink"/>
                                  <w:spacing w:val="-1"/>
                                </w:rPr>
                                <w:t>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OUCO">
                              <w:r>
                                <w:rPr>
                                  <w:rStyle w:val="InternetLink"/>
                                  <w:spacing w:val="-1"/>
                                </w:rPr>
                                <w:t xml:space="preserve">Our Company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ODO">
                              <w:r>
                                <w:rPr>
                                  <w:rStyle w:val="InternetLink"/>
                                  <w:spacing w:val="-1"/>
                                </w:rPr>
                                <w:t>4</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ODO">
                              <w:r>
                                <w:rPr>
                                  <w:rStyle w:val="InternetLink"/>
                                  <w:spacing w:val="-1"/>
                                </w:rPr>
                                <w:t xml:space="preserve">Board of Directors Overview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GO">
                              <w:r>
                                <w:rPr>
                                  <w:rStyle w:val="InternetLink"/>
                                  <w:spacing w:val="-1"/>
                                </w:rPr>
                                <w:t>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GO">
                              <w:r>
                                <w:rPr>
                                  <w:rStyle w:val="InternetLink"/>
                                  <w:spacing w:val="-1"/>
                                </w:rPr>
                                <w:t xml:space="preserve">Corporate Governance Overview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ECO">
                              <w:r>
                                <w:rPr>
                                  <w:rStyle w:val="InternetLink"/>
                                  <w:spacing w:val="-1"/>
                                </w:rPr>
                                <w:t>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ECO">
                              <w:r>
                                <w:rPr>
                                  <w:rStyle w:val="InternetLink"/>
                                  <w:spacing w:val="-1"/>
                                </w:rPr>
                                <w:t xml:space="preserve">Executive Compensation Overview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TBOD">
                              <w:r>
                                <w:rPr>
                                  <w:rStyle w:val="InternetLink"/>
                                  <w:color w:val="000080"/>
                                </w:rPr>
                                <w:t>9</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TBOD">
                              <w:r>
                                <w:rPr>
                                  <w:rStyle w:val="InternetLink"/>
                                  <w:color w:val="002F56"/>
                                  <w:spacing w:val="-8"/>
                                </w:rPr>
                                <w:t>THE BOARD OF DIRECTORS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1EO">
                              <w:r>
                                <w:rPr>
                                  <w:rStyle w:val="InternetLink"/>
                                  <w:spacing w:val="-1"/>
                                </w:rPr>
                                <w:t>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0"/>
                              <w:jc w:val="left"/>
                              <w:rPr/>
                            </w:pPr>
                            <w:hyperlink w:anchor="tP1EO">
                              <w:r>
                                <w:rPr>
                                  <w:rStyle w:val="InternetLink"/>
                                  <w:b/>
                                  <w:spacing w:val="0"/>
                                </w:rPr>
                                <w:t>Proposal 1</w:t>
                              </w:r>
                            </w:hyperlink>
                            <w:hyperlink w:anchor="tP1EO">
                              <w:r>
                                <w:rPr>
                                  <w:rStyle w:val="InternetLink"/>
                                  <w:b/>
                                  <w:spacing w:val="-2"/>
                                </w:rPr>
                                <w:t> — </w:t>
                              </w:r>
                            </w:hyperlink>
                            <w:hyperlink w:anchor="tP1EO">
                              <w:r>
                                <w:rPr>
                                  <w:rStyle w:val="InternetLink"/>
                                  <w:b/>
                                  <w:spacing w:val="0"/>
                                </w:rPr>
                                <w:t>Election of Directors</w:t>
                              </w:r>
                            </w:hyperlink>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SODQ">
                              <w:r>
                                <w:rPr>
                                  <w:rStyle w:val="InternetLink"/>
                                  <w:spacing w:val="-1"/>
                                </w:rPr>
                                <w:t>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SODQ">
                              <w:r>
                                <w:rPr>
                                  <w:rStyle w:val="InternetLink"/>
                                  <w:spacing w:val="-1"/>
                                </w:rPr>
                                <w:t xml:space="preserve">Summary of Director Qualifications and Experience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NFT">
                              <w:r>
                                <w:rPr>
                                  <w:rStyle w:val="InternetLink"/>
                                  <w:spacing w:val="-1"/>
                                </w:rPr>
                                <w:t>11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NFT">
                              <w:r>
                                <w:rPr>
                                  <w:rStyle w:val="InternetLink"/>
                                  <w:spacing w:val="-1"/>
                                </w:rPr>
                                <w:t xml:space="preserve">Director Nominees for Terms Expiring in 2029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WTE">
                              <w:r>
                                <w:rPr>
                                  <w:rStyle w:val="InternetLink"/>
                                  <w:spacing w:val="-1"/>
                                </w:rPr>
                                <w:t>12</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WTE">
                              <w:r>
                                <w:rPr>
                                  <w:rStyle w:val="InternetLink"/>
                                  <w:spacing w:val="-1"/>
                                </w:rPr>
                                <w:t xml:space="preserve">Directors Whose Terms Expire in 2027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WTE1">
                              <w:r>
                                <w:rPr>
                                  <w:rStyle w:val="InternetLink"/>
                                  <w:spacing w:val="-1"/>
                                </w:rPr>
                                <w:t>13</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WTE1">
                              <w:r>
                                <w:rPr>
                                  <w:rStyle w:val="InternetLink"/>
                                  <w:spacing w:val="-1"/>
                                </w:rPr>
                                <w:t xml:space="preserve">Directors Whose Terms Expire in 2028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WTE3">
                              <w:r>
                                <w:rPr>
                                  <w:rStyle w:val="InternetLink"/>
                                  <w:spacing w:val="-1"/>
                                </w:rPr>
                                <w:t>15</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lineRule="atLeast" w:line="204" w:before="0" w:after="0"/>
                              <w:jc w:val="left"/>
                              <w:rPr/>
                            </w:pPr>
                            <w:hyperlink w:anchor="tDWTE3">
                              <w:r>
                                <w:rPr>
                                  <w:rStyle w:val="InternetLink"/>
                                  <w:spacing w:val="-1"/>
                                </w:rPr>
                                <w:t>Directors Whose Terms Expire at the 2026 Annual Meeting</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GTB">
                              <w:r>
                                <w:rPr>
                                  <w:rStyle w:val="InternetLink"/>
                                  <w:color w:val="000080"/>
                                </w:rPr>
                                <w:t>16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GTB">
                              <w:r>
                                <w:rPr>
                                  <w:rStyle w:val="InternetLink"/>
                                  <w:color w:val="002F56"/>
                                  <w:spacing w:val="-8"/>
                                </w:rPr>
                                <w:t>CORPORATE GOVERNANCE</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OBOD">
                              <w:r>
                                <w:rPr>
                                  <w:rStyle w:val="InternetLink"/>
                                  <w:spacing w:val="-1"/>
                                </w:rPr>
                                <w:t>16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OBOD">
                              <w:r>
                                <w:rPr>
                                  <w:rStyle w:val="InternetLink"/>
                                  <w:spacing w:val="-1"/>
                                </w:rPr>
                                <w:t xml:space="preserve">Our Board of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MAA">
                              <w:r>
                                <w:rPr>
                                  <w:rStyle w:val="InternetLink"/>
                                  <w:spacing w:val="-1"/>
                                </w:rPr>
                                <w:t>17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MAA">
                              <w:r>
                                <w:rPr>
                                  <w:rStyle w:val="InternetLink"/>
                                  <w:spacing w:val="-1"/>
                                </w:rPr>
                                <w:t xml:space="preserve">Meetings and Attendance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IIN">
                              <w:r>
                                <w:rPr>
                                  <w:rStyle w:val="InternetLink"/>
                                  <w:spacing w:val="-1"/>
                                </w:rPr>
                                <w:t>17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IIN">
                              <w:r>
                                <w:rPr>
                                  <w:rStyle w:val="InternetLink"/>
                                  <w:spacing w:val="-1"/>
                                </w:rPr>
                                <w:t xml:space="preserve">Director Independence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LS">
                              <w:r>
                                <w:rPr>
                                  <w:rStyle w:val="InternetLink"/>
                                  <w:spacing w:val="-1"/>
                                </w:rPr>
                                <w:t>17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LS">
                              <w:r>
                                <w:rPr>
                                  <w:rStyle w:val="InternetLink"/>
                                  <w:spacing w:val="-1"/>
                                </w:rPr>
                                <w:t xml:space="preserve">Board Leadership Structure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SAC">
                              <w:r>
                                <w:rPr>
                                  <w:rStyle w:val="InternetLink"/>
                                  <w:spacing w:val="-1"/>
                                </w:rPr>
                                <w:t>18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SAC">
                              <w:r>
                                <w:rPr>
                                  <w:rStyle w:val="InternetLink"/>
                                  <w:spacing w:val="-1"/>
                                </w:rPr>
                                <w:t xml:space="preserve">Board Size and Committees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ORE">
                              <w:r>
                                <w:rPr>
                                  <w:rStyle w:val="InternetLink"/>
                                  <w:spacing w:val="-1"/>
                                </w:rPr>
                                <w:t>19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ORE">
                              <w:r>
                                <w:rPr>
                                  <w:rStyle w:val="InternetLink"/>
                                  <w:spacing w:val="-1"/>
                                </w:rPr>
                                <w:t xml:space="preserve">Board Refreshment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IAEO">
                              <w:r>
                                <w:rPr>
                                  <w:rStyle w:val="InternetLink"/>
                                  <w:spacing w:val="-1"/>
                                </w:rPr>
                                <w:t>19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IAEO">
                              <w:r>
                                <w:rPr>
                                  <w:rStyle w:val="InternetLink"/>
                                  <w:spacing w:val="-1"/>
                                </w:rPr>
                                <w:t xml:space="preserve">Identification and Evaluation of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IQU">
                              <w:r>
                                <w:rPr>
                                  <w:rStyle w:val="InternetLink"/>
                                  <w:spacing w:val="-1"/>
                                </w:rPr>
                                <w:t>20</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IQU">
                              <w:r>
                                <w:rPr>
                                  <w:rStyle w:val="InternetLink"/>
                                  <w:spacing w:val="-1"/>
                                </w:rPr>
                                <w:t xml:space="preserve">Director Qualifications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OTB">
                              <w:r>
                                <w:rPr>
                                  <w:rStyle w:val="InternetLink"/>
                                  <w:spacing w:val="-1"/>
                                </w:rPr>
                                <w:t>20</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OTB">
                              <w:r>
                                <w:rPr>
                                  <w:rStyle w:val="InternetLink"/>
                                  <w:spacing w:val="-1"/>
                                </w:rPr>
                                <w:t xml:space="preserve">Committees of the Board of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BACS">
                              <w:r>
                                <w:rPr>
                                  <w:rStyle w:val="InternetLink"/>
                                  <w:spacing w:val="-1"/>
                                </w:rPr>
                                <w:t>22</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BACS">
                              <w:r>
                                <w:rPr>
                                  <w:rStyle w:val="InternetLink"/>
                                  <w:spacing w:val="-1"/>
                                </w:rPr>
                                <w:t xml:space="preserve">Board and Committee Self-Evaluation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SOR">
                              <w:r>
                                <w:rPr>
                                  <w:rStyle w:val="InternetLink"/>
                                  <w:spacing w:val="-1"/>
                                </w:rPr>
                                <w:t>22</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SOR">
                              <w:r>
                                <w:rPr>
                                  <w:rStyle w:val="InternetLink"/>
                                  <w:spacing w:val="-1"/>
                                </w:rPr>
                                <w:t xml:space="preserve">Director Stock Ownership Requirements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TBRI">
                              <w:r>
                                <w:rPr>
                                  <w:rStyle w:val="InternetLink"/>
                                  <w:spacing w:val="-1"/>
                                </w:rPr>
                                <w:t>23</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TBRI">
                              <w:r>
                                <w:rPr>
                                  <w:rStyle w:val="InternetLink"/>
                                  <w:spacing w:val="-1"/>
                                </w:rPr>
                                <w:t xml:space="preserve">The Board’s Role in Risk Oversight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TBRI1">
                              <w:r>
                                <w:rPr>
                                  <w:rStyle w:val="InternetLink"/>
                                  <w:spacing w:val="-1"/>
                                </w:rPr>
                                <w:t>24</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TBRI1">
                              <w:r>
                                <w:rPr>
                                  <w:rStyle w:val="InternetLink"/>
                                  <w:spacing w:val="-1"/>
                                </w:rPr>
                                <w:t xml:space="preserve">The Board’s Role in Succession Planning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OCU">
                              <w:r>
                                <w:rPr>
                                  <w:rStyle w:val="InternetLink"/>
                                  <w:spacing w:val="-1"/>
                                </w:rPr>
                                <w:t>24</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OCU">
                              <w:r>
                                <w:rPr>
                                  <w:rStyle w:val="InternetLink"/>
                                  <w:spacing w:val="-1"/>
                                </w:rPr>
                                <w:t xml:space="preserve">Corporate Culture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SPAN">
                              <w:r>
                                <w:rPr>
                                  <w:rStyle w:val="InternetLink"/>
                                  <w:spacing w:val="-1"/>
                                </w:rPr>
                                <w:t>27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SPAN">
                              <w:r>
                                <w:rPr>
                                  <w:rStyle w:val="InternetLink"/>
                                  <w:spacing w:val="-1"/>
                                </w:rPr>
                                <w:t xml:space="preserve">Shareholder Proposals and Nominations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RAC">
                              <w:r>
                                <w:rPr>
                                  <w:rStyle w:val="InternetLink"/>
                                  <w:spacing w:val="-1"/>
                                </w:rPr>
                                <w:t>28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PRAC">
                              <w:r>
                                <w:rPr>
                                  <w:rStyle w:val="InternetLink"/>
                                  <w:spacing w:val="-1"/>
                                </w:rPr>
                                <w:t xml:space="preserve">Proxy Access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MAVO">
                              <w:r>
                                <w:rPr>
                                  <w:rStyle w:val="InternetLink"/>
                                  <w:spacing w:val="-1"/>
                                </w:rPr>
                                <w:t>28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MAVO">
                              <w:r>
                                <w:rPr>
                                  <w:rStyle w:val="InternetLink"/>
                                  <w:spacing w:val="-1"/>
                                </w:rPr>
                                <w:t xml:space="preserve">Majority Voting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WD">
                              <w:r>
                                <w:rPr>
                                  <w:rStyle w:val="InternetLink"/>
                                  <w:spacing w:val="-1"/>
                                </w:rPr>
                                <w:t>28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WD">
                              <w:r>
                                <w:rPr>
                                  <w:rStyle w:val="InternetLink"/>
                                  <w:spacing w:val="-1"/>
                                </w:rPr>
                                <w:t xml:space="preserve">Communications with Directors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CRAR">
                              <w:r>
                                <w:rPr>
                                  <w:rStyle w:val="InternetLink"/>
                                  <w:spacing w:val="-1"/>
                                </w:rPr>
                                <w:t>29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CRAR">
                              <w:r>
                                <w:rPr>
                                  <w:rStyle w:val="InternetLink"/>
                                  <w:spacing w:val="-1"/>
                                </w:rPr>
                                <w:t xml:space="preserve">Certain Relationships and Related Transactions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DC2">
                              <w:r>
                                <w:rPr>
                                  <w:rStyle w:val="InternetLink"/>
                                  <w:spacing w:val="-1"/>
                                </w:rPr>
                                <w:t>29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DC2">
                              <w:r>
                                <w:rPr>
                                  <w:rStyle w:val="InternetLink"/>
                                  <w:spacing w:val="-1"/>
                                </w:rPr>
                                <w:t xml:space="preserve">Director Compensation — 2025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ROTC">
                              <w:r>
                                <w:rPr>
                                  <w:rStyle w:val="InternetLink"/>
                                  <w:spacing w:val="-1"/>
                                </w:rPr>
                                <w:t>31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lineRule="atLeast" w:line="204" w:before="0" w:after="0"/>
                              <w:jc w:val="left"/>
                              <w:rPr/>
                            </w:pPr>
                            <w:hyperlink w:anchor="tROTC">
                              <w:r>
                                <w:rPr>
                                  <w:rStyle w:val="InternetLink"/>
                                  <w:spacing w:val="-1"/>
                                </w:rPr>
                                <w:t xml:space="preserve">Report of the Corporate Governance and Nominating Committee </w:t>
                              </w:r>
                            </w:hyperlink>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ACM">
                              <w:r>
                                <w:rPr>
                                  <w:rStyle w:val="InternetLink"/>
                                  <w:color w:val="000080"/>
                                </w:rPr>
                                <w:t>32</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before="0" w:after="283"/>
                              <w:jc w:val="left"/>
                              <w:rPr/>
                            </w:pPr>
                            <w:hyperlink w:anchor="tACM">
                              <w:r>
                                <w:rPr>
                                  <w:rStyle w:val="InternetLink"/>
                                  <w:color w:val="002F56"/>
                                  <w:spacing w:val="-8"/>
                                </w:rPr>
                                <w:t>AUDIT COMMITTEE MATTERS</w:t>
                              </w:r>
                            </w:hyperlink>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left"/>
                              <w:rPr/>
                            </w:pPr>
                            <w:hyperlink w:anchor="tP2RO">
                              <w:r>
                                <w:rPr>
                                  <w:rStyle w:val="InternetLink"/>
                                  <w:b w:val="false"/>
                                  <w:spacing w:val="-1"/>
                                </w:rPr>
                                <w:t>32</w:t>
                              </w:r>
                            </w:hyperlink>
                            <w:r>
                              <w:rPr>
                                <w:b w:val="false"/>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2" w:type="dxa"/>
                            <w:tcBorders/>
                            <w:vAlign w:val="center"/>
                          </w:tcPr>
                          <w:p>
                            <w:pPr>
                              <w:pStyle w:val="TableContents"/>
                              <w:bidi w:val="0"/>
                              <w:spacing w:lineRule="atLeast" w:line="204" w:before="0" w:after="0"/>
                              <w:jc w:val="left"/>
                              <w:rPr/>
                            </w:pPr>
                            <w:hyperlink w:anchor="tP2RO">
                              <w:r>
                                <w:rPr>
                                  <w:rStyle w:val="InternetLink"/>
                                  <w:spacing w:val="0"/>
                                </w:rPr>
                                <w:t>Proposal 2</w:t>
                              </w:r>
                            </w:hyperlink>
                            <w:hyperlink w:anchor="tP2RO">
                              <w:r>
                                <w:rPr>
                                  <w:rStyle w:val="InternetLink"/>
                                  <w:spacing w:val="-2"/>
                                </w:rPr>
                                <w:t> — </w:t>
                              </w:r>
                            </w:hyperlink>
                            <w:hyperlink w:anchor="tP2RO">
                              <w:r>
                                <w:rPr>
                                  <w:rStyle w:val="InternetLink"/>
                                  <w:spacing w:val="0"/>
                                </w:rPr>
                                <w:t>Ratification of Appointment of Auditors</w:t>
                              </w:r>
                            </w:hyperlink>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322">
                <wp:simplePos x="0" y="0"/>
                <wp:positionH relativeFrom="column">
                  <wp:align>left</wp:align>
                </wp:positionH>
                <wp:positionV relativeFrom="line">
                  <wp:posOffset>635</wp:posOffset>
                </wp:positionV>
                <wp:extent cx="2984500" cy="9972040"/>
                <wp:effectExtent l="0" t="0" r="0" b="0"/>
                <wp:wrapSquare wrapText="right"/>
                <wp:docPr id="44" name="Frame16"/>
                <a:graphic xmlns:a="http://schemas.openxmlformats.org/drawingml/2006/main">
                  <a:graphicData uri="http://schemas.microsoft.com/office/word/2010/wordprocessingShape">
                    <wps:wsp>
                      <wps:cNvSpPr txBox="1"/>
                      <wps:spPr>
                        <a:xfrm>
                          <a:off x="0" y="0"/>
                          <a:ext cx="29845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89"/>
                              <w:gridCol w:w="109"/>
                              <w:gridCol w:w="109"/>
                              <w:gridCol w:w="109"/>
                              <w:gridCol w:w="9110"/>
                              <w:gridCol w:w="155"/>
                            </w:tblGrid>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AFA">
                                    <w:r>
                                      <w:rPr>
                                        <w:rStyle w:val="InternetLink"/>
                                      </w:rPr>
                                      <w:t>32</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AFA">
                                    <w:r>
                                      <w:rPr>
                                        <w:rStyle w:val="InternetLink"/>
                                        <w:spacing w:val="-1"/>
                                      </w:rPr>
                                      <w:t xml:space="preserve">Principal Accounting Fees and Services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RPO">
                                    <w:r>
                                      <w:rPr>
                                        <w:rStyle w:val="InternetLink"/>
                                      </w:rPr>
                                      <w:t>32</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RPO">
                                    <w:r>
                                      <w:rPr>
                                        <w:rStyle w:val="InternetLink"/>
                                        <w:spacing w:val="-1"/>
                                      </w:rPr>
                                      <w:t xml:space="preserve">Pre-Approval Policy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ROTA">
                                    <w:r>
                                      <w:rPr>
                                        <w:rStyle w:val="InternetLink"/>
                                      </w:rPr>
                                      <w:t>33</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ROTA">
                                    <w:r>
                                      <w:rPr>
                                        <w:rStyle w:val="InternetLink"/>
                                        <w:spacing w:val="-1"/>
                                      </w:rPr>
                                      <w:t xml:space="preserve">Report of the Audit Committee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EXCO">
                                    <w:r>
                                      <w:rPr>
                                        <w:rStyle w:val="InternetLink"/>
                                        <w:color w:val="000080"/>
                                        <w:spacing w:val="-8"/>
                                      </w:rPr>
                                      <w:t>34</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EXCO">
                                    <w:r>
                                      <w:rPr>
                                        <w:rStyle w:val="InternetLink"/>
                                        <w:color w:val="002F56"/>
                                        <w:spacing w:val="-8"/>
                                      </w:rPr>
                                      <w:t>EXECUTIVE COMPENSATION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left"/>
                                    <w:rPr/>
                                  </w:pPr>
                                  <w:hyperlink w:anchor="tP3AV">
                                    <w:r>
                                      <w:rPr>
                                        <w:rStyle w:val="InternetLink"/>
                                        <w:b w:val="false"/>
                                      </w:rPr>
                                      <w:t>34</w:t>
                                    </w:r>
                                  </w:hyperlink>
                                  <w:r>
                                    <w:rPr>
                                      <w:b w:val="false"/>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3AV">
                                    <w:r>
                                      <w:rPr>
                                        <w:rStyle w:val="InternetLink"/>
                                        <w:spacing w:val="0"/>
                                      </w:rPr>
                                      <w:t>Proposal 3</w:t>
                                    </w:r>
                                  </w:hyperlink>
                                  <w:hyperlink w:anchor="tP3AV">
                                    <w:r>
                                      <w:rPr>
                                        <w:rStyle w:val="InternetLink"/>
                                        <w:spacing w:val="-2"/>
                                      </w:rPr>
                                      <w:t> — </w:t>
                                    </w:r>
                                  </w:hyperlink>
                                  <w:hyperlink w:anchor="tP3AV">
                                    <w:r>
                                      <w:rPr>
                                        <w:rStyle w:val="InternetLink"/>
                                        <w:spacing w:val="0"/>
                                      </w:rPr>
                                      <w:t>Advisory Vote to Approve 2025 Named Executive Officer Compensation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CDAA">
                                    <w:r>
                                      <w:rPr>
                                        <w:rStyle w:val="InternetLink"/>
                                      </w:rPr>
                                      <w:t>35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CDAA">
                                    <w:r>
                                      <w:rPr>
                                        <w:rStyle w:val="InternetLink"/>
                                        <w:spacing w:val="-1"/>
                                      </w:rPr>
                                      <w:t xml:space="preserve">Compensation Discussion and Analysis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ROTC1">
                                    <w:r>
                                      <w:rPr>
                                        <w:rStyle w:val="InternetLink"/>
                                      </w:rPr>
                                      <w:t>58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ROTC1">
                                    <w:r>
                                      <w:rPr>
                                        <w:rStyle w:val="InternetLink"/>
                                        <w:spacing w:val="-1"/>
                                      </w:rPr>
                                      <w:t xml:space="preserve">Report of the Compensation Committee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CTAN">
                                    <w:r>
                                      <w:rPr>
                                        <w:rStyle w:val="InternetLink"/>
                                        <w:color w:val="000080"/>
                                        <w:spacing w:val="-8"/>
                                      </w:rPr>
                                      <w:t>59</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CTAN">
                                    <w:r>
                                      <w:rPr>
                                        <w:rStyle w:val="InternetLink"/>
                                        <w:color w:val="002F56"/>
                                        <w:spacing w:val="-8"/>
                                      </w:rPr>
                                      <w:t>COMPENSATION TABLES AND NARRATIVE</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SCT2">
                                    <w:r>
                                      <w:rPr>
                                        <w:rStyle w:val="InternetLink"/>
                                      </w:rPr>
                                      <w:t>59</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SCT2">
                                    <w:r>
                                      <w:rPr>
                                        <w:rStyle w:val="InternetLink"/>
                                        <w:spacing w:val="-1"/>
                                      </w:rPr>
                                      <w:t xml:space="preserve">Summary Compensation Table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OF">
                                    <w:r>
                                      <w:rPr>
                                        <w:rStyle w:val="InternetLink"/>
                                      </w:rPr>
                                      <w:t>62</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OF">
                                    <w:r>
                                      <w:rPr>
                                        <w:rStyle w:val="InternetLink"/>
                                        <w:spacing w:val="-1"/>
                                      </w:rPr>
                                      <w:t xml:space="preserve">Grants of Plan-Based Awards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OEAA">
                                    <w:r>
                                      <w:rPr>
                                        <w:rStyle w:val="InternetLink"/>
                                      </w:rPr>
                                      <w:t>63</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lineRule="atLeast" w:line="204" w:before="0" w:after="0"/>
                                    <w:jc w:val="left"/>
                                    <w:rPr/>
                                  </w:pPr>
                                  <w:hyperlink w:anchor="tOEAA">
                                    <w:r>
                                      <w:rPr>
                                        <w:rStyle w:val="InternetLink"/>
                                        <w:spacing w:val="-1"/>
                                      </w:rPr>
                                      <w:t xml:space="preserve">Outstanding Equity Awards at Fiscal Year-End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OEAS">
                                    <w:r>
                                      <w:rPr>
                                        <w:rStyle w:val="InternetLink"/>
                                      </w:rPr>
                                      <w:t>65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OEAS">
                                    <w:r>
                                      <w:rPr>
                                        <w:rStyle w:val="InternetLink"/>
                                        <w:spacing w:val="-1"/>
                                      </w:rPr>
                                      <w:t xml:space="preserve">Option Exercises and Stock Vested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B2">
                                    <w:r>
                                      <w:rPr>
                                        <w:rStyle w:val="InternetLink"/>
                                      </w:rPr>
                                      <w:t>65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B2">
                                    <w:r>
                                      <w:rPr>
                                        <w:rStyle w:val="InternetLink"/>
                                        <w:spacing w:val="-1"/>
                                      </w:rPr>
                                      <w:t xml:space="preserve">Pension Benefits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NDC2">
                                    <w:r>
                                      <w:rPr>
                                        <w:rStyle w:val="InternetLink"/>
                                      </w:rPr>
                                      <w:t>66</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NDC2">
                                    <w:r>
                                      <w:rPr>
                                        <w:rStyle w:val="InternetLink"/>
                                        <w:spacing w:val="-1"/>
                                      </w:rPr>
                                      <w:t xml:space="preserve">Non-Qualified Deferred Compensation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POT">
                                    <w:r>
                                      <w:rPr>
                                        <w:rStyle w:val="InternetLink"/>
                                      </w:rPr>
                                      <w:t>68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POT">
                                    <w:r>
                                      <w:rPr>
                                        <w:rStyle w:val="InternetLink"/>
                                        <w:spacing w:val="-1"/>
                                      </w:rPr>
                                      <w:t xml:space="preserve">Potential Payments on Termination or Change in Control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EMAG1">
                                    <w:r>
                                      <w:rPr>
                                        <w:rStyle w:val="InternetLink"/>
                                      </w:rPr>
                                      <w:t>69</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EMAG1">
                                    <w:r>
                                      <w:rPr>
                                        <w:rStyle w:val="InternetLink"/>
                                        <w:spacing w:val="-1"/>
                                      </w:rPr>
                                      <w:t xml:space="preserve">Employment Agreements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CICA">
                                    <w:r>
                                      <w:rPr>
                                        <w:rStyle w:val="InternetLink"/>
                                      </w:rPr>
                                      <w:t>70</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CICA">
                                    <w:r>
                                      <w:rPr>
                                        <w:rStyle w:val="InternetLink"/>
                                        <w:spacing w:val="-1"/>
                                      </w:rPr>
                                      <w:t xml:space="preserve">Change in Control Agreements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SAAI">
                                    <w:r>
                                      <w:rPr>
                                        <w:rStyle w:val="InternetLink"/>
                                      </w:rPr>
                                      <w:t>70</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SAAI">
                                    <w:r>
                                      <w:rPr>
                                        <w:rStyle w:val="InternetLink"/>
                                        <w:spacing w:val="-1"/>
                                      </w:rPr>
                                      <w:t xml:space="preserve">Stock Award and Incentive Plans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GRTR">
                                    <w:r>
                                      <w:rPr>
                                        <w:rStyle w:val="InternetLink"/>
                                      </w:rPr>
                                      <w:t>71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GRTR">
                                    <w:r>
                                      <w:rPr>
                                        <w:rStyle w:val="InternetLink"/>
                                        <w:spacing w:val="-1"/>
                                      </w:rPr>
                                      <w:t xml:space="preserve">Grantor Trust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ARA">
                                    <w:r>
                                      <w:rPr>
                                        <w:rStyle w:val="InternetLink"/>
                                      </w:rPr>
                                      <w:t>71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ARA">
                                    <w:r>
                                      <w:rPr>
                                        <w:rStyle w:val="InternetLink"/>
                                        <w:spacing w:val="-1"/>
                                      </w:rPr>
                                      <w:t xml:space="preserve">Pay Ratio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VP">
                                    <w:r>
                                      <w:rPr>
                                        <w:rStyle w:val="InternetLink"/>
                                      </w:rPr>
                                      <w:t>71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VP">
                                    <w:r>
                                      <w:rPr>
                                        <w:rStyle w:val="InternetLink"/>
                                        <w:spacing w:val="-1"/>
                                      </w:rPr>
                                      <w:t xml:space="preserve">Pay Versus Performance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SOTB">
                                    <w:r>
                                      <w:rPr>
                                        <w:rStyle w:val="InternetLink"/>
                                        <w:color w:val="000080"/>
                                        <w:spacing w:val="-8"/>
                                      </w:rPr>
                                      <w:t>76</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SOTB">
                                    <w:r>
                                      <w:rPr>
                                        <w:rStyle w:val="InternetLink"/>
                                        <w:color w:val="002F56"/>
                                        <w:spacing w:val="-8"/>
                                      </w:rPr>
                                      <w:t>SHARE OWNERSHIP</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SOOC">
                                    <w:r>
                                      <w:rPr>
                                        <w:rStyle w:val="InternetLink"/>
                                      </w:rPr>
                                      <w:t>76</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lineRule="atLeast" w:line="204" w:before="0" w:after="0"/>
                                    <w:jc w:val="left"/>
                                    <w:rPr/>
                                  </w:pPr>
                                  <w:hyperlink w:anchor="tSOOC">
                                    <w:r>
                                      <w:rPr>
                                        <w:rStyle w:val="InternetLink"/>
                                        <w:spacing w:val="-1"/>
                                      </w:rPr>
                                      <w:t xml:space="preserve">Security Ownership of Certain Beneficial Owners and Management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DSR3">
                                    <w:r>
                                      <w:rPr>
                                        <w:rStyle w:val="InternetLink"/>
                                      </w:rPr>
                                      <w:t>77</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DSR3">
                                    <w:r>
                                      <w:rPr>
                                        <w:rStyle w:val="InternetLink"/>
                                        <w:spacing w:val="-1"/>
                                      </w:rPr>
                                      <w:t>Delinquent Section 16(a) Reports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GIAT">
                                    <w:r>
                                      <w:rPr>
                                        <w:rStyle w:val="InternetLink"/>
                                        <w:color w:val="000080"/>
                                        <w:spacing w:val="-8"/>
                                      </w:rPr>
                                      <w:t>78</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GIAT">
                                    <w:r>
                                      <w:rPr>
                                        <w:rStyle w:val="InternetLink"/>
                                        <w:color w:val="002F56"/>
                                        <w:spacing w:val="-8"/>
                                      </w:rPr>
                                      <w:t>GENERAL INFORMATION ABOUT THE ANNUAL MEETING</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QAAA">
                                    <w:r>
                                      <w:rPr>
                                        <w:rStyle w:val="InternetLink"/>
                                      </w:rPr>
                                      <w:t>78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lineRule="atLeast" w:line="204" w:before="0" w:after="0"/>
                                    <w:jc w:val="left"/>
                                    <w:rPr/>
                                  </w:pPr>
                                  <w:hyperlink w:anchor="tQAAA">
                                    <w:r>
                                      <w:rPr>
                                        <w:rStyle w:val="InternetLink"/>
                                        <w:spacing w:val="-1"/>
                                      </w:rPr>
                                      <w:t xml:space="preserve">Questions and Answers about the Proxy Materials and the Annual Meeting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left"/>
                                    <w:rPr/>
                                  </w:pPr>
                                  <w:hyperlink w:anchor="tAAAI">
                                    <w:r>
                                      <w:rPr>
                                        <w:rStyle w:val="InternetLink"/>
                                        <w:color w:val="002F56"/>
                                        <w:spacing w:val="-8"/>
                                      </w:rPr>
                                      <w:t>A-1</w:t>
                                    </w:r>
                                  </w:hyperlink>
                                  <w:r>
                                    <w:rPr>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AAAI">
                                    <w:r>
                                      <w:rPr>
                                        <w:rStyle w:val="InternetLink"/>
                                        <w:color w:val="002F56"/>
                                        <w:spacing w:val="-8"/>
                                      </w:rPr>
                                      <w:t>APPENDIX A — ADDITIONAL INFORMATION REGARDING NON-GAAP FINANCIAL MEASURES (UNAUDITED)</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5pt;height:785.2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89"/>
                        <w:gridCol w:w="109"/>
                        <w:gridCol w:w="109"/>
                        <w:gridCol w:w="109"/>
                        <w:gridCol w:w="9110"/>
                        <w:gridCol w:w="155"/>
                      </w:tblGrid>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AFA">
                              <w:r>
                                <w:rPr>
                                  <w:rStyle w:val="InternetLink"/>
                                </w:rPr>
                                <w:t>32</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AFA">
                              <w:r>
                                <w:rPr>
                                  <w:rStyle w:val="InternetLink"/>
                                  <w:spacing w:val="-1"/>
                                </w:rPr>
                                <w:t xml:space="preserve">Principal Accounting Fees and Services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RPO">
                              <w:r>
                                <w:rPr>
                                  <w:rStyle w:val="InternetLink"/>
                                </w:rPr>
                                <w:t>32</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RPO">
                              <w:r>
                                <w:rPr>
                                  <w:rStyle w:val="InternetLink"/>
                                  <w:spacing w:val="-1"/>
                                </w:rPr>
                                <w:t xml:space="preserve">Pre-Approval Policy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ROTA">
                              <w:r>
                                <w:rPr>
                                  <w:rStyle w:val="InternetLink"/>
                                </w:rPr>
                                <w:t>33</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ROTA">
                              <w:r>
                                <w:rPr>
                                  <w:rStyle w:val="InternetLink"/>
                                  <w:spacing w:val="-1"/>
                                </w:rPr>
                                <w:t xml:space="preserve">Report of the Audit Committee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EXCO">
                              <w:r>
                                <w:rPr>
                                  <w:rStyle w:val="InternetLink"/>
                                  <w:color w:val="000080"/>
                                  <w:spacing w:val="-8"/>
                                </w:rPr>
                                <w:t>34</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EXCO">
                              <w:r>
                                <w:rPr>
                                  <w:rStyle w:val="InternetLink"/>
                                  <w:color w:val="002F56"/>
                                  <w:spacing w:val="-8"/>
                                </w:rPr>
                                <w:t>EXECUTIVE COMPENSATION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left"/>
                              <w:rPr/>
                            </w:pPr>
                            <w:hyperlink w:anchor="tP3AV">
                              <w:r>
                                <w:rPr>
                                  <w:rStyle w:val="InternetLink"/>
                                  <w:b w:val="false"/>
                                </w:rPr>
                                <w:t>34</w:t>
                              </w:r>
                            </w:hyperlink>
                            <w:r>
                              <w:rPr>
                                <w:b w:val="false"/>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3AV">
                              <w:r>
                                <w:rPr>
                                  <w:rStyle w:val="InternetLink"/>
                                  <w:spacing w:val="0"/>
                                </w:rPr>
                                <w:t>Proposal 3</w:t>
                              </w:r>
                            </w:hyperlink>
                            <w:hyperlink w:anchor="tP3AV">
                              <w:r>
                                <w:rPr>
                                  <w:rStyle w:val="InternetLink"/>
                                  <w:spacing w:val="-2"/>
                                </w:rPr>
                                <w:t> — </w:t>
                              </w:r>
                            </w:hyperlink>
                            <w:hyperlink w:anchor="tP3AV">
                              <w:r>
                                <w:rPr>
                                  <w:rStyle w:val="InternetLink"/>
                                  <w:spacing w:val="0"/>
                                </w:rPr>
                                <w:t>Advisory Vote to Approve 2025 Named Executive Officer Compensation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CDAA">
                              <w:r>
                                <w:rPr>
                                  <w:rStyle w:val="InternetLink"/>
                                </w:rPr>
                                <w:t>35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CDAA">
                              <w:r>
                                <w:rPr>
                                  <w:rStyle w:val="InternetLink"/>
                                  <w:spacing w:val="-1"/>
                                </w:rPr>
                                <w:t xml:space="preserve">Compensation Discussion and Analysis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ROTC1">
                              <w:r>
                                <w:rPr>
                                  <w:rStyle w:val="InternetLink"/>
                                </w:rPr>
                                <w:t>58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ROTC1">
                              <w:r>
                                <w:rPr>
                                  <w:rStyle w:val="InternetLink"/>
                                  <w:spacing w:val="-1"/>
                                </w:rPr>
                                <w:t xml:space="preserve">Report of the Compensation Committee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CTAN">
                              <w:r>
                                <w:rPr>
                                  <w:rStyle w:val="InternetLink"/>
                                  <w:color w:val="000080"/>
                                  <w:spacing w:val="-8"/>
                                </w:rPr>
                                <w:t>59</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CTAN">
                              <w:r>
                                <w:rPr>
                                  <w:rStyle w:val="InternetLink"/>
                                  <w:color w:val="002F56"/>
                                  <w:spacing w:val="-8"/>
                                </w:rPr>
                                <w:t>COMPENSATION TABLES AND NARRATIVE</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SCT2">
                              <w:r>
                                <w:rPr>
                                  <w:rStyle w:val="InternetLink"/>
                                </w:rPr>
                                <w:t>59</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SCT2">
                              <w:r>
                                <w:rPr>
                                  <w:rStyle w:val="InternetLink"/>
                                  <w:spacing w:val="-1"/>
                                </w:rPr>
                                <w:t xml:space="preserve">Summary Compensation Table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OF">
                              <w:r>
                                <w:rPr>
                                  <w:rStyle w:val="InternetLink"/>
                                </w:rPr>
                                <w:t>62</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OF">
                              <w:r>
                                <w:rPr>
                                  <w:rStyle w:val="InternetLink"/>
                                  <w:spacing w:val="-1"/>
                                </w:rPr>
                                <w:t xml:space="preserve">Grants of Plan-Based Awards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OEAA">
                              <w:r>
                                <w:rPr>
                                  <w:rStyle w:val="InternetLink"/>
                                </w:rPr>
                                <w:t>63</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lineRule="atLeast" w:line="204" w:before="0" w:after="0"/>
                              <w:jc w:val="left"/>
                              <w:rPr/>
                            </w:pPr>
                            <w:hyperlink w:anchor="tOEAA">
                              <w:r>
                                <w:rPr>
                                  <w:rStyle w:val="InternetLink"/>
                                  <w:spacing w:val="-1"/>
                                </w:rPr>
                                <w:t xml:space="preserve">Outstanding Equity Awards at Fiscal Year-End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OEAS">
                              <w:r>
                                <w:rPr>
                                  <w:rStyle w:val="InternetLink"/>
                                </w:rPr>
                                <w:t>65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OEAS">
                              <w:r>
                                <w:rPr>
                                  <w:rStyle w:val="InternetLink"/>
                                  <w:spacing w:val="-1"/>
                                </w:rPr>
                                <w:t xml:space="preserve">Option Exercises and Stock Vested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B2">
                              <w:r>
                                <w:rPr>
                                  <w:rStyle w:val="InternetLink"/>
                                </w:rPr>
                                <w:t>65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B2">
                              <w:r>
                                <w:rPr>
                                  <w:rStyle w:val="InternetLink"/>
                                  <w:spacing w:val="-1"/>
                                </w:rPr>
                                <w:t xml:space="preserve">Pension Benefits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NDC2">
                              <w:r>
                                <w:rPr>
                                  <w:rStyle w:val="InternetLink"/>
                                </w:rPr>
                                <w:t>66</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NDC2">
                              <w:r>
                                <w:rPr>
                                  <w:rStyle w:val="InternetLink"/>
                                  <w:spacing w:val="-1"/>
                                </w:rPr>
                                <w:t xml:space="preserve">Non-Qualified Deferred Compensation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POT">
                              <w:r>
                                <w:rPr>
                                  <w:rStyle w:val="InternetLink"/>
                                </w:rPr>
                                <w:t>68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POT">
                              <w:r>
                                <w:rPr>
                                  <w:rStyle w:val="InternetLink"/>
                                  <w:spacing w:val="-1"/>
                                </w:rPr>
                                <w:t xml:space="preserve">Potential Payments on Termination or Change in Control — 2025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EMAG1">
                              <w:r>
                                <w:rPr>
                                  <w:rStyle w:val="InternetLink"/>
                                </w:rPr>
                                <w:t>69</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EMAG1">
                              <w:r>
                                <w:rPr>
                                  <w:rStyle w:val="InternetLink"/>
                                  <w:spacing w:val="-1"/>
                                </w:rPr>
                                <w:t xml:space="preserve">Employment Agreements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CICA">
                              <w:r>
                                <w:rPr>
                                  <w:rStyle w:val="InternetLink"/>
                                </w:rPr>
                                <w:t>70</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CICA">
                              <w:r>
                                <w:rPr>
                                  <w:rStyle w:val="InternetLink"/>
                                  <w:spacing w:val="-1"/>
                                </w:rPr>
                                <w:t xml:space="preserve">Change in Control Agreements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SAAI">
                              <w:r>
                                <w:rPr>
                                  <w:rStyle w:val="InternetLink"/>
                                </w:rPr>
                                <w:t>70</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SAAI">
                              <w:r>
                                <w:rPr>
                                  <w:rStyle w:val="InternetLink"/>
                                  <w:spacing w:val="-1"/>
                                </w:rPr>
                                <w:t xml:space="preserve">Stock Award and Incentive Plans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GRTR">
                              <w:r>
                                <w:rPr>
                                  <w:rStyle w:val="InternetLink"/>
                                </w:rPr>
                                <w:t>71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GRTR">
                              <w:r>
                                <w:rPr>
                                  <w:rStyle w:val="InternetLink"/>
                                  <w:spacing w:val="-1"/>
                                </w:rPr>
                                <w:t xml:space="preserve">Grantor Trust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ARA">
                              <w:r>
                                <w:rPr>
                                  <w:rStyle w:val="InternetLink"/>
                                </w:rPr>
                                <w:t>71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ARA">
                              <w:r>
                                <w:rPr>
                                  <w:rStyle w:val="InternetLink"/>
                                  <w:spacing w:val="-1"/>
                                </w:rPr>
                                <w:t xml:space="preserve">Pay Ratio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PVP">
                              <w:r>
                                <w:rPr>
                                  <w:rStyle w:val="InternetLink"/>
                                </w:rPr>
                                <w:t>71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PVP">
                              <w:r>
                                <w:rPr>
                                  <w:rStyle w:val="InternetLink"/>
                                  <w:spacing w:val="-1"/>
                                </w:rPr>
                                <w:t xml:space="preserve">Pay Versus Performance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SOTB">
                              <w:r>
                                <w:rPr>
                                  <w:rStyle w:val="InternetLink"/>
                                  <w:color w:val="000080"/>
                                  <w:spacing w:val="-8"/>
                                </w:rPr>
                                <w:t>76</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SOTB">
                              <w:r>
                                <w:rPr>
                                  <w:rStyle w:val="InternetLink"/>
                                  <w:color w:val="002F56"/>
                                  <w:spacing w:val="-8"/>
                                </w:rPr>
                                <w:t>SHARE OWNERSHIP</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SOOC">
                              <w:r>
                                <w:rPr>
                                  <w:rStyle w:val="InternetLink"/>
                                </w:rPr>
                                <w:t>76</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lineRule="atLeast" w:line="204" w:before="0" w:after="0"/>
                              <w:jc w:val="left"/>
                              <w:rPr/>
                            </w:pPr>
                            <w:hyperlink w:anchor="tSOOC">
                              <w:r>
                                <w:rPr>
                                  <w:rStyle w:val="InternetLink"/>
                                  <w:spacing w:val="-1"/>
                                </w:rPr>
                                <w:t xml:space="preserve">Security Ownership of Certain Beneficial Owners and Management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DSR3">
                              <w:r>
                                <w:rPr>
                                  <w:rStyle w:val="InternetLink"/>
                                </w:rPr>
                                <w:t>77</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DSR3">
                              <w:r>
                                <w:rPr>
                                  <w:rStyle w:val="InternetLink"/>
                                  <w:spacing w:val="-1"/>
                                </w:rPr>
                                <w:t>Delinquent Section 16(a) Reports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both"/>
                              <w:rPr/>
                            </w:pPr>
                            <w:hyperlink w:anchor="tGIAT">
                              <w:r>
                                <w:rPr>
                                  <w:rStyle w:val="InternetLink"/>
                                  <w:color w:val="000080"/>
                                  <w:spacing w:val="-8"/>
                                </w:rPr>
                                <w:t>78</w:t>
                              </w:r>
                            </w:hyperlink>
                            <w:r>
                              <w:rPr>
                                <w:color w:val="002F56"/>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GIAT">
                              <w:r>
                                <w:rPr>
                                  <w:rStyle w:val="InternetLink"/>
                                  <w:color w:val="002F56"/>
                                  <w:spacing w:val="-8"/>
                                </w:rPr>
                                <w:t>GENERAL INFORMATION ABOUT THE ANNUAL MEETING</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283"/>
                              <w:jc w:val="left"/>
                              <w:rPr/>
                            </w:pPr>
                            <w:hyperlink w:anchor="tQAAA">
                              <w:r>
                                <w:rPr>
                                  <w:rStyle w:val="InternetLink"/>
                                </w:rPr>
                                <w:t>78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lineRule="atLeast" w:line="204" w:before="0" w:after="0"/>
                              <w:jc w:val="left"/>
                              <w:rPr/>
                            </w:pPr>
                            <w:hyperlink w:anchor="tQAAA">
                              <w:r>
                                <w:rPr>
                                  <w:rStyle w:val="InternetLink"/>
                                  <w:spacing w:val="-1"/>
                                </w:rPr>
                                <w:t xml:space="preserve">Questions and Answers about the Proxy Materials and the Annual Meeting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9" w:type="dxa"/>
                            <w:tcBorders/>
                            <w:vAlign w:val="center"/>
                          </w:tcPr>
                          <w:p>
                            <w:pPr>
                              <w:pStyle w:val="TableContents"/>
                              <w:bidi w:val="0"/>
                              <w:spacing w:before="0" w:after="0"/>
                              <w:jc w:val="left"/>
                              <w:rPr/>
                            </w:pPr>
                            <w:hyperlink w:anchor="tAAAI">
                              <w:r>
                                <w:rPr>
                                  <w:rStyle w:val="InternetLink"/>
                                  <w:color w:val="002F56"/>
                                  <w:spacing w:val="-8"/>
                                </w:rPr>
                                <w:t>A-1</w:t>
                              </w:r>
                            </w:hyperlink>
                            <w:r>
                              <w:rPr>
                                <w:spacing w:val="-8"/>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hyperlink w:anchor="tAAAI">
                              <w:r>
                                <w:rPr>
                                  <w:rStyle w:val="InternetLink"/>
                                  <w:color w:val="002F56"/>
                                  <w:spacing w:val="-8"/>
                                </w:rPr>
                                <w:t>APPENDIX A — ADDITIONAL INFORMATION REGARDING NON-GAAP FINANCIAL MEASURES (UNAUDITED)</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w:t>
      </w:r>
      <w:bookmarkStart w:id="5" w:name="tAMI"/>
      <w:bookmarkEnd w:id="5"/>
      <w:r>
        <w:rPr>
          <w:rFonts w:ascii="calibri;arial;sans-serif" w:hAnsi="calibri;arial;sans-serif"/>
          <w:b w:val="false"/>
          <w:i w:val="false"/>
          <w:caps w:val="false"/>
          <w:smallCaps w:val="false"/>
          <w:color w:val="000000"/>
          <w:sz w:val="16"/>
        </w:rPr>
        <w:t>​</w:t>
      </w:r>
      <w:bookmarkStart w:id="6" w:name="tOUC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PROXY SUMMARY</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210" w:before="28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This summary highlights information contained elsewhere in this proxy statement. This summary does not contain all of the information that you should consider, and you should read the entire proxy statement before voting. For more complete information regarding the Company’s 2025 performance, please review the Company’s Annual Report on Form 10-K for the year ended December 31, 2025.</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380" w:before="28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ANNUAL MEETING INFORMATION</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9185" w:type="dxa"/>
        <w:jc w:val="left"/>
        <w:tblInd w:w="1020" w:type="dxa"/>
        <w:tblLayout w:type="fixed"/>
        <w:tblCellMar>
          <w:top w:w="0" w:type="dxa"/>
          <w:left w:w="0" w:type="dxa"/>
          <w:bottom w:w="0" w:type="dxa"/>
          <w:right w:w="0" w:type="dxa"/>
        </w:tblCellMar>
      </w:tblPr>
      <w:tblGrid>
        <w:gridCol w:w="124"/>
        <w:gridCol w:w="792"/>
        <w:gridCol w:w="109"/>
        <w:gridCol w:w="109"/>
        <w:gridCol w:w="1155"/>
        <w:gridCol w:w="109"/>
        <w:gridCol w:w="109"/>
        <w:gridCol w:w="1430"/>
        <w:gridCol w:w="163"/>
        <w:gridCol w:w="163"/>
        <w:gridCol w:w="4766"/>
        <w:gridCol w:w="156"/>
      </w:tblGrid>
      <w:tr>
        <w:trPr/>
        <w:tc>
          <w:tcPr>
            <w:tcW w:w="124" w:type="dxa"/>
            <w:tcBorders/>
            <w:shd w:fill="002F56" w:val="clear"/>
            <w:vAlign w:val="center"/>
          </w:tcPr>
          <w:p>
            <w:pPr>
              <w:pStyle w:val="TableContents"/>
              <w:bidi w:val="0"/>
              <w:spacing w:before="0" w:after="283"/>
              <w:jc w:val="left"/>
              <w:rPr/>
            </w:pPr>
            <w:r>
              <w:rPr/>
              <w:t>​</w:t>
            </w:r>
          </w:p>
        </w:tc>
        <w:tc>
          <w:tcPr>
            <w:tcW w:w="792"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38150" cy="419100"/>
                  <wp:effectExtent l="0" t="0" r="0" b="0"/>
                  <wp:docPr id="4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9" descr=""/>
                          <pic:cNvPicPr>
                            <a:picLocks noChangeAspect="1" noChangeArrowheads="1"/>
                          </pic:cNvPicPr>
                        </pic:nvPicPr>
                        <pic:blipFill>
                          <a:blip r:embed="rId30"/>
                          <a:stretch>
                            <a:fillRect/>
                          </a:stretch>
                        </pic:blipFill>
                        <pic:spPr bwMode="auto">
                          <a:xfrm>
                            <a:off x="0" y="0"/>
                            <a:ext cx="438150" cy="419100"/>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155" w:type="dxa"/>
            <w:tcBorders/>
            <w:shd w:fill="002F56" w:val="clear"/>
            <w:tcMar>
              <w:top w:w="28" w:type="dxa"/>
              <w:left w:w="28" w:type="dxa"/>
              <w:bottom w:w="28" w:type="dxa"/>
              <w:right w:w="28" w:type="dxa"/>
            </w:tcMar>
            <w:vAlign w:val="center"/>
          </w:tcPr>
          <w:p>
            <w:pPr>
              <w:pStyle w:val="TableContents"/>
              <w:bidi w:val="0"/>
              <w:spacing w:lineRule="atLeast" w:line="240" w:before="0" w:after="0"/>
              <w:jc w:val="left"/>
              <w:rPr>
                <w:spacing w:val="-7"/>
              </w:rPr>
            </w:pPr>
            <w:r>
              <w:rPr>
                <w:spacing w:val="-7"/>
              </w:rPr>
              <w:t xml:space="preserve">TIME &amp; DATE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30"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514350" cy="390525"/>
                  <wp:effectExtent l="0" t="0" r="0" b="0"/>
                  <wp:docPr id="4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0" descr=""/>
                          <pic:cNvPicPr>
                            <a:picLocks noChangeAspect="1" noChangeArrowheads="1"/>
                          </pic:cNvPicPr>
                        </pic:nvPicPr>
                        <pic:blipFill>
                          <a:blip r:embed="rId31"/>
                          <a:stretch>
                            <a:fillRect/>
                          </a:stretch>
                        </pic:blipFill>
                        <pic:spPr bwMode="auto">
                          <a:xfrm>
                            <a:off x="0" y="0"/>
                            <a:ext cx="514350" cy="390525"/>
                          </a:xfrm>
                          <a:prstGeom prst="rect">
                            <a:avLst/>
                          </a:prstGeom>
                        </pic:spPr>
                      </pic:pic>
                    </a:graphicData>
                  </a:graphic>
                </wp:inline>
              </w:drawing>
            </w:r>
            <w:r>
              <w:rPr/>
              <w:t xml:space="preserve"> </w:t>
            </w:r>
          </w:p>
        </w:tc>
        <w:tc>
          <w:tcPr>
            <w:tcW w:w="163" w:type="dxa"/>
            <w:tcBorders/>
            <w:shd w:fill="002F56" w:val="clear"/>
            <w:vAlign w:val="center"/>
          </w:tcPr>
          <w:p>
            <w:pPr>
              <w:pStyle w:val="TableContents"/>
              <w:bidi w:val="0"/>
              <w:spacing w:before="0" w:after="283"/>
              <w:jc w:val="left"/>
              <w:rPr/>
            </w:pPr>
            <w:r>
              <w:rPr/>
              <w:t>​</w:t>
            </w:r>
          </w:p>
        </w:tc>
        <w:tc>
          <w:tcPr>
            <w:tcW w:w="163" w:type="dxa"/>
            <w:tcBorders/>
            <w:shd w:fill="002F56" w:val="clear"/>
            <w:vAlign w:val="center"/>
          </w:tcPr>
          <w:p>
            <w:pPr>
              <w:pStyle w:val="TableContents"/>
              <w:bidi w:val="0"/>
              <w:spacing w:before="0" w:after="283"/>
              <w:jc w:val="left"/>
              <w:rPr/>
            </w:pPr>
            <w:r>
              <w:rPr/>
              <w:t>​</w:t>
            </w:r>
          </w:p>
        </w:tc>
        <w:tc>
          <w:tcPr>
            <w:tcW w:w="4766" w:type="dxa"/>
            <w:tcBorders/>
            <w:shd w:fill="002F56" w:val="clear"/>
            <w:tcMar>
              <w:top w:w="28" w:type="dxa"/>
              <w:left w:w="28" w:type="dxa"/>
              <w:bottom w:w="28" w:type="dxa"/>
              <w:right w:w="28" w:type="dxa"/>
            </w:tcMar>
            <w:vAlign w:val="center"/>
          </w:tcPr>
          <w:p>
            <w:pPr>
              <w:pStyle w:val="TableContents"/>
              <w:bidi w:val="0"/>
              <w:spacing w:lineRule="atLeast" w:line="240" w:before="0" w:after="0"/>
              <w:jc w:val="left"/>
              <w:rPr>
                <w:spacing w:val="-7"/>
              </w:rPr>
            </w:pPr>
            <w:r>
              <w:rPr>
                <w:spacing w:val="-7"/>
              </w:rPr>
              <w:t xml:space="preserve">VIRTUAL MEETING LOCATION </w:t>
            </w:r>
          </w:p>
        </w:tc>
        <w:tc>
          <w:tcPr>
            <w:tcW w:w="156" w:type="dxa"/>
            <w:tcBorders/>
            <w:shd w:fill="002F56" w:val="clear"/>
            <w:vAlign w:val="center"/>
          </w:tcPr>
          <w:p>
            <w:pPr>
              <w:pStyle w:val="TableContents"/>
              <w:bidi w:val="0"/>
              <w:spacing w:before="0" w:after="283"/>
              <w:jc w:val="left"/>
              <w:rPr/>
            </w:pPr>
            <w:r>
              <w:rPr/>
              <w:t>​</w:t>
            </w:r>
          </w:p>
        </w:tc>
      </w:tr>
      <w:tr>
        <w:trPr/>
        <w:tc>
          <w:tcPr>
            <w:tcW w:w="124" w:type="dxa"/>
            <w:tcBorders/>
            <w:shd w:fill="002F56" w:val="clear"/>
            <w:vAlign w:val="center"/>
          </w:tcPr>
          <w:p>
            <w:pPr>
              <w:pStyle w:val="TableContents"/>
              <w:bidi w:val="0"/>
              <w:spacing w:before="0" w:after="283"/>
              <w:jc w:val="left"/>
              <w:rPr/>
            </w:pPr>
            <w:r>
              <w:rPr/>
              <w:t>​</w:t>
            </w:r>
          </w:p>
        </w:tc>
        <w:tc>
          <w:tcPr>
            <w:tcW w:w="2165" w:type="dxa"/>
            <w:gridSpan w:val="4"/>
            <w:tcBorders/>
            <w:shd w:fill="002F56" w:val="clear"/>
            <w:vAlign w:val="center"/>
          </w:tcPr>
          <w:p>
            <w:pPr>
              <w:pStyle w:val="TableContents"/>
              <w:bidi w:val="0"/>
              <w:spacing w:lineRule="atLeast" w:line="200" w:before="0" w:after="0"/>
              <w:jc w:val="left"/>
              <w:rPr>
                <w:spacing w:val="-1"/>
              </w:rPr>
            </w:pPr>
            <w:r>
              <w:rPr>
                <w:spacing w:val="-1"/>
              </w:rPr>
              <w:t xml:space="preserve">Wednesday, May 20, 2026 </w:t>
              <w:br/>
              <w:t xml:space="preserve">9:00 a.m., Eastern Time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6522" w:type="dxa"/>
            <w:gridSpan w:val="4"/>
            <w:tcBorders/>
            <w:shd w:fill="002F56" w:val="clear"/>
            <w:vAlign w:val="center"/>
          </w:tcPr>
          <w:p>
            <w:pPr>
              <w:pStyle w:val="TableContents"/>
              <w:bidi w:val="0"/>
              <w:spacing w:lineRule="atLeast" w:line="200" w:before="0" w:after="0"/>
              <w:jc w:val="left"/>
              <w:rPr/>
            </w:pPr>
            <w:r>
              <w:rPr>
                <w:spacing w:val="-1"/>
              </w:rPr>
              <w:t>The 2026 Annual Meeting of Shareowners will be held exclusively online. To attend, visit www.virtualshareholderingmeeting.com/MTX2026</w:t>
            </w:r>
            <w:r>
              <w:rPr/>
              <w:t xml:space="preserve"> </w:t>
            </w:r>
          </w:p>
        </w:tc>
        <w:tc>
          <w:tcPr>
            <w:tcW w:w="156" w:type="dxa"/>
            <w:tcBorders/>
            <w:shd w:fill="002F56" w:val="clear"/>
            <w:vAlign w:val="center"/>
          </w:tcPr>
          <w:p>
            <w:pPr>
              <w:pStyle w:val="TableContents"/>
              <w:bidi w:val="0"/>
              <w:spacing w:before="0" w:after="283"/>
              <w:jc w:val="left"/>
              <w:rPr/>
            </w:pPr>
            <w:r>
              <w:rPr/>
              <w:t>​</w:t>
            </w:r>
          </w:p>
        </w:tc>
      </w:tr>
    </w:tbl>
    <w:p>
      <w:pPr>
        <w:pStyle w:val="TextBody"/>
        <w:bidi w:val="0"/>
        <w:spacing w:lineRule="atLeast" w:line="320" w:before="38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VOTING MATTERS</w:t>
      </w:r>
      <w:r>
        <w:rPr>
          <w:rFonts w:ascii="Arial;Helvetica;sans-serif" w:hAnsi="Arial;Helvetica;sans-serif"/>
          <w:b w:val="false"/>
          <w:i w:val="false"/>
          <w:caps w:val="false"/>
          <w:smallCaps w:val="false"/>
          <w:color w:val="000000"/>
          <w:spacing w:val="6"/>
          <w:sz w:val="28"/>
        </w:rPr>
        <w:t xml:space="preserve"> </w:t>
      </w:r>
    </w:p>
    <w:tbl>
      <w:tblPr>
        <w:tblW w:w="9185" w:type="dxa"/>
        <w:jc w:val="left"/>
        <w:tblInd w:w="1020" w:type="dxa"/>
        <w:tblLayout w:type="fixed"/>
        <w:tblCellMar>
          <w:top w:w="0" w:type="dxa"/>
          <w:left w:w="0" w:type="dxa"/>
          <w:bottom w:w="0" w:type="dxa"/>
          <w:right w:w="0" w:type="dxa"/>
        </w:tblCellMar>
      </w:tblPr>
      <w:tblGrid>
        <w:gridCol w:w="124"/>
        <w:gridCol w:w="257"/>
        <w:gridCol w:w="109"/>
        <w:gridCol w:w="109"/>
        <w:gridCol w:w="2131"/>
        <w:gridCol w:w="141"/>
        <w:gridCol w:w="141"/>
        <w:gridCol w:w="2273"/>
        <w:gridCol w:w="109"/>
        <w:gridCol w:w="109"/>
        <w:gridCol w:w="446"/>
        <w:gridCol w:w="109"/>
        <w:gridCol w:w="109"/>
        <w:gridCol w:w="1545"/>
        <w:gridCol w:w="109"/>
        <w:gridCol w:w="109"/>
        <w:gridCol w:w="1097"/>
        <w:gridCol w:w="158"/>
      </w:tblGrid>
      <w:tr>
        <w:trPr/>
        <w:tc>
          <w:tcPr>
            <w:tcW w:w="124" w:type="dxa"/>
            <w:tcBorders/>
            <w:shd w:fill="002F56" w:val="clear"/>
            <w:vAlign w:val="center"/>
          </w:tcPr>
          <w:p>
            <w:pPr>
              <w:pStyle w:val="TableContents"/>
              <w:bidi w:val="0"/>
              <w:spacing w:before="0" w:after="283"/>
              <w:jc w:val="left"/>
              <w:rPr/>
            </w:pPr>
            <w:r>
              <w:rPr/>
              <w:t>​</w:t>
            </w:r>
          </w:p>
        </w:tc>
        <w:tc>
          <w:tcPr>
            <w:tcW w:w="5161" w:type="dxa"/>
            <w:gridSpan w:val="7"/>
            <w:tcBorders/>
            <w:shd w:fill="002F56" w:val="clear"/>
            <w:vAlign w:val="center"/>
          </w:tcPr>
          <w:p>
            <w:pPr>
              <w:pStyle w:val="TableContents"/>
              <w:bidi w:val="0"/>
              <w:spacing w:before="0" w:after="0"/>
              <w:jc w:val="left"/>
              <w:rPr>
                <w:spacing w:val="0"/>
              </w:rPr>
            </w:pPr>
            <w:r>
              <w:rPr>
                <w:spacing w:val="0"/>
              </w:rPr>
              <w:t xml:space="preserve">Proposal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09" w:type="dxa"/>
            <w:gridSpan w:val="4"/>
            <w:tcBorders/>
            <w:shd w:fill="002F56" w:val="clear"/>
            <w:vAlign w:val="center"/>
          </w:tcPr>
          <w:p>
            <w:pPr>
              <w:pStyle w:val="TableContents"/>
              <w:bidi w:val="0"/>
              <w:spacing w:lineRule="atLeast" w:line="230" w:before="0" w:after="0"/>
              <w:jc w:val="left"/>
              <w:rPr>
                <w:spacing w:val="0"/>
              </w:rPr>
            </w:pPr>
            <w:r>
              <w:rPr>
                <w:spacing w:val="0"/>
              </w:rPr>
              <w:t xml:space="preserve">Our Board’s </w:t>
              <w:br/>
              <w:t xml:space="preserve">Recommendation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7" w:type="dxa"/>
            <w:tcBorders/>
            <w:shd w:fill="002F56" w:val="clear"/>
            <w:vAlign w:val="center"/>
          </w:tcPr>
          <w:p>
            <w:pPr>
              <w:pStyle w:val="TableContents"/>
              <w:bidi w:val="0"/>
              <w:spacing w:lineRule="atLeast" w:line="230" w:before="0" w:after="0"/>
              <w:jc w:val="center"/>
              <w:rPr>
                <w:spacing w:val="0"/>
              </w:rPr>
            </w:pPr>
            <w:r>
              <w:rPr>
                <w:spacing w:val="0"/>
              </w:rPr>
              <w:t xml:space="preserve">Page </w:t>
              <w:br/>
              <w:t xml:space="preserve">Reference </w:t>
            </w:r>
          </w:p>
        </w:tc>
        <w:tc>
          <w:tcPr>
            <w:tcW w:w="158" w:type="dxa"/>
            <w:tcBorders/>
            <w:shd w:fill="002F5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0"/>
              <w:jc w:val="left"/>
              <w:rPr>
                <w:b/>
                <w:color w:val="002F56"/>
                <w:spacing w:val="-8"/>
                <w:sz w:val="24"/>
              </w:rPr>
            </w:pPr>
            <w:r>
              <w:rPr>
                <w:b/>
                <w:color w:val="002F56"/>
                <w:spacing w:val="-8"/>
                <w:sz w:val="24"/>
              </w:rPr>
              <w:t xml:space="preserve">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86" w:type="dxa"/>
            <w:gridSpan w:val="4"/>
            <w:tcBorders/>
            <w:vAlign w:val="center"/>
          </w:tcPr>
          <w:p>
            <w:pPr>
              <w:pStyle w:val="TableContents"/>
              <w:bidi w:val="0"/>
              <w:spacing w:lineRule="atLeast" w:line="200" w:before="0" w:after="0"/>
              <w:jc w:val="left"/>
              <w:rPr>
                <w:spacing w:val="-1"/>
              </w:rPr>
            </w:pPr>
            <w:r>
              <w:rPr>
                <w:spacing w:val="-1"/>
              </w:rPr>
              <w:t xml:space="preserve">Election of Directors </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6" w:space="0" w:color="CCCCCC"/>
            </w:tcBorders>
            <w:tcMar>
              <w:bottom w:w="28" w:type="dxa"/>
            </w:tcMar>
            <w:vAlign w:val="center"/>
          </w:tcPr>
          <w:p>
            <w:pPr>
              <w:pStyle w:val="TableContents"/>
              <w:bidi w:val="0"/>
              <w:spacing w:before="0" w:after="283"/>
              <w:jc w:val="left"/>
              <w:rPr/>
            </w:pPr>
            <w:r>
              <w:rPr/>
              <w:t>​</w:t>
            </w:r>
          </w:p>
        </w:tc>
        <w:tc>
          <w:tcPr>
            <w:tcW w:w="446" w:type="dxa"/>
            <w:vMerge w:val="restart"/>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90500" cy="190500"/>
                  <wp:effectExtent l="0" t="0" r="0" b="0"/>
                  <wp:docPr id="4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1" descr=""/>
                          <pic:cNvPicPr>
                            <a:picLocks noChangeAspect="1" noChangeArrowheads="1"/>
                          </pic:cNvPicPr>
                        </pic:nvPicPr>
                        <pic:blipFill>
                          <a:blip r:embed="rId32"/>
                          <a:stretch>
                            <a:fillRect/>
                          </a:stretch>
                        </pic:blipFill>
                        <pic:spPr bwMode="auto">
                          <a:xfrm>
                            <a:off x="0" y="0"/>
                            <a:ext cx="190500" cy="190500"/>
                          </a:xfrm>
                          <a:prstGeom prst="rect">
                            <a:avLst/>
                          </a:prstGeom>
                        </pic:spPr>
                      </pic:pic>
                    </a:graphicData>
                  </a:graphic>
                </wp:inline>
              </w:drawing>
            </w:r>
            <w:r>
              <w:rPr/>
              <w:t xml:space="preserve"> </w:t>
            </w:r>
          </w:p>
        </w:tc>
        <w:tc>
          <w:tcPr>
            <w:tcW w:w="109" w:type="dxa"/>
            <w:vMerge w:val="restart"/>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CCCCCC"/>
            </w:tcBorders>
            <w:tcMar>
              <w:bottom w:w="28" w:type="dxa"/>
            </w:tcMar>
            <w:vAlign w:val="center"/>
          </w:tcPr>
          <w:p>
            <w:pPr>
              <w:pStyle w:val="TableContents"/>
              <w:bidi w:val="0"/>
              <w:spacing w:before="0" w:after="283"/>
              <w:jc w:val="left"/>
              <w:rPr/>
            </w:pPr>
            <w:r>
              <w:rPr/>
              <w:t>​</w:t>
            </w:r>
          </w:p>
        </w:tc>
        <w:tc>
          <w:tcPr>
            <w:tcW w:w="1545" w:type="dxa"/>
            <w:vMerge w:val="restart"/>
            <w:tcBorders>
              <w:bottom w:val="single" w:sz="6" w:space="0" w:color="CCCCCC"/>
            </w:tcBorders>
            <w:tcMar>
              <w:bottom w:w="28" w:type="dxa"/>
            </w:tcMar>
            <w:vAlign w:val="center"/>
          </w:tcPr>
          <w:p>
            <w:pPr>
              <w:pStyle w:val="TableContents"/>
              <w:bidi w:val="0"/>
              <w:spacing w:lineRule="atLeast" w:line="199" w:before="0" w:after="0"/>
              <w:jc w:val="left"/>
              <w:rPr/>
            </w:pPr>
            <w:r>
              <w:rPr>
                <w:b/>
                <w:color w:val="002F56"/>
                <w:spacing w:val="-2"/>
              </w:rPr>
              <w:t>FOR</w:t>
            </w:r>
            <w:r>
              <w:rPr>
                <w:spacing w:val="-1"/>
              </w:rPr>
              <w:t xml:space="preserve"> each director </w:t>
              <w:br/>
              <w:t xml:space="preserve">nominee </w:t>
            </w:r>
          </w:p>
        </w:tc>
        <w:tc>
          <w:tcPr>
            <w:tcW w:w="109" w:type="dxa"/>
            <w:vMerge w:val="restart"/>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restart"/>
            <w:tcBorders>
              <w:bottom w:val="single" w:sz="6" w:space="0" w:color="CCCCCC"/>
            </w:tcBorders>
            <w:tcMar>
              <w:bottom w:w="28" w:type="dxa"/>
            </w:tcMar>
            <w:vAlign w:val="center"/>
          </w:tcPr>
          <w:p>
            <w:pPr>
              <w:pStyle w:val="TableContents"/>
              <w:bidi w:val="0"/>
              <w:spacing w:before="0" w:after="283"/>
              <w:jc w:val="left"/>
              <w:rPr/>
            </w:pPr>
            <w:r>
              <w:rPr/>
              <w:t>​</w:t>
            </w:r>
          </w:p>
        </w:tc>
        <w:tc>
          <w:tcPr>
            <w:tcW w:w="1097" w:type="dxa"/>
            <w:vMerge w:val="restart"/>
            <w:tcBorders>
              <w:bottom w:val="single" w:sz="6" w:space="0" w:color="CCCCCC"/>
            </w:tcBorders>
            <w:tcMar>
              <w:bottom w:w="28" w:type="dxa"/>
            </w:tcMar>
            <w:vAlign w:val="center"/>
          </w:tcPr>
          <w:p>
            <w:pPr>
              <w:pStyle w:val="TableContents"/>
              <w:bidi w:val="0"/>
              <w:spacing w:lineRule="atLeast" w:line="200" w:before="0" w:after="0"/>
              <w:jc w:val="center"/>
              <w:rPr/>
            </w:pPr>
            <w:hyperlink w:anchor="tP1EO">
              <w:r>
                <w:rPr>
                  <w:rStyle w:val="InternetLink"/>
                  <w:spacing w:val="-1"/>
                </w:rPr>
                <w:t>9</w:t>
              </w:r>
            </w:hyperlink>
            <w:r>
              <w:rPr>
                <w:spacing w:val="-1"/>
              </w:rPr>
              <w:t xml:space="preserve"> </w:t>
            </w:r>
          </w:p>
        </w:tc>
        <w:tc>
          <w:tcPr>
            <w:tcW w:w="158" w:type="dxa"/>
            <w:vMerge w:val="restart"/>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7"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31" w:type="dxa"/>
            <w:tcBorders>
              <w:bottom w:val="single" w:sz="6" w:space="0" w:color="CCCCCC"/>
            </w:tcBorders>
            <w:tcMar>
              <w:bottom w:w="40" w:type="dxa"/>
            </w:tcMar>
            <w:vAlign w:val="center"/>
          </w:tcPr>
          <w:p>
            <w:pPr>
              <w:pStyle w:val="TableContents"/>
              <w:bidi w:val="0"/>
              <w:spacing w:lineRule="atLeast" w:line="180" w:before="0" w:after="0"/>
              <w:ind w:left="180" w:right="0" w:hanging="0"/>
              <w:jc w:val="left"/>
              <w:rPr/>
            </w:pPr>
            <w:r>
              <w:rPr>
                <w:spacing w:val="-1"/>
              </w:rPr>
              <w:t>Joseph C. Breunig</w:t>
            </w:r>
            <w:r>
              <w:rPr/>
              <w:t xml:space="preserve">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114300" cy="350520"/>
                      <wp:effectExtent l="0" t="0" r="0" b="0"/>
                      <wp:wrapSquare wrapText="right"/>
                      <wp:docPr id="48" name="Frame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41" w:type="dxa"/>
            <w:tcBorders>
              <w:bottom w:val="single" w:sz="6" w:space="0" w:color="CCCCCC"/>
            </w:tcBorders>
            <w:tcMar>
              <w:bottom w:w="28" w:type="dxa"/>
            </w:tcMar>
            <w:vAlign w:val="center"/>
          </w:tcPr>
          <w:p>
            <w:pPr>
              <w:pStyle w:val="TableContents"/>
              <w:bidi w:val="0"/>
              <w:spacing w:before="0" w:after="283"/>
              <w:jc w:val="left"/>
              <w:rPr/>
            </w:pPr>
            <w:r>
              <w:rPr/>
              <w:t>​</w:t>
            </w:r>
          </w:p>
        </w:tc>
        <w:tc>
          <w:tcPr>
            <w:tcW w:w="141" w:type="dxa"/>
            <w:tcBorders>
              <w:bottom w:val="single" w:sz="6" w:space="0" w:color="CCCCCC"/>
            </w:tcBorders>
            <w:tcMar>
              <w:bottom w:w="28" w:type="dxa"/>
            </w:tcMar>
            <w:vAlign w:val="center"/>
          </w:tcPr>
          <w:p>
            <w:pPr>
              <w:pStyle w:val="TableContents"/>
              <w:bidi w:val="0"/>
              <w:spacing w:before="0" w:after="283"/>
              <w:jc w:val="left"/>
              <w:rPr/>
            </w:pPr>
            <w:r>
              <w:rPr/>
              <w:t>​</w:t>
            </w:r>
          </w:p>
        </w:tc>
        <w:tc>
          <w:tcPr>
            <w:tcW w:w="2273" w:type="dxa"/>
            <w:tcBorders>
              <w:bottom w:val="single" w:sz="6" w:space="0" w:color="CCCCCC"/>
            </w:tcBorders>
            <w:tcMar>
              <w:bottom w:w="40" w:type="dxa"/>
            </w:tcMar>
            <w:vAlign w:val="center"/>
          </w:tcPr>
          <w:p>
            <w:pPr>
              <w:pStyle w:val="TableContents"/>
              <w:bidi w:val="0"/>
              <w:spacing w:lineRule="atLeast" w:line="180" w:before="0" w:after="0"/>
              <w:ind w:left="180" w:right="0" w:hanging="0"/>
              <w:jc w:val="left"/>
              <w:rPr/>
            </w:pPr>
            <w:r>
              <w:rPr>
                <w:spacing w:val="-1"/>
              </w:rPr>
              <w:t>Kristina M. Johnson</w:t>
            </w:r>
            <w:r>
              <w:rPr/>
              <w:t xml:space="preserve">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114300" cy="350520"/>
                      <wp:effectExtent l="0" t="0" r="0" b="0"/>
                      <wp:wrapSquare wrapText="right"/>
                      <wp:docPr id="49" name="Frame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continue"/>
            <w:tcBorders>
              <w:bottom w:val="single" w:sz="6" w:space="0" w:color="CCCCCC"/>
            </w:tcBorders>
            <w:tcMar>
              <w:bottom w:w="28" w:type="dxa"/>
            </w:tcMar>
            <w:vAlign w:val="center"/>
          </w:tcPr>
          <w:p>
            <w:pPr>
              <w:pStyle w:val="Normal"/>
              <w:bidi w:val="0"/>
              <w:jc w:val="left"/>
              <w:rPr/>
            </w:pPr>
            <w:r>
              <w:rPr/>
            </w:r>
          </w:p>
        </w:tc>
        <w:tc>
          <w:tcPr>
            <w:tcW w:w="446" w:type="dxa"/>
            <w:vMerge w:val="continue"/>
            <w:tcBorders>
              <w:bottom w:val="single" w:sz="6" w:space="0" w:color="CCCCCC"/>
            </w:tcBorders>
            <w:tcMar>
              <w:bottom w:w="28" w:type="dxa"/>
            </w:tcMar>
            <w:vAlign w:val="center"/>
          </w:tcPr>
          <w:p>
            <w:pPr>
              <w:pStyle w:val="Normal"/>
              <w:bidi w:val="0"/>
              <w:jc w:val="left"/>
              <w:rPr/>
            </w:pPr>
            <w:r>
              <w:rPr/>
            </w:r>
          </w:p>
        </w:tc>
        <w:tc>
          <w:tcPr>
            <w:tcW w:w="109" w:type="dxa"/>
            <w:vMerge w:val="continue"/>
            <w:tcBorders>
              <w:bottom w:val="single" w:sz="6" w:space="0" w:color="CCCCCC"/>
            </w:tcBorders>
            <w:tcMar>
              <w:bottom w:w="28" w:type="dxa"/>
            </w:tcMar>
            <w:vAlign w:val="center"/>
          </w:tcPr>
          <w:p>
            <w:pPr>
              <w:pStyle w:val="Normal"/>
              <w:bidi w:val="0"/>
              <w:jc w:val="left"/>
              <w:rPr/>
            </w:pPr>
            <w:r>
              <w:rPr/>
            </w:r>
          </w:p>
        </w:tc>
        <w:tc>
          <w:tcPr>
            <w:tcW w:w="109" w:type="dxa"/>
            <w:vMerge w:val="continue"/>
            <w:tcBorders>
              <w:bottom w:val="single" w:sz="6" w:space="0" w:color="CCCCCC"/>
            </w:tcBorders>
            <w:tcMar>
              <w:bottom w:w="28" w:type="dxa"/>
            </w:tcMar>
            <w:vAlign w:val="center"/>
          </w:tcPr>
          <w:p>
            <w:pPr>
              <w:pStyle w:val="Normal"/>
              <w:bidi w:val="0"/>
              <w:jc w:val="left"/>
              <w:rPr/>
            </w:pPr>
            <w:r>
              <w:rPr/>
            </w:r>
          </w:p>
        </w:tc>
        <w:tc>
          <w:tcPr>
            <w:tcW w:w="1545" w:type="dxa"/>
            <w:vMerge w:val="continue"/>
            <w:tcBorders>
              <w:bottom w:val="single" w:sz="6" w:space="0" w:color="CCCCCC"/>
            </w:tcBorders>
            <w:tcMar>
              <w:bottom w:w="28" w:type="dxa"/>
            </w:tcMar>
            <w:vAlign w:val="center"/>
          </w:tcPr>
          <w:p>
            <w:pPr>
              <w:pStyle w:val="Normal"/>
              <w:bidi w:val="0"/>
              <w:jc w:val="left"/>
              <w:rPr/>
            </w:pPr>
            <w:r>
              <w:rPr/>
            </w:r>
          </w:p>
        </w:tc>
        <w:tc>
          <w:tcPr>
            <w:tcW w:w="109" w:type="dxa"/>
            <w:vMerge w:val="continue"/>
            <w:tcBorders>
              <w:bottom w:val="single" w:sz="6" w:space="0" w:color="CCCCCC"/>
            </w:tcBorders>
            <w:tcMar>
              <w:bottom w:w="28" w:type="dxa"/>
            </w:tcMar>
            <w:vAlign w:val="center"/>
          </w:tcPr>
          <w:p>
            <w:pPr>
              <w:pStyle w:val="Normal"/>
              <w:bidi w:val="0"/>
              <w:jc w:val="left"/>
              <w:rPr/>
            </w:pPr>
            <w:r>
              <w:rPr/>
            </w:r>
          </w:p>
        </w:tc>
        <w:tc>
          <w:tcPr>
            <w:tcW w:w="109" w:type="dxa"/>
            <w:vMerge w:val="continue"/>
            <w:tcBorders>
              <w:bottom w:val="single" w:sz="6" w:space="0" w:color="CCCCCC"/>
            </w:tcBorders>
            <w:tcMar>
              <w:bottom w:w="28" w:type="dxa"/>
            </w:tcMar>
            <w:vAlign w:val="center"/>
          </w:tcPr>
          <w:p>
            <w:pPr>
              <w:pStyle w:val="Normal"/>
              <w:bidi w:val="0"/>
              <w:jc w:val="left"/>
              <w:rPr/>
            </w:pPr>
            <w:r>
              <w:rPr/>
            </w:r>
          </w:p>
        </w:tc>
        <w:tc>
          <w:tcPr>
            <w:tcW w:w="1097" w:type="dxa"/>
            <w:vMerge w:val="continue"/>
            <w:tcBorders>
              <w:bottom w:val="single" w:sz="6" w:space="0" w:color="CCCCCC"/>
            </w:tcBorders>
            <w:tcMar>
              <w:bottom w:w="28" w:type="dxa"/>
            </w:tcMar>
            <w:vAlign w:val="center"/>
          </w:tcPr>
          <w:p>
            <w:pPr>
              <w:pStyle w:val="Normal"/>
              <w:bidi w:val="0"/>
              <w:jc w:val="left"/>
              <w:rPr/>
            </w:pPr>
            <w:r>
              <w:rPr/>
            </w:r>
          </w:p>
        </w:tc>
        <w:tc>
          <w:tcPr>
            <w:tcW w:w="158" w:type="dxa"/>
            <w:vMerge w:val="continue"/>
            <w:tcBorders>
              <w:bottom w:val="single" w:sz="6" w:space="0" w:color="CCCCCC"/>
            </w:tcBorders>
            <w:tcMar>
              <w:bottom w:w="28" w:type="dxa"/>
            </w:tcMar>
            <w:vAlign w:val="center"/>
          </w:tcPr>
          <w:p>
            <w:pPr>
              <w:pStyle w:val="Normal"/>
              <w:bidi w:val="0"/>
              <w:jc w:val="left"/>
              <w:rPr/>
            </w:pPr>
            <w:r>
              <w:rPr/>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257" w:type="dxa"/>
            <w:tcBorders>
              <w:bottom w:val="single" w:sz="6" w:space="0" w:color="CCCCCC"/>
            </w:tcBorders>
            <w:tcMar>
              <w:bottom w:w="28" w:type="dxa"/>
            </w:tcMar>
            <w:vAlign w:val="center"/>
          </w:tcPr>
          <w:p>
            <w:pPr>
              <w:pStyle w:val="TableContents"/>
              <w:bidi w:val="0"/>
              <w:spacing w:lineRule="atLeast" w:line="280" w:before="0" w:after="0"/>
              <w:jc w:val="left"/>
              <w:rPr>
                <w:b/>
                <w:color w:val="002F56"/>
                <w:spacing w:val="-8"/>
                <w:sz w:val="24"/>
              </w:rPr>
            </w:pPr>
            <w:r>
              <w:rPr>
                <w:b/>
                <w:color w:val="002F56"/>
                <w:spacing w:val="-8"/>
                <w:sz w:val="24"/>
              </w:rPr>
              <w:t xml:space="preserve">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686" w:type="dxa"/>
            <w:gridSpan w:val="4"/>
            <w:tcBorders>
              <w:bottom w:val="single" w:sz="6" w:space="0" w:color="CCCCCC"/>
            </w:tcBorders>
            <w:tcMar>
              <w:bottom w:w="28" w:type="dxa"/>
            </w:tcMar>
            <w:vAlign w:val="center"/>
          </w:tcPr>
          <w:p>
            <w:pPr>
              <w:pStyle w:val="TableContents"/>
              <w:bidi w:val="0"/>
              <w:spacing w:lineRule="atLeast" w:line="200" w:before="0" w:after="0"/>
              <w:jc w:val="left"/>
              <w:rPr>
                <w:spacing w:val="-1"/>
              </w:rPr>
            </w:pPr>
            <w:r>
              <w:rPr>
                <w:spacing w:val="-1"/>
              </w:rPr>
              <w:t xml:space="preserve">Ratification of Appointment of Auditors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4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90500" cy="190500"/>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33"/>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545" w:type="dxa"/>
            <w:tcBorders>
              <w:bottom w:val="single" w:sz="6" w:space="0" w:color="CCCCCC"/>
            </w:tcBorders>
            <w:tcMar>
              <w:bottom w:w="28" w:type="dxa"/>
            </w:tcMar>
            <w:vAlign w:val="center"/>
          </w:tcPr>
          <w:p>
            <w:pPr>
              <w:pStyle w:val="TableContents"/>
              <w:bidi w:val="0"/>
              <w:spacing w:lineRule="atLeast" w:line="200" w:before="0" w:after="0"/>
              <w:jc w:val="left"/>
              <w:rPr>
                <w:b/>
                <w:color w:val="002F56"/>
              </w:rPr>
            </w:pPr>
            <w:r>
              <w:rPr>
                <w:b/>
                <w:color w:val="002F56"/>
                <w:spacing w:val="-2"/>
              </w:rPr>
              <w:t>FOR</w:t>
            </w:r>
            <w:r>
              <w:rPr>
                <w:b/>
                <w:color w:val="002F56"/>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7" w:type="dxa"/>
            <w:tcBorders>
              <w:bottom w:val="single" w:sz="6" w:space="0" w:color="CCCCCC"/>
            </w:tcBorders>
            <w:tcMar>
              <w:bottom w:w="28" w:type="dxa"/>
            </w:tcMar>
            <w:vAlign w:val="center"/>
          </w:tcPr>
          <w:p>
            <w:pPr>
              <w:pStyle w:val="TableContents"/>
              <w:bidi w:val="0"/>
              <w:spacing w:lineRule="atLeast" w:line="200" w:before="0" w:after="0"/>
              <w:jc w:val="center"/>
              <w:rPr/>
            </w:pPr>
            <w:hyperlink w:anchor="tP2RO">
              <w:r>
                <w:rPr>
                  <w:rStyle w:val="InternetLink"/>
                  <w:spacing w:val="-1"/>
                </w:rPr>
                <w:t>32</w:t>
              </w:r>
            </w:hyperlink>
            <w:r>
              <w:rPr>
                <w:spacing w:val="-1"/>
              </w:rPr>
              <w:t xml:space="preserve"> </w:t>
            </w:r>
          </w:p>
        </w:tc>
        <w:tc>
          <w:tcPr>
            <w:tcW w:w="158"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257" w:type="dxa"/>
            <w:tcBorders>
              <w:bottom w:val="single" w:sz="12" w:space="0" w:color="71B1C8"/>
            </w:tcBorders>
            <w:tcMar>
              <w:bottom w:w="28" w:type="dxa"/>
            </w:tcMar>
            <w:vAlign w:val="center"/>
          </w:tcPr>
          <w:p>
            <w:pPr>
              <w:pStyle w:val="TableContents"/>
              <w:bidi w:val="0"/>
              <w:spacing w:lineRule="atLeast" w:line="280" w:before="0" w:after="0"/>
              <w:jc w:val="left"/>
              <w:rPr>
                <w:b/>
                <w:color w:val="002F56"/>
                <w:spacing w:val="-8"/>
                <w:sz w:val="24"/>
              </w:rPr>
            </w:pPr>
            <w:r>
              <w:rPr>
                <w:b/>
                <w:color w:val="002F56"/>
                <w:spacing w:val="-8"/>
                <w:sz w:val="24"/>
              </w:rPr>
              <w:t xml:space="preserve">3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4686" w:type="dxa"/>
            <w:gridSpan w:val="4"/>
            <w:tcBorders>
              <w:bottom w:val="single" w:sz="12" w:space="0" w:color="71B1C8"/>
            </w:tcBorders>
            <w:tcMar>
              <w:bottom w:w="28" w:type="dxa"/>
            </w:tcMar>
            <w:vAlign w:val="center"/>
          </w:tcPr>
          <w:p>
            <w:pPr>
              <w:pStyle w:val="TableContents"/>
              <w:bidi w:val="0"/>
              <w:spacing w:lineRule="atLeast" w:line="200" w:before="0" w:after="0"/>
              <w:jc w:val="left"/>
              <w:rPr>
                <w:spacing w:val="-1"/>
              </w:rPr>
            </w:pPr>
            <w:r>
              <w:rPr>
                <w:spacing w:val="-1"/>
              </w:rPr>
              <w:t xml:space="preserve">Advisory Vote to Approve 2025 Named Executive Officer Compensation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446" w:type="dxa"/>
            <w:tcBorders>
              <w:bottom w:val="single" w:sz="12" w:space="0" w:color="71B1C8"/>
            </w:tcBorders>
            <w:tcMar>
              <w:bottom w:w="28" w:type="dxa"/>
            </w:tcMar>
            <w:vAlign w:val="center"/>
          </w:tcPr>
          <w:p>
            <w:pPr>
              <w:pStyle w:val="TableContents"/>
              <w:bidi w:val="0"/>
              <w:spacing w:before="0" w:after="0"/>
              <w:jc w:val="left"/>
              <w:rPr/>
            </w:pPr>
            <w:r>
              <w:rPr/>
              <w:drawing>
                <wp:inline distT="0" distB="0" distL="0" distR="0">
                  <wp:extent cx="190500" cy="190500"/>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34"/>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45" w:type="dxa"/>
            <w:tcBorders>
              <w:bottom w:val="single" w:sz="12" w:space="0" w:color="71B1C8"/>
            </w:tcBorders>
            <w:tcMar>
              <w:bottom w:w="28" w:type="dxa"/>
            </w:tcMar>
            <w:vAlign w:val="center"/>
          </w:tcPr>
          <w:p>
            <w:pPr>
              <w:pStyle w:val="TableContents"/>
              <w:bidi w:val="0"/>
              <w:spacing w:lineRule="atLeast" w:line="200" w:before="0" w:after="0"/>
              <w:jc w:val="left"/>
              <w:rPr>
                <w:b/>
                <w:color w:val="002F56"/>
              </w:rPr>
            </w:pPr>
            <w:r>
              <w:rPr>
                <w:b/>
                <w:color w:val="002F56"/>
                <w:spacing w:val="-2"/>
              </w:rPr>
              <w:t>FOR</w:t>
            </w:r>
            <w:r>
              <w:rPr>
                <w:b/>
                <w:color w:val="002F56"/>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7" w:type="dxa"/>
            <w:tcBorders>
              <w:bottom w:val="single" w:sz="12" w:space="0" w:color="71B1C8"/>
            </w:tcBorders>
            <w:tcMar>
              <w:bottom w:w="28" w:type="dxa"/>
            </w:tcMar>
            <w:vAlign w:val="center"/>
          </w:tcPr>
          <w:p>
            <w:pPr>
              <w:pStyle w:val="TableContents"/>
              <w:bidi w:val="0"/>
              <w:spacing w:lineRule="atLeast" w:line="200" w:before="0" w:after="0"/>
              <w:jc w:val="center"/>
              <w:rPr/>
            </w:pPr>
            <w:hyperlink w:anchor="tP3AV">
              <w:r>
                <w:rPr>
                  <w:rStyle w:val="InternetLink"/>
                  <w:spacing w:val="-1"/>
                </w:rPr>
                <w:t>34</w:t>
              </w:r>
            </w:hyperlink>
            <w:r>
              <w:rPr>
                <w:spacing w:val="-1"/>
              </w:rPr>
              <w:t xml:space="preserve"> </w:t>
            </w:r>
          </w:p>
        </w:tc>
        <w:tc>
          <w:tcPr>
            <w:tcW w:w="158"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380" w:before="35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OUR COMPANY</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Minerals Technologies Inc. is a leading, technology-driven specialty minerals company that develops, produces, sells, and distributes a broad range of minerals and mineral-based products. The Company globally serves a wide range of consumer and industrial markets, including household and personal care, paper and packaging, food and pharmaceutical, automotive, construction, steel and foundry, environmental, and infrastructure. Minerals Technologies is a global company with a balanced portfolio of consumer-oriented and industrial markets.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10" w:after="283"/>
        <w:jc w:val="center"/>
        <w:rPr>
          <w:caps w:val="false"/>
          <w:smallCaps w:val="false"/>
          <w:color w:val="000000"/>
        </w:rPr>
      </w:pPr>
      <w:r>
        <w:rPr>
          <w:caps w:val="false"/>
          <w:smallCaps w:val="false"/>
          <w:color w:val="000000"/>
        </w:rPr>
        <w:drawing>
          <wp:inline distT="0" distB="0" distL="0" distR="0">
            <wp:extent cx="5791200" cy="2486025"/>
            <wp:effectExtent l="0" t="0" r="0" b="0"/>
            <wp:docPr id="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 descr=""/>
                    <pic:cNvPicPr>
                      <a:picLocks noChangeAspect="1" noChangeArrowheads="1"/>
                    </pic:cNvPicPr>
                  </pic:nvPicPr>
                  <pic:blipFill>
                    <a:blip r:embed="rId35"/>
                    <a:stretch>
                      <a:fillRect/>
                    </a:stretch>
                  </pic:blipFill>
                  <pic:spPr bwMode="auto">
                    <a:xfrm>
                      <a:off x="0" y="0"/>
                      <a:ext cx="5791200" cy="248602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2025 PERFORMANCE AT A GLANCE</w:t>
      </w:r>
      <w:r>
        <w:rPr>
          <w:rFonts w:ascii="Arial;Helvetica;sans-serif" w:hAnsi="Arial;Helvetica;sans-serif"/>
          <w:b w:val="false"/>
          <w:i w:val="false"/>
          <w:caps w:val="false"/>
          <w:smallCaps w:val="false"/>
          <w:color w:val="000000"/>
          <w:spacing w:val="6"/>
          <w:sz w:val="28"/>
        </w:rPr>
        <w:t xml:space="preserve"> </w:t>
      </w:r>
    </w:p>
    <w:tbl>
      <w:tblPr>
        <w:tblW w:w="5876" w:type="dxa"/>
        <w:jc w:val="left"/>
        <w:tblInd w:w="1020" w:type="dxa"/>
        <w:tblLayout w:type="fixed"/>
        <w:tblCellMar>
          <w:top w:w="0" w:type="dxa"/>
          <w:left w:w="0" w:type="dxa"/>
          <w:bottom w:w="28" w:type="dxa"/>
          <w:right w:w="0" w:type="dxa"/>
        </w:tblCellMar>
      </w:tblPr>
      <w:tblGrid>
        <w:gridCol w:w="124"/>
        <w:gridCol w:w="739"/>
        <w:gridCol w:w="109"/>
        <w:gridCol w:w="109"/>
        <w:gridCol w:w="109"/>
        <w:gridCol w:w="2027"/>
        <w:gridCol w:w="109"/>
        <w:gridCol w:w="109"/>
        <w:gridCol w:w="109"/>
        <w:gridCol w:w="2178"/>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5598" w:type="dxa"/>
            <w:gridSpan w:val="9"/>
            <w:tcBorders>
              <w:bottom w:val="single" w:sz="24" w:space="0" w:color="FEFEFE"/>
            </w:tcBorders>
            <w:shd w:fill="002F56" w:val="clear"/>
            <w:tcMar>
              <w:bottom w:w="70" w:type="dxa"/>
            </w:tcMar>
            <w:vAlign w:val="center"/>
          </w:tcPr>
          <w:p>
            <w:pPr>
              <w:pStyle w:val="TableContents"/>
              <w:bidi w:val="0"/>
              <w:spacing w:lineRule="atLeast" w:line="240" w:before="0" w:after="0"/>
              <w:jc w:val="center"/>
              <w:rPr>
                <w:spacing w:val="-7"/>
              </w:rPr>
            </w:pPr>
            <w:r>
              <w:rPr>
                <w:spacing w:val="-7"/>
              </w:rPr>
              <w:t xml:space="preserve">2025 FINANCIAL PERFORMANCE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739" w:type="dxa"/>
            <w:tcBorders/>
            <w:shd w:fill="71B1C8" w:val="clear"/>
            <w:tcMar>
              <w:bottom w:w="0" w:type="dxa"/>
            </w:tcMar>
            <w:vAlign w:val="center"/>
          </w:tcPr>
          <w:p>
            <w:pPr>
              <w:pStyle w:val="TableContents"/>
              <w:bidi w:val="0"/>
              <w:spacing w:lineRule="atLeast" w:line="480" w:before="0" w:after="0"/>
              <w:jc w:val="center"/>
              <w:rPr/>
            </w:pPr>
            <w:r>
              <w:rPr>
                <w:spacing w:val="-3"/>
              </w:rPr>
              <w:t>$2.1B</w:t>
            </w:r>
            <w:r>
              <w:rPr/>
              <w:t xml:space="preserve"> </w:t>
            </w:r>
          </w:p>
          <w:p>
            <w:pPr>
              <w:pStyle w:val="TableContents"/>
              <w:bidi w:val="0"/>
              <w:spacing w:lineRule="atLeast" w:line="220" w:before="40" w:after="283"/>
              <w:jc w:val="center"/>
              <w:rPr>
                <w:spacing w:val="-1"/>
                <w:sz w:val="18"/>
              </w:rPr>
            </w:pPr>
            <w:r>
              <w:rPr>
                <w:spacing w:val="-1"/>
                <w:sz w:val="18"/>
              </w:rPr>
              <w:t xml:space="preserve">SALES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027" w:type="dxa"/>
            <w:tcBorders/>
            <w:shd w:fill="002F56" w:val="clear"/>
            <w:tcMar>
              <w:bottom w:w="0" w:type="dxa"/>
            </w:tcMar>
            <w:vAlign w:val="center"/>
          </w:tcPr>
          <w:p>
            <w:pPr>
              <w:pStyle w:val="TableContents"/>
              <w:bidi w:val="0"/>
              <w:spacing w:lineRule="atLeast" w:line="480" w:before="0" w:after="0"/>
              <w:jc w:val="center"/>
              <w:rPr/>
            </w:pPr>
            <w:r>
              <w:rPr>
                <w:spacing w:val="-3"/>
              </w:rPr>
              <w:t>$287M</w:t>
            </w:r>
            <w:r>
              <w:rPr/>
              <w:t xml:space="preserve"> </w:t>
            </w:r>
          </w:p>
          <w:p>
            <w:pPr>
              <w:pStyle w:val="TableContents"/>
              <w:bidi w:val="0"/>
              <w:spacing w:lineRule="atLeast" w:line="220" w:before="40" w:after="283"/>
              <w:jc w:val="center"/>
              <w:rPr>
                <w:spacing w:val="-1"/>
                <w:sz w:val="18"/>
              </w:rPr>
            </w:pPr>
            <w:r>
              <w:rPr>
                <w:spacing w:val="-1"/>
                <w:sz w:val="18"/>
              </w:rPr>
              <w:t xml:space="preserve">OPERATING INCOME*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2178" w:type="dxa"/>
            <w:tcBorders/>
            <w:shd w:fill="7F7F7F" w:val="clear"/>
            <w:tcMar>
              <w:bottom w:w="0" w:type="dxa"/>
            </w:tcMar>
            <w:vAlign w:val="center"/>
          </w:tcPr>
          <w:p>
            <w:pPr>
              <w:pStyle w:val="TableContents"/>
              <w:bidi w:val="0"/>
              <w:spacing w:lineRule="atLeast" w:line="480" w:before="0" w:after="0"/>
              <w:jc w:val="center"/>
              <w:rPr/>
            </w:pPr>
            <w:r>
              <w:rPr>
                <w:spacing w:val="-3"/>
              </w:rPr>
              <w:t>$5.52</w:t>
            </w:r>
            <w:r>
              <w:rPr/>
              <w:t xml:space="preserve"> </w:t>
            </w:r>
          </w:p>
          <w:p>
            <w:pPr>
              <w:pStyle w:val="TableContents"/>
              <w:bidi w:val="0"/>
              <w:spacing w:lineRule="atLeast" w:line="220" w:before="40" w:after="283"/>
              <w:jc w:val="center"/>
              <w:rPr>
                <w:sz w:val="18"/>
              </w:rPr>
            </w:pPr>
            <w:r>
              <w:rPr>
                <w:spacing w:val="-1"/>
                <w:sz w:val="18"/>
              </w:rPr>
              <w:t>EARNINGS PER SHARE*</w:t>
            </w:r>
            <w:r>
              <w:rPr>
                <w:sz w:val="18"/>
              </w:rPr>
              <w:t xml:space="preserve"> </w:t>
            </w:r>
          </w:p>
        </w:tc>
        <w:tc>
          <w:tcPr>
            <w:tcW w:w="154" w:type="dxa"/>
            <w:tcBorders/>
            <w:shd w:fill="7F7F7F" w:val="clear"/>
            <w:tcMar>
              <w:bottom w:w="0" w:type="dxa"/>
            </w:tcM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2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Excluding special items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127000" distB="0" distL="76200" distR="0" simplePos="0" locked="0" layoutInCell="1" allowOverlap="1" relativeHeight="325">
                <wp:simplePos x="0" y="0"/>
                <wp:positionH relativeFrom="column">
                  <wp:align>left</wp:align>
                </wp:positionH>
                <wp:positionV relativeFrom="line">
                  <wp:align>top</wp:align>
                </wp:positionV>
                <wp:extent cx="254000" cy="233680"/>
                <wp:effectExtent l="0" t="0" r="0" b="0"/>
                <wp:wrapSquare wrapText="right"/>
                <wp:docPr id="53" name="Frame1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6pt;mso-wrap-distance-right:0pt;mso-wrap-distance-top:10pt;mso-wrap-distance-bottom:0pt;margin-top:10pt;mso-position-vertical:top;mso-position-vertical-relative:text;margin-left:6pt;mso-position-horizontal:left;mso-position-horizontal-relative:text">
                <v:textbox>
                  <w:txbxContent>
                    <w:p>
                      <w:pPr>
                        <w:pStyle w:val="TextBody"/>
                        <w:bidi w:val="0"/>
                        <w:spacing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performance in 2025 reflects our continued progress against key objectives: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768"/>
        <w:gridCol w:w="109"/>
        <w:gridCol w:w="109"/>
        <w:gridCol w:w="3741"/>
        <w:gridCol w:w="109"/>
        <w:gridCol w:w="109"/>
        <w:gridCol w:w="2961"/>
        <w:gridCol w:w="155"/>
      </w:tblGrid>
      <w:tr>
        <w:trPr/>
        <w:tc>
          <w:tcPr>
            <w:tcW w:w="124" w:type="dxa"/>
            <w:tcBorders/>
            <w:shd w:fill="002F56" w:val="clear"/>
            <w:vAlign w:val="center"/>
          </w:tcPr>
          <w:p>
            <w:pPr>
              <w:pStyle w:val="TableContents"/>
              <w:bidi w:val="0"/>
              <w:spacing w:before="0" w:after="283"/>
              <w:jc w:val="left"/>
              <w:rPr/>
            </w:pPr>
            <w:r>
              <w:rPr/>
              <w:t>​</w:t>
            </w:r>
          </w:p>
        </w:tc>
        <w:tc>
          <w:tcPr>
            <w:tcW w:w="1768" w:type="dxa"/>
            <w:tcBorders/>
            <w:shd w:fill="002F56" w:val="clear"/>
            <w:vAlign w:val="center"/>
          </w:tcPr>
          <w:p>
            <w:pPr>
              <w:pStyle w:val="TableContents"/>
              <w:bidi w:val="0"/>
              <w:spacing w:before="0" w:after="0"/>
              <w:jc w:val="left"/>
              <w:rPr/>
            </w:pPr>
            <w:r>
              <w:rPr/>
              <w:drawing>
                <wp:inline distT="0" distB="0" distL="0" distR="0">
                  <wp:extent cx="457200" cy="457200"/>
                  <wp:effectExtent l="0" t="0" r="0" b="0"/>
                  <wp:docPr id="5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5" descr=""/>
                          <pic:cNvPicPr>
                            <a:picLocks noChangeAspect="1" noChangeArrowheads="1"/>
                          </pic:cNvPicPr>
                        </pic:nvPicPr>
                        <pic:blipFill>
                          <a:blip r:embed="rId36"/>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50" w:before="246" w:after="283"/>
              <w:jc w:val="left"/>
              <w:rPr>
                <w:b/>
                <w:color w:val="71B1C8"/>
                <w:sz w:val="21"/>
              </w:rPr>
            </w:pPr>
            <w:r>
              <w:rPr>
                <w:b/>
                <w:color w:val="71B1C8"/>
                <w:spacing w:val="-13"/>
                <w:sz w:val="21"/>
              </w:rPr>
              <w:t xml:space="preserve">2025 PERFORMANCE </w:t>
              <w:br/>
              <w:t>HIGHLIGHTS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41" w:type="dxa"/>
            <w:tcBorders/>
            <w:vAlign w:val="center"/>
          </w:tcPr>
          <w:p>
            <w:pPr>
              <w:pStyle w:val="TableContents"/>
              <w:bidi w:val="0"/>
              <w:spacing w:lineRule="atLeast" w:line="220" w:before="0" w:after="0"/>
              <w:ind w:left="180" w:right="0" w:hanging="0"/>
              <w:jc w:val="left"/>
              <w:rPr>
                <w:spacing w:val="-1"/>
              </w:rPr>
            </w:pPr>
            <w:r>
              <w:rPr>
                <w:spacing w:val="-1"/>
              </w:rPr>
              <w:t xml:space="preserve">Navigated volatile macro environment while remaining focused on growth initiatives in both segments </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114300" cy="350520"/>
                      <wp:effectExtent l="0" t="0" r="0" b="0"/>
                      <wp:wrapSquare wrapText="right"/>
                      <wp:docPr id="55" name="Frame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Made well-timed capital investments to support our growth </w:t>
            </w:r>
            <w:r>
              <mc:AlternateContent>
                <mc:Choice Requires="wps">
                  <w:drawing>
                    <wp:anchor behindDoc="0" distT="50800" distB="0" distL="0" distR="0" simplePos="0" locked="0" layoutInCell="1" allowOverlap="1" relativeHeight="327">
                      <wp:simplePos x="0" y="0"/>
                      <wp:positionH relativeFrom="column">
                        <wp:align>left</wp:align>
                      </wp:positionH>
                      <wp:positionV relativeFrom="line">
                        <wp:align>top</wp:align>
                      </wp:positionV>
                      <wp:extent cx="114300" cy="350520"/>
                      <wp:effectExtent l="0" t="0" r="0" b="0"/>
                      <wp:wrapSquare wrapText="right"/>
                      <wp:docPr id="56" name="Frame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New product revenue reached 19% of total sales* </w:t>
            </w:r>
            <w:r>
              <mc:AlternateContent>
                <mc:Choice Requires="wps">
                  <w:drawing>
                    <wp:anchor behindDoc="0" distT="50800" distB="0" distL="0" distR="0" simplePos="0" locked="0" layoutInCell="1" allowOverlap="1" relativeHeight="328">
                      <wp:simplePos x="0" y="0"/>
                      <wp:positionH relativeFrom="column">
                        <wp:align>left</wp:align>
                      </wp:positionH>
                      <wp:positionV relativeFrom="line">
                        <wp:align>top</wp:align>
                      </wp:positionV>
                      <wp:extent cx="114300" cy="350520"/>
                      <wp:effectExtent l="0" t="0" r="0" b="0"/>
                      <wp:wrapSquare wrapText="right"/>
                      <wp:docPr id="57" name="Frame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61" w:type="dxa"/>
            <w:tcBorders/>
            <w:vAlign w:val="center"/>
          </w:tcPr>
          <w:p>
            <w:pPr>
              <w:pStyle w:val="TableContents"/>
              <w:bidi w:val="0"/>
              <w:spacing w:lineRule="atLeast" w:line="220" w:before="0" w:after="0"/>
              <w:ind w:left="180" w:right="0" w:hanging="0"/>
              <w:jc w:val="left"/>
              <w:rPr>
                <w:spacing w:val="-1"/>
              </w:rPr>
            </w:pPr>
            <w:r>
              <w:rPr>
                <w:spacing w:val="-1"/>
              </w:rPr>
              <w:t xml:space="preserve">Took proactive steps to improve cost structure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114300" cy="350520"/>
                      <wp:effectExtent l="0" t="0" r="0" b="0"/>
                      <wp:wrapSquare wrapText="right"/>
                      <wp:docPr id="58" name="Frame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Returned $73M to shareholders through dividends and share repurchases </w:t>
            </w:r>
            <w:r>
              <mc:AlternateContent>
                <mc:Choice Requires="wps">
                  <w:drawing>
                    <wp:anchor behindDoc="0" distT="50800" distB="0" distL="0" distR="0" simplePos="0" locked="0" layoutInCell="1" allowOverlap="1" relativeHeight="330">
                      <wp:simplePos x="0" y="0"/>
                      <wp:positionH relativeFrom="column">
                        <wp:align>left</wp:align>
                      </wp:positionH>
                      <wp:positionV relativeFrom="line">
                        <wp:align>top</wp:align>
                      </wp:positionV>
                      <wp:extent cx="114300" cy="350520"/>
                      <wp:effectExtent l="0" t="0" r="0" b="0"/>
                      <wp:wrapSquare wrapText="right"/>
                      <wp:docPr id="59" name="Frame2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spacing w:val="-1"/>
              </w:rPr>
            </w:pPr>
            <w:r>
              <w:rPr>
                <w:spacing w:val="-1"/>
              </w:rPr>
              <w:t xml:space="preserve">Maintained strong balance sheet </w:t>
            </w:r>
            <w:r>
              <mc:AlternateContent>
                <mc:Choice Requires="wps">
                  <w:drawing>
                    <wp:anchor behindDoc="0" distT="50800" distB="0" distL="0" distR="0" simplePos="0" locked="0" layoutInCell="1" allowOverlap="1" relativeHeight="331">
                      <wp:simplePos x="0" y="0"/>
                      <wp:positionH relativeFrom="column">
                        <wp:align>left</wp:align>
                      </wp:positionH>
                      <wp:positionV relativeFrom="line">
                        <wp:align>top</wp:align>
                      </wp:positionV>
                      <wp:extent cx="114300" cy="350520"/>
                      <wp:effectExtent l="0" t="0" r="0" b="0"/>
                      <wp:wrapSquare wrapText="right"/>
                      <wp:docPr id="60" name="Frame2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Record safety performance</w:t>
            </w:r>
            <w:r>
              <w:rPr/>
              <w:t xml:space="preserve"> </w:t>
            </w:r>
            <w:r>
              <mc:AlternateContent>
                <mc:Choice Requires="wps">
                  <w:drawing>
                    <wp:anchor behindDoc="0" distT="50800" distB="0" distL="0" distR="0" simplePos="0" locked="0" layoutInCell="1" allowOverlap="1" relativeHeight="332">
                      <wp:simplePos x="0" y="0"/>
                      <wp:positionH relativeFrom="column">
                        <wp:align>left</wp:align>
                      </wp:positionH>
                      <wp:positionV relativeFrom="line">
                        <wp:align>top</wp:align>
                      </wp:positionV>
                      <wp:extent cx="114300" cy="350520"/>
                      <wp:effectExtent l="0" t="0" r="0" b="0"/>
                      <wp:wrapSquare wrapText="right"/>
                      <wp:docPr id="61" name="Frame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2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of sales from products commercialized in the last 5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0" distB="0" distL="76200" distR="0" simplePos="0" locked="0" layoutInCell="1" allowOverlap="1" relativeHeight="333">
                <wp:simplePos x="0" y="0"/>
                <wp:positionH relativeFrom="column">
                  <wp:align>left</wp:align>
                </wp:positionH>
                <wp:positionV relativeFrom="line">
                  <wp:align>top</wp:align>
                </wp:positionV>
                <wp:extent cx="254000" cy="254000"/>
                <wp:effectExtent l="0" t="0" r="0" b="0"/>
                <wp:wrapSquare wrapText="right"/>
                <wp:docPr id="62" name="Frame2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10pt;mso-wrap-distance-bottom:0pt;margin-top:10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before="760" w:after="283"/>
        <w:jc w:val="center"/>
        <w:rPr>
          <w:caps w:val="false"/>
          <w:smallCaps w:val="false"/>
          <w:color w:val="000000"/>
        </w:rPr>
      </w:pPr>
      <w:r>
        <w:rPr>
          <w:caps w:val="false"/>
          <w:smallCaps w:val="false"/>
          <w:color w:val="000000"/>
        </w:rPr>
        <w:drawing>
          <wp:inline distT="0" distB="0" distL="0" distR="0">
            <wp:extent cx="6010275" cy="1838325"/>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37"/>
                    <a:stretch>
                      <a:fillRect/>
                    </a:stretch>
                  </pic:blipFill>
                  <pic:spPr bwMode="auto">
                    <a:xfrm>
                      <a:off x="0" y="0"/>
                      <a:ext cx="6010275" cy="183832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ADVANCING OUR GROWTH STRATEGY</w:t>
      </w:r>
      <w:r>
        <w:rPr>
          <w:rFonts w:ascii="Arial;Helvetica;sans-serif" w:hAnsi="Arial;Helvetica;sans-serif"/>
          <w:b w:val="false"/>
          <w:i w:val="false"/>
          <w:caps w:val="false"/>
          <w:smallCaps w:val="false"/>
          <w:color w:val="000000"/>
          <w:spacing w:val="6"/>
          <w:sz w:val="28"/>
        </w:rPr>
        <w:t xml:space="preserve"> </w:t>
      </w:r>
    </w:p>
    <w:tbl>
      <w:tblPr>
        <w:tblW w:w="9185" w:type="dxa"/>
        <w:jc w:val="left"/>
        <w:tblInd w:w="1020" w:type="dxa"/>
        <w:tblLayout w:type="fixed"/>
        <w:tblCellMar>
          <w:top w:w="0" w:type="dxa"/>
          <w:left w:w="0" w:type="dxa"/>
          <w:bottom w:w="0" w:type="dxa"/>
          <w:right w:w="0" w:type="dxa"/>
        </w:tblCellMar>
      </w:tblPr>
      <w:tblGrid>
        <w:gridCol w:w="124"/>
        <w:gridCol w:w="4082"/>
        <w:gridCol w:w="109"/>
        <w:gridCol w:w="109"/>
        <w:gridCol w:w="2456"/>
        <w:gridCol w:w="109"/>
        <w:gridCol w:w="109"/>
        <w:gridCol w:w="1931"/>
        <w:gridCol w:w="156"/>
      </w:tblGrid>
      <w:tr>
        <w:trPr/>
        <w:tc>
          <w:tcPr>
            <w:tcW w:w="124" w:type="dxa"/>
            <w:tcBorders/>
            <w:vAlign w:val="center"/>
          </w:tcPr>
          <w:p>
            <w:pPr>
              <w:pStyle w:val="TableContents"/>
              <w:bidi w:val="0"/>
              <w:spacing w:before="0" w:after="283"/>
              <w:jc w:val="left"/>
              <w:rPr/>
            </w:pPr>
            <w:r>
              <w:rPr/>
              <w:t>​</w:t>
            </w:r>
          </w:p>
        </w:tc>
        <w:tc>
          <w:tcPr>
            <w:tcW w:w="4082" w:type="dxa"/>
            <w:tcBorders/>
            <w:vAlign w:val="center"/>
          </w:tcPr>
          <w:p>
            <w:pPr>
              <w:pStyle w:val="TableContents"/>
              <w:bidi w:val="0"/>
              <w:spacing w:before="0" w:after="0"/>
              <w:jc w:val="center"/>
              <w:rPr/>
            </w:pPr>
            <w:r>
              <w:rPr/>
              <w:drawing>
                <wp:inline distT="0" distB="0" distL="0" distR="0">
                  <wp:extent cx="504825" cy="504825"/>
                  <wp:effectExtent l="0" t="0" r="0" b="0"/>
                  <wp:docPr id="6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 descr=""/>
                          <pic:cNvPicPr>
                            <a:picLocks noChangeAspect="1" noChangeArrowheads="1"/>
                          </pic:cNvPicPr>
                        </pic:nvPicPr>
                        <pic:blipFill>
                          <a:blip r:embed="rId38"/>
                          <a:stretch>
                            <a:fillRect/>
                          </a:stretch>
                        </pic:blipFill>
                        <pic:spPr bwMode="auto">
                          <a:xfrm>
                            <a:off x="0" y="0"/>
                            <a:ext cx="504825" cy="5048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6" w:type="dxa"/>
            <w:tcBorders/>
            <w:vAlign w:val="center"/>
          </w:tcPr>
          <w:p>
            <w:pPr>
              <w:pStyle w:val="TableContents"/>
              <w:bidi w:val="0"/>
              <w:spacing w:before="0" w:after="0"/>
              <w:jc w:val="center"/>
              <w:rPr/>
            </w:pPr>
            <w:r>
              <w:rPr/>
              <w:drawing>
                <wp:inline distT="0" distB="0" distL="0" distR="0">
                  <wp:extent cx="466725" cy="485775"/>
                  <wp:effectExtent l="0" t="0" r="0" b="0"/>
                  <wp:docPr id="6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8" descr=""/>
                          <pic:cNvPicPr>
                            <a:picLocks noChangeAspect="1" noChangeArrowheads="1"/>
                          </pic:cNvPicPr>
                        </pic:nvPicPr>
                        <pic:blipFill>
                          <a:blip r:embed="rId39"/>
                          <a:stretch>
                            <a:fillRect/>
                          </a:stretch>
                        </pic:blipFill>
                        <pic:spPr bwMode="auto">
                          <a:xfrm>
                            <a:off x="0" y="0"/>
                            <a:ext cx="466725" cy="4857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1" w:type="dxa"/>
            <w:tcBorders/>
            <w:vAlign w:val="center"/>
          </w:tcPr>
          <w:p>
            <w:pPr>
              <w:pStyle w:val="TableContents"/>
              <w:bidi w:val="0"/>
              <w:spacing w:before="0" w:after="0"/>
              <w:jc w:val="center"/>
              <w:rPr/>
            </w:pPr>
            <w:r>
              <w:rPr/>
              <w:drawing>
                <wp:inline distT="0" distB="0" distL="0" distR="0">
                  <wp:extent cx="447675" cy="495300"/>
                  <wp:effectExtent l="0" t="0" r="0" b="0"/>
                  <wp:docPr id="6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9" descr=""/>
                          <pic:cNvPicPr>
                            <a:picLocks noChangeAspect="1" noChangeArrowheads="1"/>
                          </pic:cNvPicPr>
                        </pic:nvPicPr>
                        <pic:blipFill>
                          <a:blip r:embed="rId40"/>
                          <a:stretch>
                            <a:fillRect/>
                          </a:stretch>
                        </pic:blipFill>
                        <pic:spPr bwMode="auto">
                          <a:xfrm>
                            <a:off x="0" y="0"/>
                            <a:ext cx="447675" cy="495300"/>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82" w:type="dxa"/>
            <w:tcBorders/>
            <w:vAlign w:val="center"/>
          </w:tcPr>
          <w:p>
            <w:pPr>
              <w:pStyle w:val="TableContents"/>
              <w:bidi w:val="0"/>
              <w:spacing w:lineRule="atLeast" w:line="220" w:before="0" w:after="0"/>
              <w:jc w:val="center"/>
              <w:rPr/>
            </w:pPr>
            <w:r>
              <w:rPr>
                <w:spacing w:val="-11"/>
              </w:rPr>
              <w:t>EXPANSION IN HIGHER GROWTH CONSUMER-ORIENTED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6" w:type="dxa"/>
            <w:tcBorders/>
            <w:vAlign w:val="center"/>
          </w:tcPr>
          <w:p>
            <w:pPr>
              <w:pStyle w:val="TableContents"/>
              <w:bidi w:val="0"/>
              <w:spacing w:lineRule="atLeast" w:line="220" w:before="0" w:after="0"/>
              <w:jc w:val="center"/>
              <w:rPr/>
            </w:pPr>
            <w:r>
              <w:rPr>
                <w:spacing w:val="-11"/>
              </w:rPr>
              <w:t xml:space="preserve">DEEPENING POSITIONS IN </w:t>
              <w:br/>
              <w:t>CORE MARKETS AND GEOGRAPHIES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1" w:type="dxa"/>
            <w:tcBorders/>
            <w:vAlign w:val="center"/>
          </w:tcPr>
          <w:p>
            <w:pPr>
              <w:pStyle w:val="TableContents"/>
              <w:bidi w:val="0"/>
              <w:spacing w:before="0" w:after="0"/>
              <w:jc w:val="center"/>
              <w:rPr/>
            </w:pPr>
            <w:r>
              <w:rPr>
                <w:spacing w:val="-11"/>
              </w:rPr>
              <w:t>PRODUCT INNOVATION</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44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continued to drive forward our multi-pronged approach to profitable growth, and we made meaningful progress across all our long-term growth priorities in 2025:</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4237"/>
        <w:gridCol w:w="109"/>
        <w:gridCol w:w="109"/>
        <w:gridCol w:w="109"/>
        <w:gridCol w:w="4342"/>
        <w:gridCol w:w="155"/>
      </w:tblGrid>
      <w:tr>
        <w:trPr/>
        <w:tc>
          <w:tcPr>
            <w:tcW w:w="124" w:type="dxa"/>
            <w:tcBorders/>
            <w:shd w:fill="002F56" w:val="clear"/>
            <w:vAlign w:val="center"/>
          </w:tcPr>
          <w:p>
            <w:pPr>
              <w:pStyle w:val="TableContents"/>
              <w:bidi w:val="0"/>
              <w:spacing w:before="0" w:after="283"/>
              <w:jc w:val="left"/>
              <w:rPr/>
            </w:pPr>
            <w:r>
              <w:rPr/>
              <w:t>​</w:t>
            </w:r>
          </w:p>
        </w:tc>
        <w:tc>
          <w:tcPr>
            <w:tcW w:w="4237" w:type="dxa"/>
            <w:tcBorders/>
            <w:shd w:fill="002F56" w:val="clear"/>
            <w:vAlign w:val="center"/>
          </w:tcPr>
          <w:p>
            <w:pPr>
              <w:pStyle w:val="TableContents"/>
              <w:bidi w:val="0"/>
              <w:spacing w:lineRule="atLeast" w:line="180" w:before="0" w:after="0"/>
              <w:ind w:left="240" w:right="0" w:hanging="0"/>
              <w:jc w:val="left"/>
              <w:rPr/>
            </w:pPr>
            <w:r>
              <w:rPr>
                <w:spacing w:val="-1"/>
              </w:rPr>
              <w:t>Within Our</w:t>
            </w:r>
            <w:r>
              <w:rPr/>
              <w:t xml:space="preserve"> </w:t>
            </w:r>
          </w:p>
          <w:p>
            <w:pPr>
              <w:pStyle w:val="TableContents"/>
              <w:bidi w:val="0"/>
              <w:spacing w:lineRule="atLeast" w:line="160" w:before="20" w:after="283"/>
              <w:ind w:left="240" w:right="0" w:hanging="0"/>
              <w:jc w:val="left"/>
              <w:rPr>
                <w:b/>
                <w:color w:val="FEFEFE"/>
                <w:sz w:val="24"/>
              </w:rPr>
            </w:pPr>
            <w:r>
              <w:rPr>
                <w:b/>
                <w:color w:val="FEFEFE"/>
                <w:spacing w:val="-8"/>
                <w:sz w:val="24"/>
              </w:rPr>
              <w:t>CONSUMER &amp; SPECIALTIES</w:t>
            </w:r>
            <w:r>
              <w:rPr>
                <w:b/>
                <w:color w:val="FFFFFF"/>
                <w:spacing w:val="-1"/>
                <w:sz w:val="24"/>
              </w:rPr>
              <w:t xml:space="preserve"> </w:t>
            </w:r>
            <w:r>
              <w:rPr>
                <w:b w:val="false"/>
                <w:color w:val="FFFFFF"/>
                <w:spacing w:val="-1"/>
                <w:sz w:val="16"/>
              </w:rPr>
              <w:t xml:space="preserve">Segment </w:t>
            </w:r>
          </w:p>
        </w:tc>
        <w:tc>
          <w:tcPr>
            <w:tcW w:w="109" w:type="dxa"/>
            <w:tcBorders/>
            <w:shd w:fill="002F56" w:val="clear"/>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4342" w:type="dxa"/>
            <w:tcBorders/>
            <w:shd w:fill="002F56" w:val="clear"/>
            <w:vAlign w:val="center"/>
          </w:tcPr>
          <w:p>
            <w:pPr>
              <w:pStyle w:val="TableContents"/>
              <w:bidi w:val="0"/>
              <w:spacing w:lineRule="atLeast" w:line="180" w:before="0" w:after="0"/>
              <w:ind w:left="240" w:right="0" w:hanging="0"/>
              <w:jc w:val="left"/>
              <w:rPr/>
            </w:pPr>
            <w:r>
              <w:rPr>
                <w:spacing w:val="-1"/>
              </w:rPr>
              <w:t>Within Our</w:t>
            </w:r>
            <w:r>
              <w:rPr/>
              <w:t xml:space="preserve"> </w:t>
            </w:r>
          </w:p>
          <w:p>
            <w:pPr>
              <w:pStyle w:val="TableContents"/>
              <w:bidi w:val="0"/>
              <w:spacing w:lineRule="atLeast" w:line="160" w:before="20" w:after="283"/>
              <w:ind w:left="240" w:right="0" w:hanging="0"/>
              <w:jc w:val="left"/>
              <w:rPr>
                <w:b/>
                <w:color w:val="FEFEFE"/>
                <w:sz w:val="24"/>
              </w:rPr>
            </w:pPr>
            <w:r>
              <w:rPr>
                <w:b/>
                <w:color w:val="FEFEFE"/>
                <w:spacing w:val="-8"/>
                <w:sz w:val="24"/>
              </w:rPr>
              <w:t>ENGINEERED SOLUTIONS</w:t>
            </w:r>
            <w:r>
              <w:rPr>
                <w:b/>
                <w:color w:val="FFFFFF"/>
                <w:spacing w:val="-1"/>
                <w:sz w:val="24"/>
              </w:rPr>
              <w:t xml:space="preserve"> </w:t>
            </w:r>
            <w:r>
              <w:rPr>
                <w:b w:val="false"/>
                <w:color w:val="FFFFFF"/>
                <w:spacing w:val="-1"/>
                <w:sz w:val="16"/>
              </w:rPr>
              <w:t xml:space="preserve">Segment </w:t>
            </w:r>
          </w:p>
        </w:tc>
        <w:tc>
          <w:tcPr>
            <w:tcW w:w="155" w:type="dxa"/>
            <w:tcBorders/>
            <w:shd w:fill="002F5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37" w:type="dxa"/>
            <w:tcBorders/>
            <w:vAlign w:val="center"/>
          </w:tcPr>
          <w:p>
            <w:pPr>
              <w:pStyle w:val="TableContents"/>
              <w:bidi w:val="0"/>
              <w:spacing w:lineRule="atLeast" w:line="200" w:before="0" w:after="0"/>
              <w:ind w:left="180" w:right="0" w:hanging="0"/>
              <w:jc w:val="left"/>
              <w:rPr/>
            </w:pPr>
            <w:r>
              <w:rPr>
                <w:spacing w:val="-1"/>
              </w:rPr>
              <w:t xml:space="preserve">In our </w:t>
            </w:r>
            <w:r>
              <w:rPr>
                <w:b/>
                <w:spacing w:val="0"/>
              </w:rPr>
              <w:t>Household &amp; Personal Care (HPC)</w:t>
            </w:r>
            <w:r>
              <w:rPr>
                <w:spacing w:val="-1"/>
              </w:rPr>
              <w:t xml:space="preserve"> product line, we made several strategic investments that will further support growth starting in 2026. Those include:</w:t>
            </w:r>
            <w:r>
              <w:rPr/>
              <w:t xml:space="preserve"> </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114300" cy="350520"/>
                      <wp:effectExtent l="0" t="0" r="0" b="0"/>
                      <wp:wrapSquare wrapText="right"/>
                      <wp:docPr id="67" name="Frame2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360" w:right="180" w:hanging="0"/>
              <w:jc w:val="left"/>
              <w:rPr/>
            </w:pPr>
            <w:r>
              <w:rPr>
                <w:spacing w:val="-1"/>
              </w:rPr>
              <w:t>Upgrading cat litter hubs in the US and Canada to deliver high-quality products to our customers</w:t>
            </w:r>
            <w:r>
              <w:rPr/>
              <w:t xml:space="preserve"> </w:t>
            </w:r>
            <w:r>
              <mc:AlternateContent>
                <mc:Choice Requires="wps">
                  <w:drawing>
                    <wp:anchor behindDoc="0" distT="38100" distB="0" distL="114300" distR="0" simplePos="0" locked="0" layoutInCell="1" allowOverlap="1" relativeHeight="335">
                      <wp:simplePos x="0" y="0"/>
                      <wp:positionH relativeFrom="column">
                        <wp:align>left</wp:align>
                      </wp:positionH>
                      <wp:positionV relativeFrom="line">
                        <wp:align>top</wp:align>
                      </wp:positionV>
                      <wp:extent cx="114300" cy="350520"/>
                      <wp:effectExtent l="0" t="0" r="0" b="0"/>
                      <wp:wrapSquare wrapText="right"/>
                      <wp:docPr id="68" name="Frame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99"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Expanding capacity in rapidly growing cat litter market in Asia</w:t>
            </w:r>
            <w:r>
              <w:rPr/>
              <w:t xml:space="preserve"> </w:t>
            </w:r>
            <w:r>
              <mc:AlternateContent>
                <mc:Choice Requires="wps">
                  <w:drawing>
                    <wp:anchor behindDoc="0" distT="38100" distB="0" distL="114300" distR="0" simplePos="0" locked="0" layoutInCell="1" allowOverlap="1" relativeHeight="336">
                      <wp:simplePos x="0" y="0"/>
                      <wp:positionH relativeFrom="column">
                        <wp:align>left</wp:align>
                      </wp:positionH>
                      <wp:positionV relativeFrom="line">
                        <wp:align>top</wp:align>
                      </wp:positionV>
                      <wp:extent cx="114300" cy="350520"/>
                      <wp:effectExtent l="0" t="0" r="0" b="0"/>
                      <wp:wrapSquare wrapText="right"/>
                      <wp:docPr id="69" name="Frame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Expanding capacity to meet rapidly growing demand for sustainable aviation fuel and other renewable fuels</w:t>
            </w:r>
            <w:r>
              <w:rPr/>
              <w:t xml:space="preserve"> </w:t>
            </w:r>
            <w:r>
              <mc:AlternateContent>
                <mc:Choice Requires="wps">
                  <w:drawing>
                    <wp:anchor behindDoc="0" distT="38100" distB="0" distL="114300" distR="0" simplePos="0" locked="0" layoutInCell="1" allowOverlap="1" relativeHeight="337">
                      <wp:simplePos x="0" y="0"/>
                      <wp:positionH relativeFrom="column">
                        <wp:align>left</wp:align>
                      </wp:positionH>
                      <wp:positionV relativeFrom="line">
                        <wp:align>top</wp:align>
                      </wp:positionV>
                      <wp:extent cx="114300" cy="350520"/>
                      <wp:effectExtent l="0" t="0" r="0" b="0"/>
                      <wp:wrapSquare wrapText="right"/>
                      <wp:docPr id="70" name="Frame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360" w:right="180" w:hanging="0"/>
              <w:jc w:val="left"/>
              <w:rPr/>
            </w:pPr>
            <w:r>
              <w:rPr>
                <w:spacing w:val="-1"/>
              </w:rPr>
              <w:t>Expanding capacity for animal health and fabric care products</w:t>
            </w:r>
            <w:r>
              <w:rPr/>
              <w:t xml:space="preserve"> </w:t>
            </w:r>
            <w:r>
              <mc:AlternateContent>
                <mc:Choice Requires="wps">
                  <w:drawing>
                    <wp:anchor behindDoc="0" distT="38100" distB="0" distL="114300" distR="0" simplePos="0" locked="0" layoutInCell="1" allowOverlap="1" relativeHeight="338">
                      <wp:simplePos x="0" y="0"/>
                      <wp:positionH relativeFrom="column">
                        <wp:align>left</wp:align>
                      </wp:positionH>
                      <wp:positionV relativeFrom="line">
                        <wp:align>top</wp:align>
                      </wp:positionV>
                      <wp:extent cx="114300" cy="350520"/>
                      <wp:effectExtent l="0" t="0" r="0" b="0"/>
                      <wp:wrapSquare wrapText="right"/>
                      <wp:docPr id="71" name="Frame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99"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180" w:hanging="0"/>
              <w:jc w:val="left"/>
              <w:rPr/>
            </w:pPr>
            <w:r>
              <w:rPr>
                <w:spacing w:val="-1"/>
              </w:rPr>
              <w:t xml:space="preserve">In the </w:t>
            </w:r>
            <w:r>
              <w:rPr>
                <w:b/>
                <w:spacing w:val="0"/>
              </w:rPr>
              <w:t>Specialty Additives (SA)</w:t>
            </w:r>
            <w:r>
              <w:rPr>
                <w:spacing w:val="-1"/>
              </w:rPr>
              <w:t xml:space="preserve"> product line, we continued to execute against our growth initiatives in 2025 by:</w:t>
            </w:r>
            <w:r>
              <w:rPr/>
              <w:t xml:space="preserve"> </w:t>
            </w:r>
            <w:r>
              <mc:AlternateContent>
                <mc:Choice Requires="wps">
                  <w:drawing>
                    <wp:anchor behindDoc="0" distT="38100" distB="0" distL="0" distR="0" simplePos="0" locked="0" layoutInCell="1" allowOverlap="1" relativeHeight="339">
                      <wp:simplePos x="0" y="0"/>
                      <wp:positionH relativeFrom="column">
                        <wp:align>left</wp:align>
                      </wp:positionH>
                      <wp:positionV relativeFrom="line">
                        <wp:align>top</wp:align>
                      </wp:positionV>
                      <wp:extent cx="114300" cy="350520"/>
                      <wp:effectExtent l="0" t="0" r="0" b="0"/>
                      <wp:wrapSquare wrapText="right"/>
                      <wp:docPr id="72" name="Frame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Expanding our existing footprint in Asia with 3 new satellites and a capacity expansion in one of our India locations</w:t>
            </w:r>
            <w:r>
              <w:rPr/>
              <w:t xml:space="preserve"> </w:t>
            </w:r>
            <w:r>
              <mc:AlternateContent>
                <mc:Choice Requires="wps">
                  <w:drawing>
                    <wp:anchor behindDoc="0" distT="38100" distB="0" distL="114300" distR="0" simplePos="0" locked="0" layoutInCell="1" allowOverlap="1" relativeHeight="340">
                      <wp:simplePos x="0" y="0"/>
                      <wp:positionH relativeFrom="column">
                        <wp:align>left</wp:align>
                      </wp:positionH>
                      <wp:positionV relativeFrom="line">
                        <wp:align>top</wp:align>
                      </wp:positionV>
                      <wp:extent cx="114300" cy="350520"/>
                      <wp:effectExtent l="0" t="0" r="0" b="0"/>
                      <wp:wrapSquare wrapText="right"/>
                      <wp:docPr id="73" name="Frame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360" w:right="180" w:hanging="0"/>
              <w:jc w:val="left"/>
              <w:rPr/>
            </w:pPr>
            <w:r>
              <w:rPr>
                <w:spacing w:val="-1"/>
              </w:rPr>
              <w:t>Driving growth for our sustainable New Yield waste stream recycling technology</w:t>
            </w:r>
            <w:r>
              <w:rPr/>
              <w:t xml:space="preserve"> </w:t>
            </w:r>
            <w:r>
              <mc:AlternateContent>
                <mc:Choice Requires="wps">
                  <w:drawing>
                    <wp:anchor behindDoc="0" distT="38100" distB="0" distL="114300" distR="0" simplePos="0" locked="0" layoutInCell="1" allowOverlap="1" relativeHeight="341">
                      <wp:simplePos x="0" y="0"/>
                      <wp:positionH relativeFrom="column">
                        <wp:align>left</wp:align>
                      </wp:positionH>
                      <wp:positionV relativeFrom="line">
                        <wp:align>top</wp:align>
                      </wp:positionV>
                      <wp:extent cx="114300" cy="350520"/>
                      <wp:effectExtent l="0" t="0" r="0" b="0"/>
                      <wp:wrapSquare wrapText="right"/>
                      <wp:docPr id="74" name="Frame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99"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42" w:type="dxa"/>
            <w:tcBorders/>
            <w:vAlign w:val="center"/>
          </w:tcPr>
          <w:p>
            <w:pPr>
              <w:pStyle w:val="TableContents"/>
              <w:bidi w:val="0"/>
              <w:spacing w:lineRule="atLeast" w:line="200" w:before="0" w:after="0"/>
              <w:ind w:left="180" w:right="0" w:hanging="0"/>
              <w:jc w:val="left"/>
              <w:rPr/>
            </w:pPr>
            <w:r>
              <w:rPr>
                <w:spacing w:val="-1"/>
              </w:rPr>
              <w:t xml:space="preserve">We have world leading positions in our </w:t>
            </w:r>
            <w:r>
              <w:rPr>
                <w:b/>
                <w:spacing w:val="0"/>
              </w:rPr>
              <w:t>High-Temperature Technologies (HTT)</w:t>
            </w:r>
            <w:r>
              <w:rPr>
                <w:spacing w:val="-1"/>
              </w:rPr>
              <w:t xml:space="preserve"> product line serving customers in the steel and foundry markets. In 2025, we</w:t>
            </w:r>
            <w:r>
              <w:rPr/>
              <w:t xml:space="preserve"> </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114300" cy="350520"/>
                      <wp:effectExtent l="0" t="0" r="0" b="0"/>
                      <wp:wrapSquare wrapText="right"/>
                      <wp:docPr id="75" name="Frame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Delivered 9% volume growth to foundry customers in Asia as we continued to make progress on our penetration strategy</w:t>
            </w:r>
            <w:r>
              <w:rPr/>
              <w:t xml:space="preserve"> </w:t>
            </w:r>
            <w:r>
              <mc:AlternateContent>
                <mc:Choice Requires="wps">
                  <w:drawing>
                    <wp:anchor behindDoc="0" distT="38100" distB="0" distL="114300" distR="0" simplePos="0" locked="0" layoutInCell="1" allowOverlap="1" relativeHeight="343">
                      <wp:simplePos x="0" y="0"/>
                      <wp:positionH relativeFrom="column">
                        <wp:align>left</wp:align>
                      </wp:positionH>
                      <wp:positionV relativeFrom="line">
                        <wp:align>top</wp:align>
                      </wp:positionV>
                      <wp:extent cx="114300" cy="350520"/>
                      <wp:effectExtent l="0" t="0" r="0" b="0"/>
                      <wp:wrapSquare wrapText="right"/>
                      <wp:docPr id="76" name="Frame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Installed 4 of our automated Minscan® units at steel customers around the globe</w:t>
            </w:r>
            <w:r>
              <w:rPr/>
              <w:t xml:space="preserve"> </w:t>
            </w:r>
            <w:r>
              <mc:AlternateContent>
                <mc:Choice Requires="wps">
                  <w:drawing>
                    <wp:anchor behindDoc="0" distT="38100" distB="0" distL="114300" distR="0" simplePos="0" locked="0" layoutInCell="1" allowOverlap="1" relativeHeight="344">
                      <wp:simplePos x="0" y="0"/>
                      <wp:positionH relativeFrom="column">
                        <wp:align>left</wp:align>
                      </wp:positionH>
                      <wp:positionV relativeFrom="line">
                        <wp:align>top</wp:align>
                      </wp:positionV>
                      <wp:extent cx="114300" cy="350520"/>
                      <wp:effectExtent l="0" t="0" r="0" b="0"/>
                      <wp:wrapSquare wrapText="right"/>
                      <wp:docPr id="77" name="Frame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Launched new high-durability refractory products for EAF furnaces</w:t>
            </w:r>
            <w:r>
              <w:rPr/>
              <w:t xml:space="preserve"> </w:t>
            </w:r>
            <w:r>
              <mc:AlternateContent>
                <mc:Choice Requires="wps">
                  <w:drawing>
                    <wp:anchor behindDoc="0" distT="38100" distB="0" distL="114300" distR="0" simplePos="0" locked="0" layoutInCell="1" allowOverlap="1" relativeHeight="345">
                      <wp:simplePos x="0" y="0"/>
                      <wp:positionH relativeFrom="column">
                        <wp:align>left</wp:align>
                      </wp:positionH>
                      <wp:positionV relativeFrom="line">
                        <wp:align>top</wp:align>
                      </wp:positionV>
                      <wp:extent cx="114300" cy="350520"/>
                      <wp:effectExtent l="0" t="0" r="0" b="0"/>
                      <wp:wrapSquare wrapText="right"/>
                      <wp:docPr id="78" name="Frame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180" w:right="180" w:hanging="0"/>
              <w:jc w:val="left"/>
              <w:rPr/>
            </w:pPr>
            <w:r>
              <w:rPr>
                <w:spacing w:val="-1"/>
              </w:rPr>
              <w:t xml:space="preserve">In the </w:t>
            </w:r>
            <w:r>
              <w:rPr>
                <w:b/>
                <w:spacing w:val="0"/>
              </w:rPr>
              <w:t>Environmental &amp; Infrastructure (E&amp;I)</w:t>
            </w:r>
            <w:r>
              <w:rPr>
                <w:spacing w:val="-1"/>
              </w:rPr>
              <w:t xml:space="preserve"> product line, we</w:t>
            </w:r>
            <w:r>
              <w:rPr/>
              <w:t xml:space="preserve"> </w:t>
            </w:r>
            <w:r>
              <mc:AlternateContent>
                <mc:Choice Requires="wps">
                  <w:drawing>
                    <wp:anchor behindDoc="0" distT="38100" distB="0" distL="0" distR="0" simplePos="0" locked="0" layoutInCell="1" allowOverlap="1" relativeHeight="346">
                      <wp:simplePos x="0" y="0"/>
                      <wp:positionH relativeFrom="column">
                        <wp:align>left</wp:align>
                      </wp:positionH>
                      <wp:positionV relativeFrom="line">
                        <wp:align>top</wp:align>
                      </wp:positionV>
                      <wp:extent cx="114300" cy="350520"/>
                      <wp:effectExtent l="0" t="0" r="0" b="0"/>
                      <wp:wrapSquare wrapText="right"/>
                      <wp:docPr id="79" name="Frame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9"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Installed 8 full-scale PFAS remediation solutions for municipal drinking water facilities by end of 2025</w:t>
            </w:r>
            <w:r>
              <w:rPr/>
              <w:t xml:space="preserve"> </w:t>
            </w:r>
            <w:r>
              <mc:AlternateContent>
                <mc:Choice Requires="wps">
                  <w:drawing>
                    <wp:anchor behindDoc="0" distT="38100" distB="0" distL="114300" distR="0" simplePos="0" locked="0" layoutInCell="1" allowOverlap="1" relativeHeight="347">
                      <wp:simplePos x="0" y="0"/>
                      <wp:positionH relativeFrom="column">
                        <wp:align>left</wp:align>
                      </wp:positionH>
                      <wp:positionV relativeFrom="line">
                        <wp:align>top</wp:align>
                      </wp:positionV>
                      <wp:extent cx="114300" cy="350520"/>
                      <wp:effectExtent l="0" t="0" r="0" b="0"/>
                      <wp:wrapSquare wrapText="right"/>
                      <wp:docPr id="80" name="Frame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Continued to grow sales of our advanced drilling products for grid hardening and infrastructure applications</w:t>
            </w:r>
            <w:r>
              <w:rPr/>
              <w:t xml:space="preserve"> </w:t>
            </w:r>
            <w:r>
              <mc:AlternateContent>
                <mc:Choice Requires="wps">
                  <w:drawing>
                    <wp:anchor behindDoc="0" distT="38100" distB="0" distL="114300" distR="0" simplePos="0" locked="0" layoutInCell="1" allowOverlap="1" relativeHeight="348">
                      <wp:simplePos x="0" y="0"/>
                      <wp:positionH relativeFrom="column">
                        <wp:align>left</wp:align>
                      </wp:positionH>
                      <wp:positionV relativeFrom="line">
                        <wp:align>top</wp:align>
                      </wp:positionV>
                      <wp:extent cx="114300" cy="350520"/>
                      <wp:effectExtent l="0" t="0" r="0" b="0"/>
                      <wp:wrapSquare wrapText="right"/>
                      <wp:docPr id="81" name="Frame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252"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Innovation is a fundamental part of MTI’s history and one of the pillars of our continuous long-term, sustainable growth. In 2025, 19% of our revenue was from sales of new products commercialized in the past five years. In addition, 67% of MTI’s new products will support our or our customers’ sustainability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unique global mineral reserves and differentiated technologies enable us to deliver new products aligned with sustainable trends across all four product lines, such as: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HPC:</w:t>
      </w:r>
      <w:r>
        <w:rPr>
          <w:rFonts w:ascii="Arial;Helvetica;sans-serif" w:hAnsi="Arial;Helvetica;sans-serif"/>
          <w:b w:val="false"/>
          <w:i w:val="false"/>
          <w:caps w:val="false"/>
          <w:smallCaps w:val="false"/>
          <w:color w:val="000000"/>
          <w:spacing w:val="-1"/>
          <w:sz w:val="18"/>
        </w:rPr>
        <w:t>   Natural ingredients for personal care and farm animals; clean energy and alternative fuel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9050" distB="0" distL="127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82"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5pt;mso-wrap-distance-bottom:0pt;margin-top:1.5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SA:</w:t>
      </w:r>
      <w:r>
        <w:rPr>
          <w:rFonts w:ascii="Arial;Helvetica;sans-serif" w:hAnsi="Arial;Helvetica;sans-serif"/>
          <w:b w:val="false"/>
          <w:i w:val="false"/>
          <w:caps w:val="false"/>
          <w:smallCaps w:val="false"/>
          <w:color w:val="000000"/>
          <w:spacing w:val="-1"/>
          <w:sz w:val="18"/>
        </w:rPr>
        <w:t>     Decarbonization; recycling and sustainable packaging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83"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HTT:</w:t>
      </w:r>
      <w:r>
        <w:rPr>
          <w:rFonts w:ascii="Arial;Helvetica;sans-serif" w:hAnsi="Arial;Helvetica;sans-serif"/>
          <w:b w:val="false"/>
          <w:i w:val="false"/>
          <w:caps w:val="false"/>
          <w:smallCaps w:val="false"/>
          <w:color w:val="000000"/>
          <w:spacing w:val="-1"/>
          <w:sz w:val="18"/>
        </w:rPr>
        <w:t>    Emission reduction; increase in efficiency technologies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84"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E&amp;I:</w:t>
      </w:r>
      <w:r>
        <w:rPr>
          <w:rFonts w:ascii="Arial;Helvetica;sans-serif" w:hAnsi="Arial;Helvetica;sans-serif"/>
          <w:b w:val="false"/>
          <w:i w:val="false"/>
          <w:caps w:val="false"/>
          <w:smallCaps w:val="false"/>
          <w:color w:val="000000"/>
          <w:spacing w:val="-1"/>
          <w:sz w:val="18"/>
        </w:rPr>
        <w:t>    Water purification; environmental conservation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85"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continue to closely collaborate with our customers and focus our efforts on developing the highest value products to meet our customers’ needs.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D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BOARD OF DIRECTORS OVERVIEW</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Directors exhibit an effective mix of skills, experience, and diversity. As part of the Board’s ongoing commitment to maintaining diverse viewpoints and a broad range of skills and experiences, the Board continues to refresh itself to infuse unique ideas and fresh perspectives into the boardroom.</w:t>
      </w:r>
      <w:r>
        <w:rPr>
          <w:rFonts w:ascii="Arial;Helvetica;sans-serif" w:hAnsi="Arial;Helvetica;sans-serif"/>
          <w:b w:val="false"/>
          <w:i w:val="false"/>
          <w:caps w:val="false"/>
          <w:smallCaps w:val="false"/>
          <w:color w:val="000000"/>
          <w:spacing w:val="4"/>
          <w:sz w:val="18"/>
        </w:rPr>
        <w:t xml:space="preserve"> </w:t>
      </w:r>
    </w:p>
    <w:tbl>
      <w:tblPr>
        <w:tblW w:w="11983" w:type="dxa"/>
        <w:jc w:val="left"/>
        <w:tblInd w:w="1020" w:type="dxa"/>
        <w:tblLayout w:type="fixed"/>
        <w:tblCellMar>
          <w:top w:w="0" w:type="dxa"/>
          <w:left w:w="0" w:type="dxa"/>
          <w:bottom w:w="0" w:type="dxa"/>
          <w:right w:w="0" w:type="dxa"/>
        </w:tblCellMar>
      </w:tblPr>
      <w:tblGrid>
        <w:gridCol w:w="956"/>
        <w:gridCol w:w="109"/>
        <w:gridCol w:w="109"/>
        <w:gridCol w:w="1370"/>
        <w:gridCol w:w="109"/>
        <w:gridCol w:w="109"/>
        <w:gridCol w:w="511"/>
        <w:gridCol w:w="109"/>
        <w:gridCol w:w="109"/>
        <w:gridCol w:w="886"/>
        <w:gridCol w:w="109"/>
        <w:gridCol w:w="109"/>
        <w:gridCol w:w="1276"/>
        <w:gridCol w:w="109"/>
        <w:gridCol w:w="109"/>
        <w:gridCol w:w="1141"/>
        <w:gridCol w:w="109"/>
        <w:gridCol w:w="109"/>
        <w:gridCol w:w="1471"/>
        <w:gridCol w:w="109"/>
        <w:gridCol w:w="109"/>
        <w:gridCol w:w="1261"/>
        <w:gridCol w:w="109"/>
        <w:gridCol w:w="109"/>
        <w:gridCol w:w="886"/>
        <w:gridCol w:w="109"/>
        <w:gridCol w:w="109"/>
        <w:gridCol w:w="109"/>
        <w:gridCol w:w="154"/>
      </w:tblGrid>
      <w:tr>
        <w:trPr/>
        <w:tc>
          <w:tcPr>
            <w:tcW w:w="2544" w:type="dxa"/>
            <w:gridSpan w:val="4"/>
            <w:vMerge w:val="restart"/>
            <w:tcBorders/>
            <w:shd w:fill="002F56" w:val="clear"/>
            <w:vAlign w:val="center"/>
          </w:tcPr>
          <w:p>
            <w:pPr>
              <w:pStyle w:val="TableContents"/>
              <w:bidi w:val="0"/>
              <w:spacing w:lineRule="atLeast" w:line="142" w:before="0" w:after="0"/>
              <w:ind w:left="120" w:right="0" w:hanging="0"/>
              <w:jc w:val="left"/>
              <w:rPr/>
            </w:pPr>
            <w:r>
              <w:rPr>
                <w:spacing w:val="0"/>
              </w:rPr>
              <w:t>Name and Professional Background</w:t>
            </w:r>
            <w:r>
              <w:rPr/>
              <w:t xml:space="preserve"> </w:t>
              <w:br/>
            </w:r>
            <w:r>
              <w:rPr>
                <w:spacing w:val="-2"/>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511" w:type="dxa"/>
            <w:vMerge w:val="restart"/>
            <w:tcBorders/>
            <w:shd w:fill="002F56" w:val="clear"/>
            <w:vAlign w:val="center"/>
          </w:tcPr>
          <w:p>
            <w:pPr>
              <w:pStyle w:val="TableContents"/>
              <w:bidi w:val="0"/>
              <w:spacing w:lineRule="atLeast" w:line="142" w:before="0" w:after="0"/>
              <w:jc w:val="center"/>
              <w:rPr/>
            </w:pPr>
            <w:r>
              <w:rPr>
                <w:spacing w:val="0"/>
              </w:rPr>
              <w:t>Age</w:t>
            </w:r>
            <w:r>
              <w:rPr/>
              <w:t xml:space="preserve"> </w:t>
              <w:br/>
            </w:r>
            <w:r>
              <w:rPr>
                <w:spacing w:val="-2"/>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886" w:type="dxa"/>
            <w:vMerge w:val="restart"/>
            <w:tcBorders/>
            <w:shd w:fill="002F56" w:val="clear"/>
            <w:vAlign w:val="center"/>
          </w:tcPr>
          <w:p>
            <w:pPr>
              <w:pStyle w:val="TableContents"/>
              <w:bidi w:val="0"/>
              <w:spacing w:lineRule="atLeast" w:line="180" w:before="0" w:after="0"/>
              <w:jc w:val="center"/>
              <w:rPr/>
            </w:pPr>
            <w:r>
              <w:rPr>
                <w:spacing w:val="0"/>
              </w:rPr>
              <w:t xml:space="preserve">Director </w:t>
              <w:br/>
              <w:t>Since</w:t>
            </w:r>
            <w:r>
              <w:rPr/>
              <w:t xml:space="preserve"> </w:t>
              <w:br/>
            </w:r>
            <w:r>
              <w:rPr>
                <w:spacing w:val="-2"/>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1276" w:type="dxa"/>
            <w:vMerge w:val="restart"/>
            <w:tcBorders/>
            <w:shd w:fill="002F56" w:val="clear"/>
            <w:vAlign w:val="center"/>
          </w:tcPr>
          <w:p>
            <w:pPr>
              <w:pStyle w:val="TableContents"/>
              <w:bidi w:val="0"/>
              <w:spacing w:lineRule="atLeast" w:line="142" w:before="0" w:after="0"/>
              <w:jc w:val="center"/>
              <w:rPr/>
            </w:pPr>
            <w:r>
              <w:rPr>
                <w:spacing w:val="0"/>
              </w:rPr>
              <w:t>Independent</w:t>
            </w:r>
            <w:r>
              <w:rPr/>
              <w:t xml:space="preserve"> </w:t>
              <w:br/>
            </w:r>
            <w:r>
              <w:rPr>
                <w:spacing w:val="-2"/>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tcMar>
              <w:bottom w:w="28" w:type="dxa"/>
            </w:tcMar>
            <w:vAlign w:val="center"/>
          </w:tcPr>
          <w:p>
            <w:pPr>
              <w:pStyle w:val="TableContents"/>
              <w:bidi w:val="0"/>
              <w:spacing w:before="0" w:after="283"/>
              <w:jc w:val="left"/>
              <w:rPr/>
            </w:pPr>
            <w:r>
              <w:rPr/>
              <w:t>​</w:t>
            </w:r>
          </w:p>
        </w:tc>
        <w:tc>
          <w:tcPr>
            <w:tcW w:w="4309" w:type="dxa"/>
            <w:gridSpan w:val="7"/>
            <w:tcBorders>
              <w:bottom w:val="single" w:sz="2" w:space="0" w:color="71B1C8"/>
            </w:tcBorders>
            <w:shd w:fill="002F56" w:val="clear"/>
            <w:tcMar>
              <w:bottom w:w="50" w:type="dxa"/>
            </w:tcMar>
            <w:vAlign w:val="center"/>
          </w:tcPr>
          <w:p>
            <w:pPr>
              <w:pStyle w:val="TableContents"/>
              <w:bidi w:val="0"/>
              <w:spacing w:before="0" w:after="0"/>
              <w:jc w:val="center"/>
              <w:rPr>
                <w:spacing w:val="0"/>
              </w:rPr>
            </w:pPr>
            <w:r>
              <w:rPr>
                <w:spacing w:val="0"/>
              </w:rPr>
              <w:t xml:space="preserve">Committees of the Board </w:t>
            </w:r>
          </w:p>
        </w:tc>
        <w:tc>
          <w:tcPr>
            <w:tcW w:w="109" w:type="dxa"/>
            <w:tcBorders>
              <w:bottom w:val="single" w:sz="2" w:space="0" w:color="71B1C8"/>
            </w:tcBorders>
            <w:shd w:fill="002F56" w:val="clear"/>
            <w:tcMar>
              <w:bottom w:w="28" w:type="dxa"/>
            </w:tcM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886" w:type="dxa"/>
            <w:vMerge w:val="restart"/>
            <w:tcBorders/>
            <w:shd w:fill="002F56" w:val="clear"/>
            <w:vAlign w:val="center"/>
          </w:tcPr>
          <w:p>
            <w:pPr>
              <w:pStyle w:val="TableContents"/>
              <w:bidi w:val="0"/>
              <w:spacing w:lineRule="atLeast" w:line="180" w:before="0" w:after="0"/>
              <w:jc w:val="center"/>
              <w:rPr/>
            </w:pPr>
            <w:r>
              <w:rPr>
                <w:spacing w:val="0"/>
              </w:rPr>
              <w:t xml:space="preserve">Number </w:t>
              <w:br/>
              <w:t xml:space="preserve">of Other </w:t>
            </w:r>
            <w:r>
              <w:rPr/>
              <w:br/>
            </w:r>
            <w:r>
              <w:rPr>
                <w:spacing w:val="-2"/>
              </w:rPr>
              <w:t xml:space="preserve">U.S. </w:t>
            </w:r>
            <w:r>
              <w:rPr/>
              <w:br/>
            </w:r>
            <w:r>
              <w:rPr>
                <w:spacing w:val="0"/>
              </w:rPr>
              <w:t xml:space="preserve">Public </w:t>
              <w:br/>
              <w:t>Boards</w:t>
            </w:r>
            <w:r>
              <w:rPr/>
              <w:t xml:space="preserve"> </w:t>
              <w:br/>
            </w:r>
            <w:r>
              <w:rPr>
                <w:spacing w:val="-2"/>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2544" w:type="dxa"/>
            <w:gridSpan w:val="4"/>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511"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886"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276"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1141" w:type="dxa"/>
            <w:tcBorders/>
            <w:shd w:fill="002F56" w:val="clear"/>
            <w:vAlign w:val="center"/>
          </w:tcPr>
          <w:p>
            <w:pPr>
              <w:pStyle w:val="TableContents"/>
              <w:bidi w:val="0"/>
              <w:spacing w:before="0" w:after="0"/>
              <w:jc w:val="center"/>
              <w:rPr/>
            </w:pPr>
            <w:r>
              <w:rPr>
                <w:spacing w:val="0"/>
              </w:rPr>
              <w:t xml:space="preserve">Audit </w:t>
              <w:br/>
              <w:t>Committee</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1" w:type="dxa"/>
            <w:tcBorders/>
            <w:shd w:fill="002F56" w:val="clear"/>
            <w:vAlign w:val="center"/>
          </w:tcPr>
          <w:p>
            <w:pPr>
              <w:pStyle w:val="TableContents"/>
              <w:bidi w:val="0"/>
              <w:spacing w:before="0" w:after="0"/>
              <w:jc w:val="center"/>
              <w:rPr/>
            </w:pPr>
            <w:r>
              <w:rPr>
                <w:spacing w:val="0"/>
              </w:rPr>
              <w:t xml:space="preserve">Compensation </w:t>
              <w:br/>
              <w:t>Committee</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261" w:type="dxa"/>
            <w:tcBorders/>
            <w:shd w:fill="002F56" w:val="clear"/>
            <w:vAlign w:val="center"/>
          </w:tcPr>
          <w:p>
            <w:pPr>
              <w:pStyle w:val="TableContents"/>
              <w:bidi w:val="0"/>
              <w:spacing w:before="0" w:after="0"/>
              <w:jc w:val="center"/>
              <w:rPr/>
            </w:pPr>
            <w:r>
              <w:rPr>
                <w:spacing w:val="0"/>
              </w:rPr>
              <w:t xml:space="preserve">Corporate </w:t>
              <w:br/>
              <w:t xml:space="preserve">Governance </w:t>
              <w:br/>
              <w:t xml:space="preserve">and Nominating </w:t>
              <w:br/>
              <w:t>Committee</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vMerge w:val="continue"/>
            <w:tcBorders/>
            <w:shd w:fill="002F56" w:val="clear"/>
            <w:vAlign w:val="center"/>
          </w:tcPr>
          <w:p>
            <w:pPr>
              <w:pStyle w:val="Normal"/>
              <w:bidi w:val="0"/>
              <w:jc w:val="left"/>
              <w:rPr/>
            </w:pPr>
            <w:r>
              <w:rPr/>
            </w:r>
          </w:p>
        </w:tc>
        <w:tc>
          <w:tcPr>
            <w:tcW w:w="886"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41"/>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Joseph C. Breunig</w:t>
            </w:r>
            <w:r>
              <w:rPr/>
              <w:t xml:space="preserve"> </w:t>
              <w:br/>
            </w:r>
            <w:r>
              <w:rPr>
                <w:spacing w:val="-1"/>
              </w:rPr>
              <w:t xml:space="preserve">President, OrthoLite Cirql, LLC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64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2014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8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1" descr=""/>
                          <pic:cNvPicPr>
                            <a:picLocks noChangeAspect="1" noChangeArrowheads="1"/>
                          </pic:cNvPicPr>
                        </pic:nvPicPr>
                        <pic:blipFill>
                          <a:blip r:embed="rId4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8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2" descr=""/>
                          <pic:cNvPicPr>
                            <a:picLocks noChangeAspect="1" noChangeArrowheads="1"/>
                          </pic:cNvPicPr>
                        </pic:nvPicPr>
                        <pic:blipFill>
                          <a:blip r:embed="rId43"/>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8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3" descr=""/>
                          <pic:cNvPicPr>
                            <a:picLocks noChangeAspect="1" noChangeArrowheads="1"/>
                          </pic:cNvPicPr>
                        </pic:nvPicPr>
                        <pic:blipFill>
                          <a:blip r:embed="rId4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9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4" descr=""/>
                          <pic:cNvPicPr>
                            <a:picLocks noChangeAspect="1" noChangeArrowheads="1"/>
                          </pic:cNvPicPr>
                        </pic:nvPicPr>
                        <pic:blipFill>
                          <a:blip r:embed="rId45"/>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John J. Carmola</w:t>
            </w:r>
            <w:r>
              <w:rPr/>
              <w:t xml:space="preserve"> </w:t>
              <w:br/>
            </w:r>
            <w:r>
              <w:rPr>
                <w:spacing w:val="-1"/>
              </w:rPr>
              <w:t xml:space="preserve">Former Segment President, Goodrich Corporation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70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2013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9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5" descr=""/>
                          <pic:cNvPicPr>
                            <a:picLocks noChangeAspect="1" noChangeArrowheads="1"/>
                          </pic:cNvPicPr>
                        </pic:nvPicPr>
                        <pic:blipFill>
                          <a:blip r:embed="rId4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9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6" descr=""/>
                          <pic:cNvPicPr>
                            <a:picLocks noChangeAspect="1" noChangeArrowheads="1"/>
                          </pic:cNvPicPr>
                        </pic:nvPicPr>
                        <pic:blipFill>
                          <a:blip r:embed="rId47"/>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9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7" descr=""/>
                          <pic:cNvPicPr>
                            <a:picLocks noChangeAspect="1" noChangeArrowheads="1"/>
                          </pic:cNvPicPr>
                        </pic:nvPicPr>
                        <pic:blipFill>
                          <a:blip r:embed="rId4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9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8" descr=""/>
                          <pic:cNvPicPr>
                            <a:picLocks noChangeAspect="1" noChangeArrowheads="1"/>
                          </pic:cNvPicPr>
                        </pic:nvPicPr>
                        <pic:blipFill>
                          <a:blip r:embed="rId49"/>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Robert L. Clark</w:t>
            </w:r>
            <w:r>
              <w:rPr/>
              <w:t xml:space="preserve"> </w:t>
              <w:br/>
            </w:r>
            <w:r>
              <w:rPr>
                <w:spacing w:val="-1"/>
              </w:rPr>
              <w:t xml:space="preserve">Former Provost and Senior Vice President for Research, University of Rochester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62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9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9" descr=""/>
                          <pic:cNvPicPr>
                            <a:picLocks noChangeAspect="1" noChangeArrowheads="1"/>
                          </pic:cNvPicPr>
                        </pic:nvPicPr>
                        <pic:blipFill>
                          <a:blip r:embed="rId50"/>
                          <a:stretch>
                            <a:fillRect/>
                          </a:stretch>
                        </pic:blipFill>
                        <pic:spPr bwMode="auto">
                          <a:xfrm>
                            <a:off x="0" y="0"/>
                            <a:ext cx="180975" cy="180975"/>
                          </a:xfrm>
                          <a:prstGeom prst="rect">
                            <a:avLst/>
                          </a:prstGeom>
                        </pic:spPr>
                      </pic:pic>
                    </a:graphicData>
                  </a:graphic>
                </wp:inline>
              </w:drawing>
            </w:r>
            <w:r>
              <w:rPr>
                <w:spacing w:val="-1"/>
              </w:rPr>
              <w:t> </w:t>
            </w:r>
            <w:r>
              <w:rPr/>
              <w:drawing>
                <wp:inline distT="0" distB="0" distL="0" distR="0">
                  <wp:extent cx="180975" cy="219075"/>
                  <wp:effectExtent l="0" t="0" r="0" b="0"/>
                  <wp:docPr id="9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0" descr=""/>
                          <pic:cNvPicPr>
                            <a:picLocks noChangeAspect="1" noChangeArrowheads="1"/>
                          </pic:cNvPicPr>
                        </pic:nvPicPr>
                        <pic:blipFill>
                          <a:blip r:embed="rId51"/>
                          <a:stretch>
                            <a:fillRect/>
                          </a:stretch>
                        </pic:blipFill>
                        <pic:spPr bwMode="auto">
                          <a:xfrm>
                            <a:off x="0" y="0"/>
                            <a:ext cx="180975" cy="2190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9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1" descr=""/>
                          <pic:cNvPicPr>
                            <a:picLocks noChangeAspect="1" noChangeArrowheads="1"/>
                          </pic:cNvPicPr>
                        </pic:nvPicPr>
                        <pic:blipFill>
                          <a:blip r:embed="rId52"/>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Alison A. Deans</w:t>
            </w:r>
            <w:r>
              <w:rPr/>
              <w:t xml:space="preserve"> </w:t>
              <w:br/>
            </w:r>
            <w:r>
              <w:rPr>
                <w:spacing w:val="-1"/>
              </w:rPr>
              <w:t xml:space="preserve">Independent consultant and former Chief Investment Officer, CRT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64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2019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9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2" descr=""/>
                          <pic:cNvPicPr>
                            <a:picLocks noChangeAspect="1" noChangeArrowheads="1"/>
                          </pic:cNvPicPr>
                        </pic:nvPicPr>
                        <pic:blipFill>
                          <a:blip r:embed="rId5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9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3" descr=""/>
                          <pic:cNvPicPr>
                            <a:picLocks noChangeAspect="1" noChangeArrowheads="1"/>
                          </pic:cNvPicPr>
                        </pic:nvPicPr>
                        <pic:blipFill>
                          <a:blip r:embed="rId54"/>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0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4" descr=""/>
                          <pic:cNvPicPr>
                            <a:picLocks noChangeAspect="1" noChangeArrowheads="1"/>
                          </pic:cNvPicPr>
                        </pic:nvPicPr>
                        <pic:blipFill>
                          <a:blip r:embed="rId55"/>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10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5" descr=""/>
                          <pic:cNvPicPr>
                            <a:picLocks noChangeAspect="1" noChangeArrowheads="1"/>
                          </pic:cNvPicPr>
                        </pic:nvPicPr>
                        <pic:blipFill>
                          <a:blip r:embed="rId56"/>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Douglas T. Dietrich</w:t>
            </w:r>
            <w:r>
              <w:rPr/>
              <w:t xml:space="preserve"> </w:t>
              <w:br/>
            </w:r>
            <w:r>
              <w:rPr>
                <w:spacing w:val="-1"/>
              </w:rPr>
              <w:t xml:space="preserve">Chairman of the Board and Chief Executive Officer, Minerals Technologies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57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2016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1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10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6" descr=""/>
                          <pic:cNvPicPr>
                            <a:picLocks noChangeAspect="1" noChangeArrowheads="1"/>
                          </pic:cNvPicPr>
                        </pic:nvPicPr>
                        <pic:blipFill>
                          <a:blip r:embed="rId57"/>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Franklin L. Feder</w:t>
            </w:r>
            <w:r>
              <w:rPr/>
              <w:t xml:space="preserve"> </w:t>
              <w:br/>
            </w:r>
            <w:r>
              <w:rPr>
                <w:spacing w:val="-1"/>
              </w:rPr>
              <w:t xml:space="preserve">Former Regional Chief Executive Officer for Latin America &amp; the Caribbean, Alcoa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75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2017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10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7" descr=""/>
                          <pic:cNvPicPr>
                            <a:picLocks noChangeAspect="1" noChangeArrowheads="1"/>
                          </pic:cNvPicPr>
                        </pic:nvPicPr>
                        <pic:blipFill>
                          <a:blip r:embed="rId5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0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8" descr=""/>
                          <pic:cNvPicPr>
                            <a:picLocks noChangeAspect="1" noChangeArrowheads="1"/>
                          </pic:cNvPicPr>
                        </pic:nvPicPr>
                        <pic:blipFill>
                          <a:blip r:embed="rId59"/>
                          <a:stretch>
                            <a:fillRect/>
                          </a:stretch>
                        </pic:blipFill>
                        <pic:spPr bwMode="auto">
                          <a:xfrm>
                            <a:off x="0" y="0"/>
                            <a:ext cx="180975" cy="209550"/>
                          </a:xfrm>
                          <a:prstGeom prst="rect">
                            <a:avLst/>
                          </a:prstGeom>
                        </pic:spPr>
                      </pic:pic>
                    </a:graphicData>
                  </a:graphic>
                </wp:inline>
              </w:drawing>
            </w:r>
            <w:r>
              <w:rPr>
                <w:spacing w:val="-1"/>
              </w:rPr>
              <w:t> </w:t>
            </w:r>
            <w:r>
              <w:rPr/>
              <w:drawing>
                <wp:inline distT="0" distB="0" distL="0" distR="0">
                  <wp:extent cx="180975" cy="180975"/>
                  <wp:effectExtent l="0" t="0" r="0" b="0"/>
                  <wp:docPr id="10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9" descr=""/>
                          <pic:cNvPicPr>
                            <a:picLocks noChangeAspect="1" noChangeArrowheads="1"/>
                          </pic:cNvPicPr>
                        </pic:nvPicPr>
                        <pic:blipFill>
                          <a:blip r:embed="rId6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0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0" descr=""/>
                          <pic:cNvPicPr>
                            <a:picLocks noChangeAspect="1" noChangeArrowheads="1"/>
                          </pic:cNvPicPr>
                        </pic:nvPicPr>
                        <pic:blipFill>
                          <a:blip r:embed="rId61"/>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10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1" descr=""/>
                          <pic:cNvPicPr>
                            <a:picLocks noChangeAspect="1" noChangeArrowheads="1"/>
                          </pic:cNvPicPr>
                        </pic:nvPicPr>
                        <pic:blipFill>
                          <a:blip r:embed="rId62"/>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Kristina M. Johnson</w:t>
            </w:r>
            <w:r>
              <w:rPr/>
              <w:t xml:space="preserve"> </w:t>
              <w:br/>
            </w:r>
            <w:r>
              <w:rPr>
                <w:spacing w:val="-1"/>
              </w:rPr>
              <w:t xml:space="preserve">Managing Partner, </w:t>
              <w:br/>
              <w:t>Catalyzer Venture Capital</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68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2024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10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2" descr=""/>
                          <pic:cNvPicPr>
                            <a:picLocks noChangeAspect="1" noChangeArrowheads="1"/>
                          </pic:cNvPicPr>
                        </pic:nvPicPr>
                        <pic:blipFill>
                          <a:blip r:embed="rId6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0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3" descr=""/>
                          <pic:cNvPicPr>
                            <a:picLocks noChangeAspect="1" noChangeArrowheads="1"/>
                          </pic:cNvPicPr>
                        </pic:nvPicPr>
                        <pic:blipFill>
                          <a:blip r:embed="rId64"/>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1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4" descr=""/>
                          <pic:cNvPicPr>
                            <a:picLocks noChangeAspect="1" noChangeArrowheads="1"/>
                          </pic:cNvPicPr>
                        </pic:nvPicPr>
                        <pic:blipFill>
                          <a:blip r:embed="rId65"/>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11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5" descr=""/>
                          <pic:cNvPicPr>
                            <a:picLocks noChangeAspect="1" noChangeArrowheads="1"/>
                          </pic:cNvPicPr>
                        </pic:nvPicPr>
                        <pic:blipFill>
                          <a:blip r:embed="rId66"/>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Rocky Motwani</w:t>
            </w:r>
            <w:r>
              <w:rPr/>
              <w:t xml:space="preserve"> </w:t>
              <w:br/>
            </w:r>
            <w:r>
              <w:rPr>
                <w:spacing w:val="-1"/>
              </w:rPr>
              <w:t xml:space="preserve">Chief Executive Officer, Cyphlens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52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2022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11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 descr=""/>
                          <pic:cNvPicPr>
                            <a:picLocks noChangeAspect="1" noChangeArrowheads="1"/>
                          </pic:cNvPicPr>
                        </pic:nvPicPr>
                        <pic:blipFill>
                          <a:blip r:embed="rId6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1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7" descr=""/>
                          <pic:cNvPicPr>
                            <a:picLocks noChangeAspect="1" noChangeArrowheads="1"/>
                          </pic:cNvPicPr>
                        </pic:nvPicPr>
                        <pic:blipFill>
                          <a:blip r:embed="rId68"/>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1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8" descr=""/>
                          <pic:cNvPicPr>
                            <a:picLocks noChangeAspect="1" noChangeArrowheads="1"/>
                          </pic:cNvPicPr>
                        </pic:nvPicPr>
                        <pic:blipFill>
                          <a:blip r:embed="rId69"/>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11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9" descr=""/>
                          <pic:cNvPicPr>
                            <a:picLocks noChangeAspect="1" noChangeArrowheads="1"/>
                          </pic:cNvPicPr>
                        </pic:nvPicPr>
                        <pic:blipFill>
                          <a:blip r:embed="rId70"/>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70"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0"/>
              </w:rPr>
              <w:t>Carolyn K. Pittman</w:t>
            </w:r>
            <w:r>
              <w:rPr/>
              <w:t xml:space="preserve"> </w:t>
              <w:br/>
            </w:r>
            <w:r>
              <w:rPr>
                <w:spacing w:val="-1"/>
              </w:rPr>
              <w:t xml:space="preserve">Former Senior Vice President and Chief Accounting Officer, Maxar Technologies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11"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62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2017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76"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11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0" descr=""/>
                          <pic:cNvPicPr>
                            <a:picLocks noChangeAspect="1" noChangeArrowheads="1"/>
                          </pic:cNvPicPr>
                        </pic:nvPicPr>
                        <pic:blipFill>
                          <a:blip r:embed="rId7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14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1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1" descr=""/>
                          <pic:cNvPicPr>
                            <a:picLocks noChangeAspect="1" noChangeArrowheads="1"/>
                          </pic:cNvPicPr>
                        </pic:nvPicPr>
                        <pic:blipFill>
                          <a:blip r:embed="rId72"/>
                          <a:stretch>
                            <a:fillRect/>
                          </a:stretch>
                        </pic:blipFill>
                        <pic:spPr bwMode="auto">
                          <a:xfrm>
                            <a:off x="0" y="0"/>
                            <a:ext cx="180975" cy="209550"/>
                          </a:xfrm>
                          <a:prstGeom prst="rect">
                            <a:avLst/>
                          </a:prstGeom>
                        </pic:spPr>
                      </pic:pic>
                    </a:graphicData>
                  </a:graphic>
                </wp:inline>
              </w:drawing>
            </w:r>
            <w:r>
              <w:rPr>
                <w:spacing w:val="-1"/>
              </w:rPr>
              <w:t> </w:t>
            </w:r>
            <w:r>
              <w:rPr/>
              <w:drawing>
                <wp:inline distT="0" distB="0" distL="0" distR="0">
                  <wp:extent cx="180975" cy="180975"/>
                  <wp:effectExtent l="0" t="0" r="0" b="0"/>
                  <wp:docPr id="11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2" descr=""/>
                          <pic:cNvPicPr>
                            <a:picLocks noChangeAspect="1" noChangeArrowheads="1"/>
                          </pic:cNvPicPr>
                        </pic:nvPicPr>
                        <pic:blipFill>
                          <a:blip r:embed="rId7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1"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261" w:type="dxa"/>
            <w:tcBorders>
              <w:bottom w:val="single" w:sz="6" w:space="0" w:color="CCCCCC"/>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1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3" descr=""/>
                          <pic:cNvPicPr>
                            <a:picLocks noChangeAspect="1" noChangeArrowheads="1"/>
                          </pic:cNvPicPr>
                        </pic:nvPicPr>
                        <pic:blipFill>
                          <a:blip r:embed="rId74"/>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86" w:type="dxa"/>
            <w:tcBorders>
              <w:bottom w:val="single" w:sz="6" w:space="0" w:color="CCCCCC"/>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56" w:type="dxa"/>
            <w:tcBorders>
              <w:bottom w:val="single" w:sz="2" w:space="0" w:color="002F56"/>
            </w:tcBorders>
            <w:tcMar>
              <w:bottom w:w="28" w:type="dxa"/>
            </w:tcMar>
            <w:vAlign w:val="center"/>
          </w:tcPr>
          <w:p>
            <w:pPr>
              <w:pStyle w:val="TableContents"/>
              <w:bidi w:val="0"/>
              <w:spacing w:before="0" w:after="0"/>
              <w:jc w:val="left"/>
              <w:rPr/>
            </w:pPr>
            <w:r>
              <w:rPr/>
              <w:drawing>
                <wp:inline distT="0" distB="0" distL="0" distR="0">
                  <wp:extent cx="542925" cy="542925"/>
                  <wp:effectExtent l="0" t="0" r="0" b="0"/>
                  <wp:docPr id="12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4" descr=""/>
                          <pic:cNvPicPr>
                            <a:picLocks noChangeAspect="1" noChangeArrowheads="1"/>
                          </pic:cNvPicPr>
                        </pic:nvPicPr>
                        <pic:blipFill>
                          <a:blip r:embed="rId75"/>
                          <a:stretch>
                            <a:fillRect/>
                          </a:stretch>
                        </pic:blipFill>
                        <pic:spPr bwMode="auto">
                          <a:xfrm>
                            <a:off x="0" y="0"/>
                            <a:ext cx="542925" cy="542925"/>
                          </a:xfrm>
                          <a:prstGeom prst="rect">
                            <a:avLst/>
                          </a:prstGeom>
                        </pic:spPr>
                      </pic:pic>
                    </a:graphicData>
                  </a:graphic>
                </wp:inline>
              </w:drawing>
            </w:r>
            <w:r>
              <w:rPr/>
              <w:t xml:space="preserve">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370" w:type="dxa"/>
            <w:tcBorders>
              <w:bottom w:val="single" w:sz="2" w:space="0" w:color="002F56"/>
            </w:tcBorders>
            <w:tcMar>
              <w:bottom w:w="28" w:type="dxa"/>
            </w:tcMar>
            <w:vAlign w:val="center"/>
          </w:tcPr>
          <w:p>
            <w:pPr>
              <w:pStyle w:val="TableContents"/>
              <w:bidi w:val="0"/>
              <w:spacing w:lineRule="atLeast" w:line="177" w:before="0" w:after="0"/>
              <w:jc w:val="left"/>
              <w:rPr/>
            </w:pPr>
            <w:r>
              <w:rPr>
                <w:b/>
                <w:spacing w:val="0"/>
              </w:rPr>
              <w:t>Marc E. Robinson</w:t>
            </w:r>
            <w:r>
              <w:rPr/>
              <w:t xml:space="preserve"> </w:t>
              <w:br/>
            </w:r>
            <w:r>
              <w:rPr>
                <w:spacing w:val="-1"/>
              </w:rPr>
              <w:t xml:space="preserve">Former Global President, Pfizer Consumer Healthcare; Former Company Group Chairman, Johnson &amp; Johnson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511" w:type="dxa"/>
            <w:tcBorders>
              <w:bottom w:val="single" w:sz="2" w:space="0" w:color="002F56"/>
            </w:tcBorders>
            <w:tcMar>
              <w:bottom w:w="28" w:type="dxa"/>
            </w:tcMar>
            <w:vAlign w:val="center"/>
          </w:tcPr>
          <w:p>
            <w:pPr>
              <w:pStyle w:val="TableContents"/>
              <w:bidi w:val="0"/>
              <w:spacing w:lineRule="atLeast" w:line="178" w:before="0" w:after="0"/>
              <w:jc w:val="center"/>
              <w:rPr>
                <w:spacing w:val="-1"/>
              </w:rPr>
            </w:pPr>
            <w:r>
              <w:rPr>
                <w:spacing w:val="-1"/>
              </w:rPr>
              <w:t xml:space="preserve">65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886" w:type="dxa"/>
            <w:tcBorders>
              <w:bottom w:val="single" w:sz="2" w:space="0" w:color="002F56"/>
            </w:tcBorders>
            <w:tcMar>
              <w:bottom w:w="28" w:type="dxa"/>
            </w:tcMar>
            <w:vAlign w:val="center"/>
          </w:tcPr>
          <w:p>
            <w:pPr>
              <w:pStyle w:val="TableContents"/>
              <w:bidi w:val="0"/>
              <w:spacing w:lineRule="atLeast" w:line="178" w:before="0" w:after="0"/>
              <w:jc w:val="center"/>
              <w:rPr>
                <w:spacing w:val="-1"/>
              </w:rPr>
            </w:pPr>
            <w:r>
              <w:rPr>
                <w:spacing w:val="-1"/>
              </w:rPr>
              <w:t xml:space="preserve">2012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276" w:type="dxa"/>
            <w:tcBorders>
              <w:bottom w:val="single" w:sz="2" w:space="0" w:color="002F56"/>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12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5" descr=""/>
                          <pic:cNvPicPr>
                            <a:picLocks noChangeAspect="1" noChangeArrowheads="1"/>
                          </pic:cNvPicPr>
                        </pic:nvPicPr>
                        <pic:blipFill>
                          <a:blip r:embed="rId7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141" w:type="dxa"/>
            <w:tcBorders>
              <w:bottom w:val="single" w:sz="2" w:space="0" w:color="002F56"/>
            </w:tcBorders>
            <w:tcMar>
              <w:bottom w:w="28" w:type="dxa"/>
            </w:tcMar>
            <w:vAlign w:val="center"/>
          </w:tcPr>
          <w:p>
            <w:pPr>
              <w:pStyle w:val="TableContents"/>
              <w:bidi w:val="0"/>
              <w:spacing w:before="0" w:after="0"/>
              <w:jc w:val="center"/>
              <w:rPr/>
            </w:pPr>
            <w:r>
              <w:rPr/>
              <w:drawing>
                <wp:inline distT="0" distB="0" distL="0" distR="0">
                  <wp:extent cx="180975" cy="180975"/>
                  <wp:effectExtent l="0" t="0" r="0" b="0"/>
                  <wp:docPr id="12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6" descr=""/>
                          <pic:cNvPicPr>
                            <a:picLocks noChangeAspect="1" noChangeArrowheads="1"/>
                          </pic:cNvPicPr>
                        </pic:nvPicPr>
                        <pic:blipFill>
                          <a:blip r:embed="rId7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471"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261" w:type="dxa"/>
            <w:tcBorders>
              <w:bottom w:val="single" w:sz="2" w:space="0" w:color="002F56"/>
            </w:tcBorders>
            <w:tcMar>
              <w:bottom w:w="28" w:type="dxa"/>
            </w:tcMar>
            <w:vAlign w:val="center"/>
          </w:tcPr>
          <w:p>
            <w:pPr>
              <w:pStyle w:val="TableContents"/>
              <w:bidi w:val="0"/>
              <w:spacing w:before="0" w:after="0"/>
              <w:jc w:val="center"/>
              <w:rPr/>
            </w:pPr>
            <w:r>
              <w:rPr/>
              <w:drawing>
                <wp:inline distT="0" distB="0" distL="0" distR="0">
                  <wp:extent cx="180975" cy="209550"/>
                  <wp:effectExtent l="0" t="0" r="0" b="0"/>
                  <wp:docPr id="12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7" descr=""/>
                          <pic:cNvPicPr>
                            <a:picLocks noChangeAspect="1" noChangeArrowheads="1"/>
                          </pic:cNvPicPr>
                        </pic:nvPicPr>
                        <pic:blipFill>
                          <a:blip r:embed="rId78"/>
                          <a:stretch>
                            <a:fillRect/>
                          </a:stretch>
                        </pic:blipFill>
                        <pic:spPr bwMode="auto">
                          <a:xfrm>
                            <a:off x="0" y="0"/>
                            <a:ext cx="180975" cy="209550"/>
                          </a:xfrm>
                          <a:prstGeom prst="rect">
                            <a:avLst/>
                          </a:prstGeom>
                        </pic:spPr>
                      </pic:pic>
                    </a:graphicData>
                  </a:graphic>
                </wp:inline>
              </w:drawing>
            </w:r>
            <w:r>
              <w:rPr/>
              <w:t xml:space="preserve">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886" w:type="dxa"/>
            <w:tcBorders>
              <w:bottom w:val="single" w:sz="2" w:space="0" w:color="002F56"/>
            </w:tcBorders>
            <w:tcMar>
              <w:bottom w:w="28" w:type="dxa"/>
            </w:tcMar>
            <w:vAlign w:val="center"/>
          </w:tcPr>
          <w:p>
            <w:pPr>
              <w:pStyle w:val="TableContents"/>
              <w:bidi w:val="0"/>
              <w:spacing w:lineRule="atLeast" w:line="178" w:before="0" w:after="0"/>
              <w:jc w:val="center"/>
              <w:rPr>
                <w:spacing w:val="-1"/>
              </w:rPr>
            </w:pPr>
            <w:r>
              <w:rPr>
                <w:spacing w:val="-1"/>
              </w:rPr>
              <w:t xml:space="preserve">0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2544" w:type="dxa"/>
            <w:gridSpan w:val="4"/>
            <w:tcBorders>
              <w:bottom w:val="single" w:sz="12" w:space="0" w:color="71B1C8"/>
            </w:tcBorders>
            <w:tcMar>
              <w:bottom w:w="28" w:type="dxa"/>
            </w:tcMar>
            <w:vAlign w:val="center"/>
          </w:tcPr>
          <w:p>
            <w:pPr>
              <w:pStyle w:val="TableContents"/>
              <w:bidi w:val="0"/>
              <w:spacing w:before="0" w:after="0"/>
              <w:jc w:val="left"/>
              <w:rPr>
                <w:b/>
              </w:rPr>
            </w:pPr>
            <w:r>
              <w:rPr>
                <w:b/>
                <w:spacing w:val="0"/>
              </w:rPr>
              <w:t>Number of Meetings in 2025</w:t>
            </w:r>
            <w:r>
              <w:rPr>
                <w:b/>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511"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886" w:type="dxa"/>
            <w:tcBorders>
              <w:bottom w:val="single" w:sz="12" w:space="0" w:color="71B1C8"/>
            </w:tcBorders>
            <w:tcMar>
              <w:bottom w:w="28" w:type="dxa"/>
            </w:tcMar>
            <w:vAlign w:val="center"/>
          </w:tcPr>
          <w:p>
            <w:pPr>
              <w:pStyle w:val="TableContents"/>
              <w:bidi w:val="0"/>
              <w:spacing w:before="0" w:after="0"/>
              <w:jc w:val="center"/>
              <w:rPr/>
            </w:pPr>
            <w:r>
              <w:rPr>
                <w:spacing w:val="-1"/>
              </w:rPr>
              <w:t>Board — </w:t>
            </w:r>
            <w:r>
              <w:rPr>
                <w:b/>
                <w:spacing w:val="-2"/>
              </w:rPr>
              <w:t>5</w:t>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276"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141" w:type="dxa"/>
            <w:tcBorders>
              <w:bottom w:val="single" w:sz="12" w:space="0" w:color="71B1C8"/>
            </w:tcBorders>
            <w:tcMar>
              <w:bottom w:w="28" w:type="dxa"/>
            </w:tcMar>
            <w:vAlign w:val="center"/>
          </w:tcPr>
          <w:p>
            <w:pPr>
              <w:pStyle w:val="TableContents"/>
              <w:bidi w:val="0"/>
              <w:spacing w:before="0" w:after="0"/>
              <w:jc w:val="center"/>
              <w:rPr>
                <w:b/>
              </w:rPr>
            </w:pPr>
            <w:r>
              <w:rPr>
                <w:b/>
                <w:spacing w:val="-2"/>
              </w:rPr>
              <w:t>5</w:t>
            </w:r>
            <w:r>
              <w:rPr>
                <w:b/>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71" w:type="dxa"/>
            <w:tcBorders>
              <w:bottom w:val="single" w:sz="12" w:space="0" w:color="71B1C8"/>
            </w:tcBorders>
            <w:tcMar>
              <w:bottom w:w="28" w:type="dxa"/>
            </w:tcMar>
            <w:vAlign w:val="center"/>
          </w:tcPr>
          <w:p>
            <w:pPr>
              <w:pStyle w:val="TableContents"/>
              <w:bidi w:val="0"/>
              <w:spacing w:before="0" w:after="0"/>
              <w:jc w:val="center"/>
              <w:rPr>
                <w:b/>
              </w:rPr>
            </w:pPr>
            <w:r>
              <w:rPr>
                <w:b/>
                <w:spacing w:val="-2"/>
              </w:rPr>
              <w:t>3</w:t>
            </w:r>
            <w:r>
              <w:rPr>
                <w:b/>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261" w:type="dxa"/>
            <w:tcBorders>
              <w:bottom w:val="single" w:sz="12" w:space="0" w:color="71B1C8"/>
            </w:tcBorders>
            <w:tcMar>
              <w:bottom w:w="28" w:type="dxa"/>
            </w:tcMar>
            <w:vAlign w:val="center"/>
          </w:tcPr>
          <w:p>
            <w:pPr>
              <w:pStyle w:val="TableContents"/>
              <w:bidi w:val="0"/>
              <w:spacing w:before="0" w:after="0"/>
              <w:jc w:val="center"/>
              <w:rPr>
                <w:b/>
              </w:rPr>
            </w:pPr>
            <w:r>
              <w:rPr>
                <w:b/>
                <w:spacing w:val="-2"/>
              </w:rPr>
              <w:t>3</w:t>
            </w:r>
            <w:r>
              <w:rPr>
                <w:b/>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10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382"/>
        <w:gridCol w:w="109"/>
        <w:gridCol w:w="109"/>
        <w:gridCol w:w="1764"/>
        <w:gridCol w:w="109"/>
        <w:gridCol w:w="109"/>
        <w:gridCol w:w="382"/>
        <w:gridCol w:w="109"/>
        <w:gridCol w:w="109"/>
        <w:gridCol w:w="1258"/>
        <w:gridCol w:w="109"/>
        <w:gridCol w:w="109"/>
        <w:gridCol w:w="322"/>
        <w:gridCol w:w="109"/>
        <w:gridCol w:w="109"/>
        <w:gridCol w:w="1311"/>
        <w:gridCol w:w="109"/>
        <w:gridCol w:w="109"/>
        <w:gridCol w:w="382"/>
        <w:gridCol w:w="109"/>
        <w:gridCol w:w="109"/>
        <w:gridCol w:w="1575"/>
        <w:gridCol w:w="159"/>
      </w:tblGrid>
      <w:tr>
        <w:trPr/>
        <w:tc>
          <w:tcPr>
            <w:tcW w:w="124" w:type="dxa"/>
            <w:tcBorders/>
            <w:vAlign w:val="center"/>
          </w:tcPr>
          <w:p>
            <w:pPr>
              <w:pStyle w:val="TableContents"/>
              <w:bidi w:val="0"/>
              <w:spacing w:before="0" w:after="283"/>
              <w:jc w:val="left"/>
              <w:rPr/>
            </w:pPr>
            <w:r>
              <w:rPr/>
              <w:t>​</w:t>
            </w:r>
          </w:p>
        </w:tc>
        <w:tc>
          <w:tcPr>
            <w:tcW w:w="38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80975" cy="219075"/>
                  <wp:effectExtent l="0" t="0" r="0" b="0"/>
                  <wp:docPr id="12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8" descr=""/>
                          <pic:cNvPicPr>
                            <a:picLocks noChangeAspect="1" noChangeArrowheads="1"/>
                          </pic:cNvPicPr>
                        </pic:nvPicPr>
                        <pic:blipFill>
                          <a:blip r:embed="rId79"/>
                          <a:stretch>
                            <a:fillRect/>
                          </a:stretch>
                        </pic:blipFill>
                        <pic:spPr bwMode="auto">
                          <a:xfrm>
                            <a:off x="0" y="0"/>
                            <a:ext cx="180975"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64" w:type="dxa"/>
            <w:tcBorders/>
            <w:vAlign w:val="center"/>
          </w:tcPr>
          <w:p>
            <w:pPr>
              <w:pStyle w:val="TableContents"/>
              <w:bidi w:val="0"/>
              <w:spacing w:lineRule="atLeast" w:line="177" w:before="0" w:after="0"/>
              <w:jc w:val="left"/>
              <w:rPr>
                <w:spacing w:val="-1"/>
              </w:rPr>
            </w:pPr>
            <w:r>
              <w:rPr>
                <w:spacing w:val="-1"/>
              </w:rPr>
              <w:t xml:space="preserve">Lead Independent Director </w:t>
              <w:br/>
              <w:t xml:space="preserve">(ex-officio member of each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80975" cy="180975"/>
                  <wp:effectExtent l="0" t="0" r="0" b="0"/>
                  <wp:docPr id="12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9" descr=""/>
                          <pic:cNvPicPr>
                            <a:picLocks noChangeAspect="1" noChangeArrowheads="1"/>
                          </pic:cNvPicPr>
                        </pic:nvPicPr>
                        <pic:blipFill>
                          <a:blip r:embed="rId8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8" w:type="dxa"/>
            <w:tcBorders/>
            <w:tcMar>
              <w:top w:w="28" w:type="dxa"/>
              <w:left w:w="28" w:type="dxa"/>
              <w:bottom w:w="28" w:type="dxa"/>
              <w:right w:w="28" w:type="dxa"/>
            </w:tcMar>
            <w:vAlign w:val="center"/>
          </w:tcPr>
          <w:p>
            <w:pPr>
              <w:pStyle w:val="TableContents"/>
              <w:bidi w:val="0"/>
              <w:spacing w:lineRule="atLeast" w:line="178" w:before="0" w:after="0"/>
              <w:jc w:val="left"/>
              <w:rPr>
                <w:spacing w:val="-1"/>
              </w:rPr>
            </w:pPr>
            <w:r>
              <w:rPr>
                <w:spacing w:val="-1"/>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42875" cy="161925"/>
                  <wp:effectExtent l="0" t="0" r="0" b="0"/>
                  <wp:docPr id="12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0" descr=""/>
                          <pic:cNvPicPr>
                            <a:picLocks noChangeAspect="1" noChangeArrowheads="1"/>
                          </pic:cNvPicPr>
                        </pic:nvPicPr>
                        <pic:blipFill>
                          <a:blip r:embed="rId81"/>
                          <a:stretch>
                            <a:fillRect/>
                          </a:stretch>
                        </pic:blipFill>
                        <pic:spPr bwMode="auto">
                          <a:xfrm>
                            <a:off x="0" y="0"/>
                            <a:ext cx="1428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1" w:type="dxa"/>
            <w:tcBorders/>
            <w:tcMar>
              <w:top w:w="28" w:type="dxa"/>
              <w:left w:w="28" w:type="dxa"/>
              <w:bottom w:w="28" w:type="dxa"/>
              <w:right w:w="28" w:type="dxa"/>
            </w:tcMar>
            <w:vAlign w:val="center"/>
          </w:tcPr>
          <w:p>
            <w:pPr>
              <w:pStyle w:val="TableContents"/>
              <w:bidi w:val="0"/>
              <w:spacing w:lineRule="atLeast" w:line="178" w:before="0" w:after="0"/>
              <w:jc w:val="left"/>
              <w:rPr>
                <w:spacing w:val="-1"/>
              </w:rPr>
            </w:pPr>
            <w:r>
              <w:rPr>
                <w:spacing w:val="-1"/>
              </w:rPr>
              <w:t xml:space="preserve">Committee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80975" cy="180975"/>
                  <wp:effectExtent l="0" t="0" r="0" b="0"/>
                  <wp:docPr id="12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1" descr=""/>
                          <pic:cNvPicPr>
                            <a:picLocks noChangeAspect="1" noChangeArrowheads="1"/>
                          </pic:cNvPicPr>
                        </pic:nvPicPr>
                        <pic:blipFill>
                          <a:blip r:embed="rId8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5" w:type="dxa"/>
            <w:tcBorders/>
            <w:tcMar>
              <w:top w:w="28" w:type="dxa"/>
              <w:left w:w="28" w:type="dxa"/>
              <w:bottom w:w="28" w:type="dxa"/>
              <w:right w:w="28" w:type="dxa"/>
            </w:tcMar>
            <w:vAlign w:val="center"/>
          </w:tcPr>
          <w:p>
            <w:pPr>
              <w:pStyle w:val="TableContents"/>
              <w:bidi w:val="0"/>
              <w:spacing w:lineRule="atLeast" w:line="178" w:before="0" w:after="0"/>
              <w:jc w:val="left"/>
              <w:rPr/>
            </w:pPr>
            <w:r>
              <w:rPr>
                <w:spacing w:val="-1"/>
              </w:rPr>
              <w:t>Audit Committee Financial Expert</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BOARD ATTRIBUTES</w:t>
      </w:r>
      <w:r>
        <w:rPr>
          <w:rFonts w:ascii="Arial;Helvetica;sans-serif" w:hAnsi="Arial;Helvetica;sans-serif"/>
          <w:b w:val="false"/>
          <w:i w:val="false"/>
          <w:caps w:val="false"/>
          <w:smallCaps w:val="false"/>
          <w:color w:val="000000"/>
          <w:spacing w:val="6"/>
          <w:sz w:val="28"/>
        </w:rPr>
        <w:t xml:space="preserve"> </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6276975" cy="2200275"/>
            <wp:effectExtent l="0" t="0" r="0" b="0"/>
            <wp:docPr id="12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2" descr=""/>
                    <pic:cNvPicPr>
                      <a:picLocks noChangeAspect="1" noChangeArrowheads="1"/>
                    </pic:cNvPicPr>
                  </pic:nvPicPr>
                  <pic:blipFill>
                    <a:blip r:embed="rId83"/>
                    <a:stretch>
                      <a:fillRect/>
                    </a:stretch>
                  </pic:blipFill>
                  <pic:spPr bwMode="auto">
                    <a:xfrm>
                      <a:off x="0" y="0"/>
                      <a:ext cx="6276975" cy="2200275"/>
                    </a:xfrm>
                    <a:prstGeom prst="rect">
                      <a:avLst/>
                    </a:prstGeom>
                  </pic:spPr>
                </pic:pic>
              </a:graphicData>
            </a:graphic>
          </wp:inline>
        </w:drawing>
      </w:r>
      <w:r>
        <w:rPr>
          <w:caps w:val="false"/>
          <w:smallCaps w:val="false"/>
          <w:color w:val="000000"/>
        </w:rPr>
        <w:t xml:space="preserve"> </w:t>
      </w:r>
    </w:p>
    <w:tbl>
      <w:tblPr>
        <w:tblW w:w="6426" w:type="dxa"/>
        <w:jc w:val="left"/>
        <w:tblInd w:w="1020" w:type="dxa"/>
        <w:tblLayout w:type="fixed"/>
        <w:tblCellMar>
          <w:top w:w="0" w:type="dxa"/>
          <w:left w:w="0" w:type="dxa"/>
          <w:bottom w:w="28" w:type="dxa"/>
          <w:right w:w="0" w:type="dxa"/>
        </w:tblCellMar>
      </w:tblPr>
      <w:tblGrid>
        <w:gridCol w:w="124"/>
        <w:gridCol w:w="2686"/>
        <w:gridCol w:w="109"/>
        <w:gridCol w:w="109"/>
        <w:gridCol w:w="856"/>
        <w:gridCol w:w="109"/>
        <w:gridCol w:w="109"/>
        <w:gridCol w:w="646"/>
        <w:gridCol w:w="109"/>
        <w:gridCol w:w="109"/>
        <w:gridCol w:w="1306"/>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6148" w:type="dxa"/>
            <w:gridSpan w:val="10"/>
            <w:tcBorders>
              <w:bottom w:val="single" w:sz="24" w:space="0" w:color="FEFEFE"/>
            </w:tcBorders>
            <w:shd w:fill="002F56" w:val="clear"/>
            <w:tcMar>
              <w:bottom w:w="50" w:type="dxa"/>
            </w:tcMar>
            <w:vAlign w:val="center"/>
          </w:tcPr>
          <w:p>
            <w:pPr>
              <w:pStyle w:val="TableContents"/>
              <w:bidi w:val="0"/>
              <w:spacing w:before="0" w:after="0"/>
              <w:jc w:val="center"/>
              <w:rPr/>
            </w:pPr>
            <w:r>
              <w:rPr>
                <w:spacing w:val="-7"/>
              </w:rPr>
              <w:t>BOARD DIVERSITY</w:t>
            </w:r>
            <w:r>
              <w:rPr>
                <w:color w:val="FFFFFF"/>
              </w:rPr>
              <w:t>​</w:t>
            </w:r>
            <w:r>
              <w:rPr/>
              <w:t xml:space="preserve">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2686" w:type="dxa"/>
            <w:tcBorders/>
            <w:shd w:fill="002F56" w:val="clear"/>
            <w:tcMar>
              <w:bottom w:w="0" w:type="dxa"/>
            </w:tcMar>
            <w:vAlign w:val="center"/>
          </w:tcPr>
          <w:p>
            <w:pPr>
              <w:pStyle w:val="TableContents"/>
              <w:bidi w:val="0"/>
              <w:spacing w:lineRule="atLeast" w:line="189" w:before="0" w:after="0"/>
              <w:jc w:val="left"/>
              <w:rPr/>
            </w:pPr>
            <w:r>
              <w:rPr>
                <w:spacing w:val="0"/>
              </w:rPr>
              <w:t>Total Number of Directors</w:t>
            </w:r>
            <w:r>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3244" w:type="dxa"/>
            <w:gridSpan w:val="7"/>
            <w:tcBorders/>
            <w:shd w:fill="002F56" w:val="clear"/>
            <w:tcMar>
              <w:bottom w:w="0" w:type="dxa"/>
            </w:tcMar>
            <w:vAlign w:val="center"/>
          </w:tcPr>
          <w:p>
            <w:pPr>
              <w:pStyle w:val="TableContents"/>
              <w:bidi w:val="0"/>
              <w:spacing w:lineRule="atLeast" w:line="190" w:before="0" w:after="0"/>
              <w:jc w:val="center"/>
              <w:rPr/>
            </w:pPr>
            <w:r>
              <w:rPr>
                <w:spacing w:val="-2"/>
              </w:rPr>
              <w:t>10</w:t>
            </w:r>
            <w:r>
              <w:rPr/>
              <w:t xml:space="preserve"> </w:t>
            </w:r>
          </w:p>
        </w:tc>
        <w:tc>
          <w:tcPr>
            <w:tcW w:w="154"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2686" w:type="dxa"/>
            <w:tcBorders/>
            <w:shd w:fill="71B1C8" w:val="clear"/>
            <w:tcMar>
              <w:bottom w:w="0" w:type="dxa"/>
            </w:tcMar>
            <w:vAlign w:val="center"/>
          </w:tcPr>
          <w:p>
            <w:pPr>
              <w:pStyle w:val="TableContents"/>
              <w:bidi w:val="0"/>
              <w:spacing w:lineRule="atLeast" w:line="189" w:before="0" w:after="0"/>
              <w:jc w:val="left"/>
              <w:rPr/>
            </w:pPr>
            <w:r>
              <w:rPr>
                <w:spacing w:val="0"/>
              </w:rPr>
              <w:t>Gender Identity</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856" w:type="dxa"/>
            <w:tcBorders/>
            <w:shd w:fill="71B1C8" w:val="clear"/>
            <w:tcMar>
              <w:bottom w:w="0" w:type="dxa"/>
            </w:tcMar>
            <w:vAlign w:val="center"/>
          </w:tcPr>
          <w:p>
            <w:pPr>
              <w:pStyle w:val="TableContents"/>
              <w:bidi w:val="0"/>
              <w:spacing w:lineRule="atLeast" w:line="189" w:before="0" w:after="0"/>
              <w:jc w:val="center"/>
              <w:rPr/>
            </w:pPr>
            <w:r>
              <w:rPr>
                <w:spacing w:val="0"/>
              </w:rPr>
              <w:t>Female</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646" w:type="dxa"/>
            <w:tcBorders/>
            <w:shd w:fill="71B1C8" w:val="clear"/>
            <w:tcMar>
              <w:bottom w:w="0" w:type="dxa"/>
            </w:tcMar>
            <w:vAlign w:val="center"/>
          </w:tcPr>
          <w:p>
            <w:pPr>
              <w:pStyle w:val="TableContents"/>
              <w:bidi w:val="0"/>
              <w:spacing w:lineRule="atLeast" w:line="190" w:before="0" w:after="0"/>
              <w:jc w:val="center"/>
              <w:rPr/>
            </w:pPr>
            <w:r>
              <w:rPr>
                <w:spacing w:val="0"/>
              </w:rPr>
              <w:t>Male</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306" w:type="dxa"/>
            <w:tcBorders/>
            <w:shd w:fill="71B1C8" w:val="clear"/>
            <w:tcMar>
              <w:bottom w:w="0" w:type="dxa"/>
            </w:tcMar>
            <w:vAlign w:val="center"/>
          </w:tcPr>
          <w:p>
            <w:pPr>
              <w:pStyle w:val="TableContents"/>
              <w:bidi w:val="0"/>
              <w:spacing w:lineRule="atLeast" w:line="190" w:before="0" w:after="0"/>
              <w:jc w:val="center"/>
              <w:rPr/>
            </w:pPr>
            <w:r>
              <w:rPr>
                <w:spacing w:val="0"/>
              </w:rPr>
              <w:t>Non-Binary</w:t>
            </w:r>
            <w:r>
              <w:rPr/>
              <w:t xml:space="preserve"> </w:t>
            </w:r>
          </w:p>
        </w:tc>
        <w:tc>
          <w:tcPr>
            <w:tcW w:w="154" w:type="dxa"/>
            <w:tcBorders/>
            <w:shd w:fill="71B1C8"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6" w:type="dxa"/>
            <w:tcBorders/>
            <w:tcMar>
              <w:bottom w:w="0" w:type="dxa"/>
            </w:tcMar>
            <w:vAlign w:val="center"/>
          </w:tcPr>
          <w:p>
            <w:pPr>
              <w:pStyle w:val="TableContents"/>
              <w:bidi w:val="0"/>
              <w:spacing w:lineRule="atLeast" w:line="189" w:before="0" w:after="0"/>
              <w:jc w:val="left"/>
              <w:rPr>
                <w:spacing w:val="-1"/>
              </w:rPr>
            </w:pPr>
            <w:r>
              <w:rPr>
                <w:spacing w:val="-1"/>
              </w:rPr>
              <w:t xml:space="preserve">Gender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6" w:type="dxa"/>
            <w:tcBorders/>
            <w:tcMar>
              <w:bottom w:w="0" w:type="dxa"/>
            </w:tcMar>
            <w:vAlign w:val="center"/>
          </w:tcPr>
          <w:p>
            <w:pPr>
              <w:pStyle w:val="TableContents"/>
              <w:bidi w:val="0"/>
              <w:spacing w:lineRule="atLeast" w:line="189" w:before="0" w:after="0"/>
              <w:jc w:val="center"/>
              <w:rPr>
                <w:spacing w:val="-1"/>
              </w:rPr>
            </w:pPr>
            <w:r>
              <w:rPr>
                <w:spacing w:val="-1"/>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6" w:type="dxa"/>
            <w:tcBorders/>
            <w:tcMar>
              <w:bottom w:w="0" w:type="dxa"/>
            </w:tcMar>
            <w:vAlign w:val="center"/>
          </w:tcPr>
          <w:p>
            <w:pPr>
              <w:pStyle w:val="TableContents"/>
              <w:bidi w:val="0"/>
              <w:spacing w:lineRule="atLeast" w:line="189" w:before="0" w:after="0"/>
              <w:jc w:val="center"/>
              <w:rPr>
                <w:spacing w:val="-1"/>
              </w:rPr>
            </w:pPr>
            <w:r>
              <w:rPr>
                <w:spacing w:val="-1"/>
              </w:rPr>
              <w:t xml:space="preserve">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6" w:type="dxa"/>
            <w:tcBorders/>
            <w:tcMar>
              <w:bottom w:w="0" w:type="dxa"/>
            </w:tcMar>
            <w:vAlign w:val="center"/>
          </w:tcPr>
          <w:p>
            <w:pPr>
              <w:pStyle w:val="TableContents"/>
              <w:bidi w:val="0"/>
              <w:spacing w:lineRule="atLeast" w:line="189" w:before="0" w:after="0"/>
              <w:jc w:val="center"/>
              <w:rPr>
                <w:spacing w:val="-1"/>
              </w:rPr>
            </w:pPr>
            <w:r>
              <w:rPr>
                <w:spacing w:val="-1"/>
              </w:rPr>
              <w:t xml:space="preserve">0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2686" w:type="dxa"/>
            <w:tcBorders/>
            <w:shd w:fill="71B1C8" w:val="clear"/>
            <w:tcMar>
              <w:bottom w:w="0" w:type="dxa"/>
            </w:tcMar>
            <w:vAlign w:val="center"/>
          </w:tcPr>
          <w:p>
            <w:pPr>
              <w:pStyle w:val="TableContents"/>
              <w:bidi w:val="0"/>
              <w:spacing w:lineRule="atLeast" w:line="189" w:before="0" w:after="0"/>
              <w:jc w:val="left"/>
              <w:rPr/>
            </w:pPr>
            <w:r>
              <w:rPr>
                <w:spacing w:val="0"/>
              </w:rPr>
              <w:t>Demographic Background</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856" w:type="dxa"/>
            <w:tcBorders/>
            <w:shd w:fill="71B1C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646" w:type="dxa"/>
            <w:tcBorders/>
            <w:shd w:fill="71B1C8" w:val="clear"/>
            <w:tcMar>
              <w:top w:w="28" w:type="dxa"/>
              <w:left w:w="28" w:type="dxa"/>
              <w:right w:w="28"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306" w:type="dxa"/>
            <w:tcBorders/>
            <w:shd w:fill="71B1C8" w:val="clear"/>
            <w:tcMar>
              <w:top w:w="28" w:type="dxa"/>
              <w:left w:w="28" w:type="dxa"/>
              <w:right w:w="28" w:type="dxa"/>
            </w:tcMar>
            <w:vAlign w:val="center"/>
          </w:tcPr>
          <w:p>
            <w:pPr>
              <w:pStyle w:val="TableContents"/>
              <w:bidi w:val="0"/>
              <w:spacing w:before="0" w:after="283"/>
              <w:jc w:val="left"/>
              <w:rPr/>
            </w:pPr>
            <w:r>
              <w:rPr/>
              <w:t>​</w:t>
            </w:r>
          </w:p>
        </w:tc>
        <w:tc>
          <w:tcPr>
            <w:tcW w:w="154" w:type="dxa"/>
            <w:tcBorders/>
            <w:shd w:fill="71B1C8"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686" w:type="dxa"/>
            <w:tcBorders>
              <w:bottom w:val="single" w:sz="6" w:space="0" w:color="CCCCCC"/>
            </w:tcBorders>
            <w:vAlign w:val="center"/>
          </w:tcPr>
          <w:p>
            <w:pPr>
              <w:pStyle w:val="TableContents"/>
              <w:bidi w:val="0"/>
              <w:spacing w:lineRule="atLeast" w:line="189" w:before="0" w:after="0"/>
              <w:jc w:val="left"/>
              <w:rPr>
                <w:spacing w:val="-1"/>
              </w:rPr>
            </w:pPr>
            <w:r>
              <w:rPr>
                <w:spacing w:val="-1"/>
              </w:rPr>
              <w:t xml:space="preserve">African American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85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64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686" w:type="dxa"/>
            <w:tcBorders>
              <w:bottom w:val="single" w:sz="6" w:space="0" w:color="CCCCCC"/>
            </w:tcBorders>
            <w:vAlign w:val="center"/>
          </w:tcPr>
          <w:p>
            <w:pPr>
              <w:pStyle w:val="TableContents"/>
              <w:bidi w:val="0"/>
              <w:spacing w:lineRule="atLeast" w:line="189" w:before="0" w:after="0"/>
              <w:jc w:val="left"/>
              <w:rPr>
                <w:spacing w:val="-1"/>
              </w:rPr>
            </w:pPr>
            <w:r>
              <w:rPr>
                <w:spacing w:val="-1"/>
              </w:rPr>
              <w:t xml:space="preserve">Asian/Pacific Islander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85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64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686" w:type="dxa"/>
            <w:tcBorders>
              <w:bottom w:val="single" w:sz="6" w:space="0" w:color="CCCCCC"/>
            </w:tcBorders>
            <w:vAlign w:val="center"/>
          </w:tcPr>
          <w:p>
            <w:pPr>
              <w:pStyle w:val="TableContents"/>
              <w:bidi w:val="0"/>
              <w:spacing w:lineRule="atLeast" w:line="189" w:before="0" w:after="0"/>
              <w:jc w:val="left"/>
              <w:rPr>
                <w:spacing w:val="-1"/>
              </w:rPr>
            </w:pPr>
            <w:r>
              <w:rPr>
                <w:spacing w:val="-1"/>
              </w:rPr>
              <w:t xml:space="preserve">White/Caucasian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85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3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64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5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686" w:type="dxa"/>
            <w:tcBorders>
              <w:bottom w:val="single" w:sz="6" w:space="0" w:color="CCCCCC"/>
            </w:tcBorders>
            <w:vAlign w:val="center"/>
          </w:tcPr>
          <w:p>
            <w:pPr>
              <w:pStyle w:val="TableContents"/>
              <w:bidi w:val="0"/>
              <w:spacing w:lineRule="atLeast" w:line="189" w:before="0" w:after="0"/>
              <w:jc w:val="left"/>
              <w:rPr>
                <w:spacing w:val="-1"/>
              </w:rPr>
            </w:pPr>
            <w:r>
              <w:rPr>
                <w:spacing w:val="-1"/>
              </w:rPr>
              <w:t xml:space="preserve">Hispanic/Latino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85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64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2686" w:type="dxa"/>
            <w:tcBorders>
              <w:bottom w:val="single" w:sz="6" w:space="0" w:color="CCCCCC"/>
            </w:tcBorders>
            <w:vAlign w:val="center"/>
          </w:tcPr>
          <w:p>
            <w:pPr>
              <w:pStyle w:val="TableContents"/>
              <w:bidi w:val="0"/>
              <w:spacing w:lineRule="atLeast" w:line="189" w:before="0" w:after="0"/>
              <w:jc w:val="left"/>
              <w:rPr>
                <w:spacing w:val="-1"/>
              </w:rPr>
            </w:pPr>
            <w:r>
              <w:rPr>
                <w:spacing w:val="-1"/>
              </w:rPr>
              <w:t xml:space="preserve">Native American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85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64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6" w:type="dxa"/>
            <w:tcBorders>
              <w:bottom w:val="single" w:sz="6" w:space="0" w:color="CCCCCC"/>
            </w:tcBorders>
            <w:vAlign w:val="center"/>
          </w:tcPr>
          <w:p>
            <w:pPr>
              <w:pStyle w:val="TableContents"/>
              <w:bidi w:val="0"/>
              <w:spacing w:lineRule="atLeast" w:line="189" w:before="0" w:after="0"/>
              <w:jc w:val="center"/>
              <w:rPr>
                <w:spacing w:val="-1"/>
              </w:rPr>
            </w:pPr>
            <w:r>
              <w:rPr>
                <w:spacing w:val="-1"/>
              </w:rPr>
              <w:t xml:space="preserve">0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2686" w:type="dxa"/>
            <w:tcBorders>
              <w:bottom w:val="single" w:sz="12" w:space="0" w:color="71B1C8"/>
            </w:tcBorders>
            <w:tcMar>
              <w:bottom w:w="40" w:type="dxa"/>
            </w:tcMar>
            <w:vAlign w:val="center"/>
          </w:tcPr>
          <w:p>
            <w:pPr>
              <w:pStyle w:val="TableContents"/>
              <w:bidi w:val="0"/>
              <w:spacing w:lineRule="atLeast" w:line="189" w:before="0" w:after="0"/>
              <w:jc w:val="left"/>
              <w:rPr>
                <w:spacing w:val="-1"/>
              </w:rPr>
            </w:pPr>
            <w:r>
              <w:rPr>
                <w:spacing w:val="-1"/>
              </w:rPr>
              <w:t xml:space="preserve">LGBTQ+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856" w:type="dxa"/>
            <w:tcBorders>
              <w:bottom w:val="single" w:sz="12" w:space="0" w:color="71B1C8"/>
            </w:tcBorders>
            <w:tcMar>
              <w:bottom w:w="40" w:type="dxa"/>
            </w:tcMar>
            <w:vAlign w:val="center"/>
          </w:tcPr>
          <w:p>
            <w:pPr>
              <w:pStyle w:val="TableContents"/>
              <w:bidi w:val="0"/>
              <w:spacing w:lineRule="atLeast" w:line="189" w:before="0" w:after="0"/>
              <w:jc w:val="center"/>
              <w:rPr>
                <w:spacing w:val="-1"/>
              </w:rPr>
            </w:pPr>
            <w:r>
              <w:rPr>
                <w:spacing w:val="-1"/>
              </w:rPr>
              <w:t xml:space="preserve">1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646" w:type="dxa"/>
            <w:tcBorders>
              <w:bottom w:val="single" w:sz="12" w:space="0" w:color="71B1C8"/>
            </w:tcBorders>
            <w:tcMar>
              <w:bottom w:w="40" w:type="dxa"/>
            </w:tcMar>
            <w:vAlign w:val="center"/>
          </w:tcPr>
          <w:p>
            <w:pPr>
              <w:pStyle w:val="TableContents"/>
              <w:bidi w:val="0"/>
              <w:spacing w:lineRule="atLeast" w:line="189" w:before="0" w:after="0"/>
              <w:jc w:val="center"/>
              <w:rPr>
                <w:spacing w:val="-1"/>
              </w:rPr>
            </w:pPr>
            <w:r>
              <w:rPr>
                <w:spacing w:val="-1"/>
              </w:rPr>
              <w:t xml:space="preserve">0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306" w:type="dxa"/>
            <w:tcBorders>
              <w:bottom w:val="single" w:sz="12" w:space="0" w:color="71B1C8"/>
            </w:tcBorders>
            <w:tcMar>
              <w:bottom w:w="40" w:type="dxa"/>
            </w:tcMar>
            <w:vAlign w:val="center"/>
          </w:tcPr>
          <w:p>
            <w:pPr>
              <w:pStyle w:val="TableContents"/>
              <w:bidi w:val="0"/>
              <w:spacing w:lineRule="atLeast" w:line="189" w:before="0" w:after="0"/>
              <w:jc w:val="center"/>
              <w:rPr/>
            </w:pPr>
            <w:r>
              <w:rPr>
                <w:spacing w:val="-1"/>
              </w:rPr>
              <w:t>0</w:t>
            </w:r>
            <w:r>
              <w:rPr/>
              <w:t xml:space="preserve"> </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320" w:before="33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BOARD REFRESHMENT</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added six new directors over the past ten years. This refreshment process has infused unique ideas and fresh perspectives into the boardroom and has significantly increased the diversity of our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6210300" cy="866775"/>
            <wp:effectExtent l="0" t="0" r="0" b="0"/>
            <wp:docPr id="12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3" descr=""/>
                    <pic:cNvPicPr>
                      <a:picLocks noChangeAspect="1" noChangeArrowheads="1"/>
                    </pic:cNvPicPr>
                  </pic:nvPicPr>
                  <pic:blipFill>
                    <a:blip r:embed="rId84"/>
                    <a:stretch>
                      <a:fillRect/>
                    </a:stretch>
                  </pic:blipFill>
                  <pic:spPr bwMode="auto">
                    <a:xfrm>
                      <a:off x="0" y="0"/>
                      <a:ext cx="6210300" cy="8667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G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CORPORATE GOVERNANCE OVERVIEW</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9185" w:type="dxa"/>
        <w:jc w:val="left"/>
        <w:tblInd w:w="1020" w:type="dxa"/>
        <w:tblLayout w:type="fixed"/>
        <w:tblCellMar>
          <w:top w:w="0" w:type="dxa"/>
          <w:left w:w="0" w:type="dxa"/>
          <w:bottom w:w="0" w:type="dxa"/>
          <w:right w:w="0" w:type="dxa"/>
        </w:tblCellMar>
      </w:tblPr>
      <w:tblGrid>
        <w:gridCol w:w="124"/>
        <w:gridCol w:w="2181"/>
        <w:gridCol w:w="109"/>
        <w:gridCol w:w="109"/>
        <w:gridCol w:w="3401"/>
        <w:gridCol w:w="109"/>
        <w:gridCol w:w="109"/>
        <w:gridCol w:w="2887"/>
        <w:gridCol w:w="156"/>
      </w:tblGrid>
      <w:tr>
        <w:trPr/>
        <w:tc>
          <w:tcPr>
            <w:tcW w:w="124" w:type="dxa"/>
            <w:tcBorders/>
            <w:shd w:fill="002F56" w:val="clear"/>
            <w:vAlign w:val="center"/>
          </w:tcPr>
          <w:p>
            <w:pPr>
              <w:pStyle w:val="TableContents"/>
              <w:bidi w:val="0"/>
              <w:spacing w:before="0" w:after="283"/>
              <w:jc w:val="left"/>
              <w:rPr/>
            </w:pPr>
            <w:r>
              <w:rPr/>
              <w:t>​</w:t>
            </w:r>
          </w:p>
        </w:tc>
        <w:tc>
          <w:tcPr>
            <w:tcW w:w="2181" w:type="dxa"/>
            <w:tcBorders/>
            <w:shd w:fill="002F56" w:val="clear"/>
            <w:vAlign w:val="center"/>
          </w:tcPr>
          <w:p>
            <w:pPr>
              <w:pStyle w:val="TableContents"/>
              <w:bidi w:val="0"/>
              <w:spacing w:before="0" w:after="0"/>
              <w:jc w:val="left"/>
              <w:rPr/>
            </w:pPr>
            <w:r>
              <w:rPr/>
              <w:drawing>
                <wp:inline distT="0" distB="0" distL="0" distR="0">
                  <wp:extent cx="457200" cy="457200"/>
                  <wp:effectExtent l="0" t="0" r="0" b="0"/>
                  <wp:docPr id="13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4" descr=""/>
                          <pic:cNvPicPr>
                            <a:picLocks noChangeAspect="1" noChangeArrowheads="1"/>
                          </pic:cNvPicPr>
                        </pic:nvPicPr>
                        <pic:blipFill>
                          <a:blip r:embed="rId85"/>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50" w:before="246" w:after="283"/>
              <w:jc w:val="left"/>
              <w:rPr>
                <w:b/>
                <w:color w:val="71B1C8"/>
                <w:sz w:val="21"/>
              </w:rPr>
            </w:pPr>
            <w:r>
              <w:rPr>
                <w:b/>
                <w:color w:val="71B1C8"/>
                <w:spacing w:val="-13"/>
                <w:sz w:val="21"/>
              </w:rPr>
              <w:t>CORPORATE GOVERNANCE PRACTICES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1" w:type="dxa"/>
            <w:tcBorders/>
            <w:vAlign w:val="center"/>
          </w:tcPr>
          <w:p>
            <w:pPr>
              <w:pStyle w:val="TableContents"/>
              <w:bidi w:val="0"/>
              <w:spacing w:lineRule="atLeast" w:line="180" w:before="0" w:after="0"/>
              <w:ind w:left="180" w:right="0" w:hanging="0"/>
              <w:jc w:val="left"/>
              <w:rPr/>
            </w:pPr>
            <w:r>
              <w:rPr>
                <w:spacing w:val="-1"/>
              </w:rPr>
              <w:t>Majority voting in director elections</w:t>
            </w:r>
            <w:r>
              <w:rPr/>
              <w:t xml:space="preserve"> </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114300" cy="350520"/>
                      <wp:effectExtent l="0" t="0" r="0" b="0"/>
                      <wp:wrapSquare wrapText="right"/>
                      <wp:docPr id="131" name="Frame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Nine of ten directors are independent</w:t>
            </w:r>
            <w:r>
              <w:rPr/>
              <w:t xml:space="preserve"> </w:t>
            </w:r>
            <w:r>
              <mc:AlternateContent>
                <mc:Choice Requires="wps">
                  <w:drawing>
                    <wp:anchor behindDoc="0" distT="50800" distB="0" distL="0" distR="0" simplePos="0" locked="0" layoutInCell="1" allowOverlap="1" relativeHeight="354">
                      <wp:simplePos x="0" y="0"/>
                      <wp:positionH relativeFrom="column">
                        <wp:align>left</wp:align>
                      </wp:positionH>
                      <wp:positionV relativeFrom="line">
                        <wp:align>top</wp:align>
                      </wp:positionV>
                      <wp:extent cx="114300" cy="350520"/>
                      <wp:effectExtent l="0" t="0" r="0" b="0"/>
                      <wp:wrapSquare wrapText="right"/>
                      <wp:docPr id="132" name="Frame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Lead Independent Director</w:t>
            </w:r>
            <w:r>
              <w:rPr/>
              <w:t xml:space="preserve"> </w:t>
            </w:r>
            <w:r>
              <mc:AlternateContent>
                <mc:Choice Requires="wps">
                  <w:drawing>
                    <wp:anchor behindDoc="0" distT="50800" distB="0" distL="0" distR="0" simplePos="0" locked="0" layoutInCell="1" allowOverlap="1" relativeHeight="355">
                      <wp:simplePos x="0" y="0"/>
                      <wp:positionH relativeFrom="column">
                        <wp:align>left</wp:align>
                      </wp:positionH>
                      <wp:positionV relativeFrom="line">
                        <wp:align>top</wp:align>
                      </wp:positionV>
                      <wp:extent cx="114300" cy="350520"/>
                      <wp:effectExtent l="0" t="0" r="0" b="0"/>
                      <wp:wrapSquare wrapText="right"/>
                      <wp:docPr id="133" name="Frame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Independent Audit, Compensation, and Corporate Governance and Nominating Committees </w:t>
            </w:r>
            <w:r>
              <mc:AlternateContent>
                <mc:Choice Requires="wps">
                  <w:drawing>
                    <wp:anchor behindDoc="0" distT="50800" distB="0" distL="0" distR="0" simplePos="0" locked="0" layoutInCell="1" allowOverlap="1" relativeHeight="356">
                      <wp:simplePos x="0" y="0"/>
                      <wp:positionH relativeFrom="column">
                        <wp:align>left</wp:align>
                      </wp:positionH>
                      <wp:positionV relativeFrom="line">
                        <wp:align>top</wp:align>
                      </wp:positionV>
                      <wp:extent cx="114300" cy="350520"/>
                      <wp:effectExtent l="0" t="0" r="0" b="0"/>
                      <wp:wrapSquare wrapText="right"/>
                      <wp:docPr id="134" name="Frame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lineRule="atLeast" w:line="220" w:before="0" w:after="0"/>
              <w:ind w:left="180" w:right="0" w:hanging="0"/>
              <w:jc w:val="left"/>
              <w:rPr/>
            </w:pPr>
            <w:r>
              <w:rPr>
                <w:spacing w:val="-1"/>
              </w:rPr>
              <w:t>Commitment to Board refreshment (six new directors in past ten years)</w:t>
            </w:r>
            <w:r>
              <w:rPr/>
              <w:t xml:space="preserve"> </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114300" cy="350520"/>
                      <wp:effectExtent l="0" t="0" r="0" b="0"/>
                      <wp:wrapSquare wrapText="right"/>
                      <wp:docPr id="135" name="Frame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Qualified and diverse Board</w:t>
            </w:r>
            <w:r>
              <w:rPr/>
              <w:t xml:space="preserve"> </w:t>
            </w:r>
            <w:r>
              <mc:AlternateContent>
                <mc:Choice Requires="wps">
                  <w:drawing>
                    <wp:anchor behindDoc="0" distT="50800" distB="0" distL="0" distR="0" simplePos="0" locked="0" layoutInCell="1" allowOverlap="1" relativeHeight="358">
                      <wp:simplePos x="0" y="0"/>
                      <wp:positionH relativeFrom="column">
                        <wp:align>left</wp:align>
                      </wp:positionH>
                      <wp:positionV relativeFrom="line">
                        <wp:align>top</wp:align>
                      </wp:positionV>
                      <wp:extent cx="114300" cy="350520"/>
                      <wp:effectExtent l="0" t="0" r="0" b="0"/>
                      <wp:wrapSquare wrapText="right"/>
                      <wp:docPr id="136" name="Frame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Active shareholder engagement</w:t>
            </w:r>
            <w:r>
              <w:rPr/>
              <w:t xml:space="preserve"> </w:t>
            </w:r>
            <w:r>
              <mc:AlternateContent>
                <mc:Choice Requires="wps">
                  <w:drawing>
                    <wp:anchor behindDoc="0" distT="50800" distB="0" distL="0" distR="0" simplePos="0" locked="0" layoutInCell="1" allowOverlap="1" relativeHeight="359">
                      <wp:simplePos x="0" y="0"/>
                      <wp:positionH relativeFrom="column">
                        <wp:align>left</wp:align>
                      </wp:positionH>
                      <wp:positionV relativeFrom="line">
                        <wp:align>top</wp:align>
                      </wp:positionV>
                      <wp:extent cx="114300" cy="350520"/>
                      <wp:effectExtent l="0" t="0" r="0" b="0"/>
                      <wp:wrapSquare wrapText="right"/>
                      <wp:docPr id="137" name="Frame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Proxy access</w:t>
            </w:r>
            <w:r>
              <w:rPr/>
              <w:t xml:space="preserve"> </w:t>
            </w:r>
            <w:r>
              <mc:AlternateContent>
                <mc:Choice Requires="wps">
                  <w:drawing>
                    <wp:anchor behindDoc="0" distT="50800" distB="0" distL="0" distR="0" simplePos="0" locked="0" layoutInCell="1" allowOverlap="1" relativeHeight="360">
                      <wp:simplePos x="0" y="0"/>
                      <wp:positionH relativeFrom="column">
                        <wp:align>left</wp:align>
                      </wp:positionH>
                      <wp:positionV relativeFrom="line">
                        <wp:align>top</wp:align>
                      </wp:positionV>
                      <wp:extent cx="114300" cy="350520"/>
                      <wp:effectExtent l="0" t="0" r="0" b="0"/>
                      <wp:wrapSquare wrapText="right"/>
                      <wp:docPr id="138" name="Frame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Commitment to sustainability</w:t>
            </w:r>
            <w:r>
              <w:rPr/>
              <w:t xml:space="preserve"> </w:t>
            </w:r>
            <w:r>
              <mc:AlternateContent>
                <mc:Choice Requires="wps">
                  <w:drawing>
                    <wp:anchor behindDoc="0" distT="50800" distB="0" distL="0" distR="0" simplePos="0" locked="0" layoutInCell="1" allowOverlap="1" relativeHeight="361">
                      <wp:simplePos x="0" y="0"/>
                      <wp:positionH relativeFrom="column">
                        <wp:align>left</wp:align>
                      </wp:positionH>
                      <wp:positionV relativeFrom="line">
                        <wp:align>top</wp:align>
                      </wp:positionV>
                      <wp:extent cx="114300" cy="350520"/>
                      <wp:effectExtent l="0" t="0" r="0" b="0"/>
                      <wp:wrapSquare wrapText="right"/>
                      <wp:docPr id="139" name="Frame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320" w:before="36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SHAREHOLDER ENGAGEMENT</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that engaging with shareholders and other stakeholders is fundamental to the Company’s success and our commitment to good governance. We seek to proactively listen to, understand, and consider the opinions of our shareholders to stay aligned on priorities.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2041"/>
        <w:gridCol w:w="109"/>
        <w:gridCol w:w="109"/>
        <w:gridCol w:w="109"/>
        <w:gridCol w:w="2251"/>
        <w:gridCol w:w="109"/>
        <w:gridCol w:w="109"/>
        <w:gridCol w:w="109"/>
        <w:gridCol w:w="1875"/>
        <w:gridCol w:w="109"/>
        <w:gridCol w:w="109"/>
        <w:gridCol w:w="109"/>
        <w:gridCol w:w="1757"/>
        <w:gridCol w:w="156"/>
      </w:tblGrid>
      <w:tr>
        <w:trPr/>
        <w:tc>
          <w:tcPr>
            <w:tcW w:w="124" w:type="dxa"/>
            <w:tcBorders/>
            <w:shd w:fill="002F56" w:val="clear"/>
            <w:vAlign w:val="center"/>
          </w:tcPr>
          <w:p>
            <w:pPr>
              <w:pStyle w:val="TableContents"/>
              <w:bidi w:val="0"/>
              <w:spacing w:before="0" w:after="283"/>
              <w:jc w:val="left"/>
              <w:rPr/>
            </w:pPr>
            <w:r>
              <w:rPr/>
              <w:t>​</w:t>
            </w:r>
          </w:p>
        </w:tc>
        <w:tc>
          <w:tcPr>
            <w:tcW w:w="2041" w:type="dxa"/>
            <w:tcBorders/>
            <w:shd w:fill="002F56" w:val="clear"/>
            <w:vAlign w:val="center"/>
          </w:tcPr>
          <w:p>
            <w:pPr>
              <w:pStyle w:val="TableContents"/>
              <w:bidi w:val="0"/>
              <w:spacing w:before="0" w:after="0"/>
              <w:jc w:val="center"/>
              <w:rPr/>
            </w:pPr>
            <w:r>
              <w:rPr/>
              <w:drawing>
                <wp:inline distT="0" distB="0" distL="0" distR="0">
                  <wp:extent cx="400050" cy="409575"/>
                  <wp:effectExtent l="0" t="0" r="0" b="0"/>
                  <wp:docPr id="1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5" descr=""/>
                          <pic:cNvPicPr>
                            <a:picLocks noChangeAspect="1" noChangeArrowheads="1"/>
                          </pic:cNvPicPr>
                        </pic:nvPicPr>
                        <pic:blipFill>
                          <a:blip r:embed="rId86"/>
                          <a:stretch>
                            <a:fillRect/>
                          </a:stretch>
                        </pic:blipFill>
                        <pic:spPr bwMode="auto">
                          <a:xfrm>
                            <a:off x="0" y="0"/>
                            <a:ext cx="400050" cy="409575"/>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51" w:type="dxa"/>
            <w:tcBorders/>
            <w:shd w:fill="002F56" w:val="clear"/>
            <w:vAlign w:val="center"/>
          </w:tcPr>
          <w:p>
            <w:pPr>
              <w:pStyle w:val="TableContents"/>
              <w:bidi w:val="0"/>
              <w:spacing w:before="0" w:after="0"/>
              <w:jc w:val="center"/>
              <w:rPr/>
            </w:pPr>
            <w:r>
              <w:rPr/>
              <w:drawing>
                <wp:inline distT="0" distB="0" distL="0" distR="0">
                  <wp:extent cx="495300" cy="409575"/>
                  <wp:effectExtent l="0" t="0" r="0" b="0"/>
                  <wp:docPr id="14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6" descr=""/>
                          <pic:cNvPicPr>
                            <a:picLocks noChangeAspect="1" noChangeArrowheads="1"/>
                          </pic:cNvPicPr>
                        </pic:nvPicPr>
                        <pic:blipFill>
                          <a:blip r:embed="rId87"/>
                          <a:stretch>
                            <a:fillRect/>
                          </a:stretch>
                        </pic:blipFill>
                        <pic:spPr bwMode="auto">
                          <a:xfrm>
                            <a:off x="0" y="0"/>
                            <a:ext cx="495300" cy="409575"/>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875" w:type="dxa"/>
            <w:tcBorders/>
            <w:shd w:fill="002F56" w:val="clear"/>
            <w:vAlign w:val="center"/>
          </w:tcPr>
          <w:p>
            <w:pPr>
              <w:pStyle w:val="TableContents"/>
              <w:bidi w:val="0"/>
              <w:spacing w:before="0" w:after="0"/>
              <w:jc w:val="center"/>
              <w:rPr/>
            </w:pPr>
            <w:r>
              <w:rPr/>
              <w:drawing>
                <wp:inline distT="0" distB="0" distL="0" distR="0">
                  <wp:extent cx="590550" cy="409575"/>
                  <wp:effectExtent l="0" t="0" r="0" b="0"/>
                  <wp:docPr id="14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7" descr=""/>
                          <pic:cNvPicPr>
                            <a:picLocks noChangeAspect="1" noChangeArrowheads="1"/>
                          </pic:cNvPicPr>
                        </pic:nvPicPr>
                        <pic:blipFill>
                          <a:blip r:embed="rId88"/>
                          <a:stretch>
                            <a:fillRect/>
                          </a:stretch>
                        </pic:blipFill>
                        <pic:spPr bwMode="auto">
                          <a:xfrm>
                            <a:off x="0" y="0"/>
                            <a:ext cx="590550" cy="409575"/>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757" w:type="dxa"/>
            <w:tcBorders/>
            <w:shd w:fill="002F56" w:val="clear"/>
            <w:vAlign w:val="center"/>
          </w:tcPr>
          <w:p>
            <w:pPr>
              <w:pStyle w:val="TableContents"/>
              <w:bidi w:val="0"/>
              <w:spacing w:before="0" w:after="0"/>
              <w:jc w:val="center"/>
              <w:rPr/>
            </w:pPr>
            <w:r>
              <w:rPr/>
              <w:drawing>
                <wp:inline distT="0" distB="0" distL="0" distR="0">
                  <wp:extent cx="400050" cy="419100"/>
                  <wp:effectExtent l="0" t="0" r="0" b="0"/>
                  <wp:docPr id="14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8" descr=""/>
                          <pic:cNvPicPr>
                            <a:picLocks noChangeAspect="1" noChangeArrowheads="1"/>
                          </pic:cNvPicPr>
                        </pic:nvPicPr>
                        <pic:blipFill>
                          <a:blip r:embed="rId89"/>
                          <a:stretch>
                            <a:fillRect/>
                          </a:stretch>
                        </pic:blipFill>
                        <pic:spPr bwMode="auto">
                          <a:xfrm>
                            <a:off x="0" y="0"/>
                            <a:ext cx="400050" cy="419100"/>
                          </a:xfrm>
                          <a:prstGeom prst="rect">
                            <a:avLst/>
                          </a:prstGeom>
                        </pic:spPr>
                      </pic:pic>
                    </a:graphicData>
                  </a:graphic>
                </wp:inline>
              </w:drawing>
            </w:r>
            <w:r>
              <w:rPr/>
              <w:t xml:space="preserve"> </w:t>
            </w:r>
          </w:p>
        </w:tc>
        <w:tc>
          <w:tcPr>
            <w:tcW w:w="156" w:type="dxa"/>
            <w:tcBorders/>
            <w:shd w:fill="002F56" w:val="clear"/>
            <w:vAlign w:val="center"/>
          </w:tcPr>
          <w:p>
            <w:pPr>
              <w:pStyle w:val="TableContents"/>
              <w:bidi w:val="0"/>
              <w:spacing w:before="0" w:after="283"/>
              <w:jc w:val="left"/>
              <w:rPr/>
            </w:pPr>
            <w:r>
              <w:rPr/>
              <w:t>​</w:t>
            </w:r>
          </w:p>
        </w:tc>
      </w:tr>
      <w:tr>
        <w:trPr/>
        <w:tc>
          <w:tcPr>
            <w:tcW w:w="124" w:type="dxa"/>
            <w:tcBorders/>
            <w:shd w:fill="002F56" w:val="clear"/>
            <w:vAlign w:val="center"/>
          </w:tcPr>
          <w:p>
            <w:pPr>
              <w:pStyle w:val="TableContents"/>
              <w:bidi w:val="0"/>
              <w:spacing w:before="0" w:after="283"/>
              <w:jc w:val="left"/>
              <w:rPr/>
            </w:pPr>
            <w:r>
              <w:rPr/>
              <w:t>​</w:t>
            </w:r>
          </w:p>
        </w:tc>
        <w:tc>
          <w:tcPr>
            <w:tcW w:w="2041" w:type="dxa"/>
            <w:tcBorders/>
            <w:shd w:fill="002F56" w:val="clear"/>
            <w:vAlign w:val="center"/>
          </w:tcPr>
          <w:p>
            <w:pPr>
              <w:pStyle w:val="TableContents"/>
              <w:bidi w:val="0"/>
              <w:spacing w:before="0" w:after="0"/>
              <w:jc w:val="center"/>
              <w:rPr/>
            </w:pPr>
            <w:r>
              <w:rPr>
                <w:spacing w:val="-7"/>
              </w:rPr>
              <w:t>WE CONTACTED</w:t>
            </w:r>
            <w:r>
              <w:rPr>
                <w:color w:val="000000"/>
              </w:rPr>
              <w:t>​</w:t>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51" w:type="dxa"/>
            <w:tcBorders/>
            <w:shd w:fill="002F56" w:val="clear"/>
            <w:vAlign w:val="center"/>
          </w:tcPr>
          <w:p>
            <w:pPr>
              <w:pStyle w:val="TableContents"/>
              <w:bidi w:val="0"/>
              <w:spacing w:before="0" w:after="0"/>
              <w:jc w:val="center"/>
              <w:rPr/>
            </w:pPr>
            <w:r>
              <w:rPr>
                <w:spacing w:val="-7"/>
              </w:rPr>
              <w:t>WE ENGAGED</w:t>
            </w:r>
            <w:r>
              <w:rPr>
                <w:color w:val="000000"/>
              </w:rPr>
              <w:t>​</w:t>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875" w:type="dxa"/>
            <w:tcBorders/>
            <w:shd w:fill="002F56" w:val="clear"/>
            <w:vAlign w:val="center"/>
          </w:tcPr>
          <w:p>
            <w:pPr>
              <w:pStyle w:val="TableContents"/>
              <w:bidi w:val="0"/>
              <w:spacing w:before="0" w:after="0"/>
              <w:jc w:val="center"/>
              <w:rPr/>
            </w:pPr>
            <w:r>
              <w:rPr>
                <w:spacing w:val="-7"/>
              </w:rPr>
              <w:t>TYPES OF ENGAGEMENT</w:t>
            </w:r>
            <w:r>
              <w:rPr>
                <w:color w:val="000000"/>
              </w:rPr>
              <w:t>​</w:t>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757" w:type="dxa"/>
            <w:tcBorders/>
            <w:shd w:fill="002F56" w:val="clear"/>
            <w:vAlign w:val="center"/>
          </w:tcPr>
          <w:p>
            <w:pPr>
              <w:pStyle w:val="TableContents"/>
              <w:bidi w:val="0"/>
              <w:spacing w:before="0" w:after="0"/>
              <w:jc w:val="center"/>
              <w:rPr/>
            </w:pPr>
            <w:r>
              <w:rPr>
                <w:spacing w:val="-7"/>
              </w:rPr>
              <w:t>TOPICS DISCUSSED</w:t>
            </w:r>
            <w:r>
              <w:rPr>
                <w:color w:val="000000"/>
              </w:rPr>
              <w:t>​</w:t>
            </w:r>
            <w:r>
              <w:rPr/>
              <w:t xml:space="preserve"> </w:t>
            </w:r>
          </w:p>
        </w:tc>
        <w:tc>
          <w:tcPr>
            <w:tcW w:w="156" w:type="dxa"/>
            <w:tcBorders/>
            <w:shd w:fill="002F5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lineRule="atLeast" w:line="189" w:before="0" w:after="0"/>
              <w:jc w:val="center"/>
              <w:rPr/>
            </w:pPr>
            <w:r>
              <w:rPr/>
              <w:drawing>
                <wp:inline distT="0" distB="0" distL="0" distR="0">
                  <wp:extent cx="1095375" cy="1095375"/>
                  <wp:effectExtent l="0" t="0" r="0" b="0"/>
                  <wp:docPr id="14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9" descr=""/>
                          <pic:cNvPicPr>
                            <a:picLocks noChangeAspect="1" noChangeArrowheads="1"/>
                          </pic:cNvPicPr>
                        </pic:nvPicPr>
                        <pic:blipFill>
                          <a:blip r:embed="rId90"/>
                          <a:stretch>
                            <a:fillRect/>
                          </a:stretch>
                        </pic:blipFill>
                        <pic:spPr bwMode="auto">
                          <a:xfrm>
                            <a:off x="0" y="0"/>
                            <a:ext cx="1095375" cy="1095375"/>
                          </a:xfrm>
                          <a:prstGeom prst="rect">
                            <a:avLst/>
                          </a:prstGeom>
                        </pic:spPr>
                      </pic:pic>
                    </a:graphicData>
                  </a:graphic>
                </wp:inline>
              </w:drawing>
            </w:r>
            <w:r>
              <w:rPr/>
              <w:t xml:space="preserve"> </w:t>
            </w:r>
          </w:p>
          <w:p>
            <w:pPr>
              <w:pStyle w:val="TableContents"/>
              <w:bidi w:val="0"/>
              <w:spacing w:lineRule="atLeast" w:line="170" w:before="93" w:after="283"/>
              <w:jc w:val="center"/>
              <w:rPr>
                <w:b/>
                <w:sz w:val="15"/>
              </w:rPr>
            </w:pPr>
            <w:r>
              <w:rPr>
                <w:b/>
                <w:spacing w:val="0"/>
                <w:sz w:val="15"/>
              </w:rPr>
              <w:t>Percentage of our outstanding shares proactively approached</w:t>
            </w:r>
            <w:r>
              <w:rPr>
                <w:b/>
                <w:sz w:val="15"/>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lineRule="atLeast" w:line="189" w:before="0" w:after="0"/>
              <w:jc w:val="center"/>
              <w:rPr/>
            </w:pPr>
            <w:r>
              <w:rPr/>
              <w:drawing>
                <wp:inline distT="0" distB="0" distL="0" distR="0">
                  <wp:extent cx="1095375" cy="1095375"/>
                  <wp:effectExtent l="0" t="0" r="0" b="0"/>
                  <wp:docPr id="14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0" descr=""/>
                          <pic:cNvPicPr>
                            <a:picLocks noChangeAspect="1" noChangeArrowheads="1"/>
                          </pic:cNvPicPr>
                        </pic:nvPicPr>
                        <pic:blipFill>
                          <a:blip r:embed="rId91"/>
                          <a:stretch>
                            <a:fillRect/>
                          </a:stretch>
                        </pic:blipFill>
                        <pic:spPr bwMode="auto">
                          <a:xfrm>
                            <a:off x="0" y="0"/>
                            <a:ext cx="1095375" cy="1095375"/>
                          </a:xfrm>
                          <a:prstGeom prst="rect">
                            <a:avLst/>
                          </a:prstGeom>
                        </pic:spPr>
                      </pic:pic>
                    </a:graphicData>
                  </a:graphic>
                </wp:inline>
              </w:drawing>
            </w:r>
            <w:r>
              <w:rPr/>
              <w:t xml:space="preserve"> </w:t>
            </w:r>
          </w:p>
          <w:p>
            <w:pPr>
              <w:pStyle w:val="TableContents"/>
              <w:bidi w:val="0"/>
              <w:spacing w:lineRule="atLeast" w:line="170" w:before="93" w:after="283"/>
              <w:jc w:val="center"/>
              <w:rPr>
                <w:b/>
                <w:sz w:val="15"/>
              </w:rPr>
            </w:pPr>
            <w:r>
              <w:rPr>
                <w:b/>
                <w:spacing w:val="0"/>
                <w:sz w:val="15"/>
              </w:rPr>
              <w:t>Percentage of our outstanding shares held by active institutional investors with whom we met</w:t>
            </w:r>
            <w:r>
              <w:rPr>
                <w:b/>
                <w:sz w:val="15"/>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75" w:type="dxa"/>
            <w:tcBorders/>
            <w:vAlign w:val="center"/>
          </w:tcPr>
          <w:p>
            <w:pPr>
              <w:pStyle w:val="TableContents"/>
              <w:bidi w:val="0"/>
              <w:spacing w:lineRule="atLeast" w:line="170" w:before="0" w:after="0"/>
              <w:ind w:left="170" w:right="0" w:hanging="0"/>
              <w:jc w:val="left"/>
              <w:rPr/>
            </w:pPr>
            <w:r>
              <w:rPr>
                <w:spacing w:val="-1"/>
              </w:rPr>
              <w:t>earnings calls</w:t>
            </w:r>
            <w:r>
              <w:rPr/>
              <w:t xml:space="preserve">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107950" cy="350520"/>
                      <wp:effectExtent l="0" t="0" r="0" b="0"/>
                      <wp:wrapSquare wrapText="right"/>
                      <wp:docPr id="146" name="Frame5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investor conferences</w:t>
            </w:r>
            <w:r>
              <w:rPr/>
              <w:t xml:space="preserve"> </w:t>
            </w:r>
            <w:r>
              <mc:AlternateContent>
                <mc:Choice Requires="wps">
                  <w:drawing>
                    <wp:anchor behindDoc="0" distT="37465" distB="0" distL="0" distR="0" simplePos="0" locked="0" layoutInCell="1" allowOverlap="1" relativeHeight="363">
                      <wp:simplePos x="0" y="0"/>
                      <wp:positionH relativeFrom="column">
                        <wp:align>left</wp:align>
                      </wp:positionH>
                      <wp:positionV relativeFrom="line">
                        <wp:align>top</wp:align>
                      </wp:positionV>
                      <wp:extent cx="107950" cy="350520"/>
                      <wp:effectExtent l="0" t="0" r="0" b="0"/>
                      <wp:wrapSquare wrapText="right"/>
                      <wp:docPr id="147" name="Frame5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one-on-one meetings</w:t>
            </w:r>
            <w:r>
              <w:rPr/>
              <w:t xml:space="preserve"> </w:t>
            </w:r>
            <w:r>
              <mc:AlternateContent>
                <mc:Choice Requires="wps">
                  <w:drawing>
                    <wp:anchor behindDoc="0" distT="37465" distB="0" distL="0" distR="0" simplePos="0" locked="0" layoutInCell="1" allowOverlap="1" relativeHeight="364">
                      <wp:simplePos x="0" y="0"/>
                      <wp:positionH relativeFrom="column">
                        <wp:align>left</wp:align>
                      </wp:positionH>
                      <wp:positionV relativeFrom="line">
                        <wp:align>top</wp:align>
                      </wp:positionV>
                      <wp:extent cx="107950" cy="350520"/>
                      <wp:effectExtent l="0" t="0" r="0" b="0"/>
                      <wp:wrapSquare wrapText="right"/>
                      <wp:docPr id="148" name="Frame5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non-deal roadshows</w:t>
            </w:r>
            <w:r>
              <w:rPr/>
              <w:t xml:space="preserve"> </w:t>
            </w:r>
            <w:r>
              <mc:AlternateContent>
                <mc:Choice Requires="wps">
                  <w:drawing>
                    <wp:anchor behindDoc="0" distT="37465" distB="0" distL="0" distR="0" simplePos="0" locked="0" layoutInCell="1" allowOverlap="1" relativeHeight="365">
                      <wp:simplePos x="0" y="0"/>
                      <wp:positionH relativeFrom="column">
                        <wp:align>left</wp:align>
                      </wp:positionH>
                      <wp:positionV relativeFrom="line">
                        <wp:align>top</wp:align>
                      </wp:positionV>
                      <wp:extent cx="107950" cy="350520"/>
                      <wp:effectExtent l="0" t="0" r="0" b="0"/>
                      <wp:wrapSquare wrapText="right"/>
                      <wp:docPr id="149" name="Frame5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spacing w:val="-1"/>
              </w:rPr>
            </w:pPr>
            <w:r>
              <w:rPr>
                <w:spacing w:val="-1"/>
              </w:rPr>
              <w:t xml:space="preserve">direct annual outreach </w:t>
            </w:r>
            <w:r>
              <mc:AlternateContent>
                <mc:Choice Requires="wps">
                  <w:drawing>
                    <wp:anchor behindDoc="0" distT="37465" distB="0" distL="0" distR="0" simplePos="0" locked="0" layoutInCell="1" allowOverlap="1" relativeHeight="366">
                      <wp:simplePos x="0" y="0"/>
                      <wp:positionH relativeFrom="column">
                        <wp:align>left</wp:align>
                      </wp:positionH>
                      <wp:positionV relativeFrom="line">
                        <wp:align>top</wp:align>
                      </wp:positionV>
                      <wp:extent cx="107950" cy="350520"/>
                      <wp:effectExtent l="0" t="0" r="0" b="0"/>
                      <wp:wrapSquare wrapText="right"/>
                      <wp:docPr id="150" name="Frame6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57" w:type="dxa"/>
            <w:tcBorders/>
            <w:vAlign w:val="center"/>
          </w:tcPr>
          <w:p>
            <w:pPr>
              <w:pStyle w:val="TableContents"/>
              <w:bidi w:val="0"/>
              <w:spacing w:lineRule="atLeast" w:line="189" w:before="0" w:after="0"/>
              <w:ind w:left="170" w:right="0" w:hanging="0"/>
              <w:jc w:val="left"/>
              <w:rPr/>
            </w:pPr>
            <w:r>
              <w:rPr>
                <w:spacing w:val="-1"/>
              </w:rPr>
              <w:t>business structure and long-term strategy</w:t>
            </w:r>
            <w:r>
              <w:rPr/>
              <w:t xml:space="preserve"> </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107950" cy="350520"/>
                      <wp:effectExtent l="0" t="0" r="0" b="0"/>
                      <wp:wrapSquare wrapText="right"/>
                      <wp:docPr id="151" name="Frame6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9"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9"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9" w:before="59" w:after="0"/>
              <w:ind w:left="170" w:right="0" w:hanging="0"/>
              <w:jc w:val="left"/>
              <w:rPr/>
            </w:pPr>
            <w:r>
              <w:rPr>
                <w:spacing w:val="-1"/>
              </w:rPr>
              <w:t>business achievements and financial performance</w:t>
            </w:r>
            <w:r>
              <w:rPr/>
              <w:t xml:space="preserve"> </w:t>
            </w:r>
            <w:r>
              <mc:AlternateContent>
                <mc:Choice Requires="wps">
                  <w:drawing>
                    <wp:anchor behindDoc="0" distT="37465" distB="0" distL="0" distR="0" simplePos="0" locked="0" layoutInCell="1" allowOverlap="1" relativeHeight="368">
                      <wp:simplePos x="0" y="0"/>
                      <wp:positionH relativeFrom="column">
                        <wp:align>left</wp:align>
                      </wp:positionH>
                      <wp:positionV relativeFrom="line">
                        <wp:align>top</wp:align>
                      </wp:positionV>
                      <wp:extent cx="107950" cy="350520"/>
                      <wp:effectExtent l="0" t="0" r="0" b="0"/>
                      <wp:wrapSquare wrapText="right"/>
                      <wp:docPr id="152" name="Frame6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9"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89"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9" w:before="59" w:after="0"/>
              <w:ind w:left="170" w:right="0" w:hanging="0"/>
              <w:jc w:val="left"/>
              <w:rPr/>
            </w:pPr>
            <w:r>
              <w:rPr>
                <w:spacing w:val="-1"/>
              </w:rPr>
              <w:t>new technologies and growth drivers</w:t>
            </w:r>
            <w:r>
              <w:rPr/>
              <w:t xml:space="preserve"> </w:t>
            </w:r>
            <w:r>
              <mc:AlternateContent>
                <mc:Choice Requires="wps">
                  <w:drawing>
                    <wp:anchor behindDoc="0" distT="37465" distB="0" distL="0" distR="0" simplePos="0" locked="0" layoutInCell="1" allowOverlap="1" relativeHeight="369">
                      <wp:simplePos x="0" y="0"/>
                      <wp:positionH relativeFrom="column">
                        <wp:align>left</wp:align>
                      </wp:positionH>
                      <wp:positionV relativeFrom="line">
                        <wp:align>top</wp:align>
                      </wp:positionV>
                      <wp:extent cx="107950" cy="350520"/>
                      <wp:effectExtent l="0" t="0" r="0" b="0"/>
                      <wp:wrapSquare wrapText="right"/>
                      <wp:docPr id="153" name="Frame6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89"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89"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corporate governance</w:t>
            </w:r>
            <w:r>
              <w:rPr/>
              <w:t xml:space="preserve"> </w:t>
            </w:r>
            <w:r>
              <mc:AlternateContent>
                <mc:Choice Requires="wps">
                  <w:drawing>
                    <wp:anchor behindDoc="0" distT="37465" distB="0" distL="0" distR="0" simplePos="0" locked="0" layoutInCell="1" allowOverlap="1" relativeHeight="370">
                      <wp:simplePos x="0" y="0"/>
                      <wp:positionH relativeFrom="column">
                        <wp:align>left</wp:align>
                      </wp:positionH>
                      <wp:positionV relativeFrom="line">
                        <wp:align>top</wp:align>
                      </wp:positionV>
                      <wp:extent cx="107950" cy="350520"/>
                      <wp:effectExtent l="0" t="0" r="0" b="0"/>
                      <wp:wrapSquare wrapText="right"/>
                      <wp:docPr id="154" name="Frame6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executive compensation</w:t>
            </w:r>
            <w:r>
              <w:rPr/>
              <w:t xml:space="preserve"> </w:t>
            </w:r>
            <w:r>
              <mc:AlternateContent>
                <mc:Choice Requires="wps">
                  <w:drawing>
                    <wp:anchor behindDoc="0" distT="37465" distB="0" distL="0" distR="0" simplePos="0" locked="0" layoutInCell="1" allowOverlap="1" relativeHeight="371">
                      <wp:simplePos x="0" y="0"/>
                      <wp:positionH relativeFrom="column">
                        <wp:align>left</wp:align>
                      </wp:positionH>
                      <wp:positionV relativeFrom="line">
                        <wp:align>top</wp:align>
                      </wp:positionV>
                      <wp:extent cx="107950" cy="350520"/>
                      <wp:effectExtent l="0" t="0" r="0" b="0"/>
                      <wp:wrapSquare wrapText="right"/>
                      <wp:docPr id="155" name="Frame6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sustainability</w:t>
            </w:r>
            <w:r>
              <w:rPr/>
              <w:t xml:space="preserve"> </w:t>
            </w:r>
            <w:r>
              <mc:AlternateContent>
                <mc:Choice Requires="wps">
                  <w:drawing>
                    <wp:anchor behindDoc="0" distT="37465" distB="0" distL="0" distR="0" simplePos="0" locked="0" layoutInCell="1" allowOverlap="1" relativeHeight="373">
                      <wp:simplePos x="0" y="0"/>
                      <wp:positionH relativeFrom="column">
                        <wp:align>left</wp:align>
                      </wp:positionH>
                      <wp:positionV relativeFrom="line">
                        <wp:align>top</wp:align>
                      </wp:positionV>
                      <wp:extent cx="107950" cy="350520"/>
                      <wp:effectExtent l="0" t="0" r="0" b="0"/>
                      <wp:wrapSquare wrapText="right"/>
                      <wp:docPr id="156" name="Frame6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59" w:after="0"/>
              <w:ind w:left="170" w:right="0" w:hanging="0"/>
              <w:jc w:val="left"/>
              <w:rPr/>
            </w:pPr>
            <w:r>
              <w:rPr>
                <w:spacing w:val="-1"/>
              </w:rPr>
              <w:t>quality of our disclosures</w:t>
            </w:r>
            <w:r>
              <w:rPr/>
              <w:t xml:space="preserve"> </w:t>
            </w:r>
            <w:r>
              <mc:AlternateContent>
                <mc:Choice Requires="wps">
                  <w:drawing>
                    <wp:anchor behindDoc="0" distT="37465" distB="0" distL="0" distR="0" simplePos="0" locked="0" layoutInCell="1" allowOverlap="1" relativeHeight="372">
                      <wp:simplePos x="0" y="0"/>
                      <wp:positionH relativeFrom="column">
                        <wp:align>left</wp:align>
                      </wp:positionH>
                      <wp:positionV relativeFrom="line">
                        <wp:align>top</wp:align>
                      </wp:positionV>
                      <wp:extent cx="107950" cy="350520"/>
                      <wp:effectExtent l="0" t="0" r="0" b="0"/>
                      <wp:wrapSquare wrapText="right"/>
                      <wp:docPr id="157" name="Frame6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2.95pt;mso-wrap-distance-bottom:0pt;margin-top:2.9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52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year-long engagement includes regular earnings calls, participation in investor conferences, one-on-one meetings, and non-deal roadshows. In addition, each year we conduct direct annual outreach to our shareholders dedicated to engaging in key corporate governance, executive compensation, and sustainability discussions. This annual outreach program, which began in 2012, takes place well before the annual meeting and involves senior management, our head of investor relations and our sustainability lead team, and our corporate governance and compliance lead. We also make available our independent members of the Board of Directors and our Chairman if requested. To supplement those efforts, we engage with proxy advisory firms that represent the interests of various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this outreach program in 2025, we contacted shareholders that we believe held approximately 89% of our stock. We received direct feedback from 45% of our shareholder base. During our annual outreach last year, we solicited our shareholders’ views 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Strategy and financial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15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Quality of our disclosures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15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Executive compensation program design and linkage between pay and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16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Corporate governance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16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Sustainability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16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During our outreach, our shareholders did not identify any concerns regarding executive compensation matters or the overall design of our executive compensation program. Shareholders also expressed support for the recent changes we implemented to our executive compensation program, such as increasing the weighting of performance-based long-term incentive compensation to 50% beginning with 2024 awards. This enhancement is intended to reinforce long-term value creation and further align our program with the best interests of our shareholders.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Below is the summary of the key topics discussed during our recent shareholder engagements: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2122"/>
        <w:gridCol w:w="109"/>
        <w:gridCol w:w="109"/>
        <w:gridCol w:w="1670"/>
        <w:gridCol w:w="109"/>
        <w:gridCol w:w="109"/>
        <w:gridCol w:w="447"/>
        <w:gridCol w:w="109"/>
        <w:gridCol w:w="109"/>
        <w:gridCol w:w="4012"/>
        <w:gridCol w:w="156"/>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5" w:type="dxa"/>
            <w:gridSpan w:val="10"/>
            <w:tcBorders>
              <w:bottom w:val="single" w:sz="24" w:space="0" w:color="FEFEFE"/>
            </w:tcBorders>
            <w:shd w:fill="002F56" w:val="clear"/>
            <w:tcMar>
              <w:bottom w:w="70" w:type="dxa"/>
            </w:tcMar>
            <w:vAlign w:val="center"/>
          </w:tcPr>
          <w:p>
            <w:pPr>
              <w:pStyle w:val="TableContents"/>
              <w:bidi w:val="0"/>
              <w:spacing w:before="0" w:after="0"/>
              <w:jc w:val="center"/>
              <w:rPr>
                <w:spacing w:val="-7"/>
              </w:rPr>
            </w:pPr>
            <w:r>
              <w:rPr>
                <w:spacing w:val="-7"/>
              </w:rPr>
              <w:t xml:space="preserve">SHAREHOLDER ENGAGEMENT EFFORTS </w:t>
            </w:r>
          </w:p>
        </w:tc>
        <w:tc>
          <w:tcPr>
            <w:tcW w:w="156"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2122" w:type="dxa"/>
            <w:tcBorders/>
            <w:shd w:fill="002F56" w:val="clear"/>
            <w:tcMar>
              <w:bottom w:w="0" w:type="dxa"/>
            </w:tcMar>
            <w:vAlign w:val="center"/>
          </w:tcPr>
          <w:p>
            <w:pPr>
              <w:pStyle w:val="TableContents"/>
              <w:bidi w:val="0"/>
              <w:spacing w:before="0" w:after="0"/>
              <w:jc w:val="left"/>
              <w:rPr>
                <w:spacing w:val="0"/>
              </w:rPr>
            </w:pPr>
            <w:r>
              <w:rPr>
                <w:spacing w:val="0"/>
              </w:rPr>
              <w:t xml:space="preserve">Topic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670" w:type="dxa"/>
            <w:tcBorders/>
            <w:shd w:fill="002F56" w:val="clear"/>
            <w:tcMar>
              <w:bottom w:w="0" w:type="dxa"/>
            </w:tcMar>
            <w:vAlign w:val="center"/>
          </w:tcPr>
          <w:p>
            <w:pPr>
              <w:pStyle w:val="TableContents"/>
              <w:bidi w:val="0"/>
              <w:spacing w:before="0" w:after="0"/>
              <w:jc w:val="left"/>
              <w:rPr>
                <w:spacing w:val="0"/>
              </w:rPr>
            </w:pPr>
            <w:r>
              <w:rPr>
                <w:spacing w:val="0"/>
              </w:rPr>
              <w:t xml:space="preserve">Key Focus Areas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447"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4012" w:type="dxa"/>
            <w:tcBorders/>
            <w:shd w:fill="002F56" w:val="clear"/>
            <w:tcMar>
              <w:bottom w:w="0" w:type="dxa"/>
            </w:tcMar>
            <w:vAlign w:val="center"/>
          </w:tcPr>
          <w:p>
            <w:pPr>
              <w:pStyle w:val="TableContents"/>
              <w:bidi w:val="0"/>
              <w:spacing w:before="0" w:after="0"/>
              <w:jc w:val="left"/>
              <w:rPr>
                <w:spacing w:val="0"/>
              </w:rPr>
            </w:pPr>
            <w:r>
              <w:rPr>
                <w:spacing w:val="0"/>
              </w:rPr>
              <w:t xml:space="preserve">Actions and Responses </w:t>
            </w:r>
          </w:p>
        </w:tc>
        <w:tc>
          <w:tcPr>
            <w:tcW w:w="156" w:type="dxa"/>
            <w:tcBorders/>
            <w:shd w:fill="002F56" w:val="clear"/>
            <w:tcMar>
              <w:bottom w:w="0" w:type="dxa"/>
            </w:tcMar>
            <w:vAlign w:val="center"/>
          </w:tcPr>
          <w:p>
            <w:pPr>
              <w:pStyle w:val="TableContents"/>
              <w:bidi w:val="0"/>
              <w:spacing w:before="0" w:after="283"/>
              <w:jc w:val="left"/>
              <w:rPr/>
            </w:pPr>
            <w:r>
              <w:rPr/>
              <w:t>​</w:t>
            </w:r>
          </w:p>
        </w:tc>
      </w:tr>
      <w:tr>
        <w:trPr/>
        <w:tc>
          <w:tcPr>
            <w:tcW w:w="124" w:type="dxa"/>
            <w:vMerge w:val="restart"/>
            <w:tcBorders/>
            <w:shd w:fill="71B1C8" w:val="clear"/>
            <w:tcMar>
              <w:bottom w:w="0" w:type="dxa"/>
            </w:tcMar>
            <w:vAlign w:val="center"/>
          </w:tcPr>
          <w:p>
            <w:pPr>
              <w:pStyle w:val="TableContents"/>
              <w:bidi w:val="0"/>
              <w:spacing w:before="0" w:after="283"/>
              <w:jc w:val="left"/>
              <w:rPr/>
            </w:pPr>
            <w:r>
              <w:rPr/>
              <w:t>​</w:t>
            </w:r>
          </w:p>
        </w:tc>
        <w:tc>
          <w:tcPr>
            <w:tcW w:w="2122" w:type="dxa"/>
            <w:vMerge w:val="restart"/>
            <w:tcBorders/>
            <w:shd w:fill="71B1C8" w:val="clear"/>
            <w:tcMar>
              <w:bottom w:w="0" w:type="dxa"/>
            </w:tcMar>
            <w:vAlign w:val="center"/>
          </w:tcPr>
          <w:p>
            <w:pPr>
              <w:pStyle w:val="TableContents"/>
              <w:bidi w:val="0"/>
              <w:spacing w:before="0" w:after="0"/>
              <w:jc w:val="left"/>
              <w:rPr/>
            </w:pPr>
            <w:r>
              <w:rPr/>
              <w:drawing>
                <wp:inline distT="0" distB="0" distL="0" distR="0">
                  <wp:extent cx="438150" cy="457200"/>
                  <wp:effectExtent l="0" t="0" r="0" b="0"/>
                  <wp:docPr id="16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1" descr=""/>
                          <pic:cNvPicPr>
                            <a:picLocks noChangeAspect="1" noChangeArrowheads="1"/>
                          </pic:cNvPicPr>
                        </pic:nvPicPr>
                        <pic:blipFill>
                          <a:blip r:embed="rId92"/>
                          <a:stretch>
                            <a:fillRect/>
                          </a:stretch>
                        </pic:blipFill>
                        <pic:spPr bwMode="auto">
                          <a:xfrm>
                            <a:off x="0" y="0"/>
                            <a:ext cx="438150" cy="457200"/>
                          </a:xfrm>
                          <a:prstGeom prst="rect">
                            <a:avLst/>
                          </a:prstGeom>
                        </pic:spPr>
                      </pic:pic>
                    </a:graphicData>
                  </a:graphic>
                </wp:inline>
              </w:drawing>
            </w:r>
            <w:r>
              <w:rPr/>
              <w:t xml:space="preserve"> </w:t>
            </w:r>
          </w:p>
          <w:p>
            <w:pPr>
              <w:pStyle w:val="TableContents"/>
              <w:bidi w:val="0"/>
              <w:spacing w:lineRule="atLeast" w:line="208" w:before="109" w:after="283"/>
              <w:jc w:val="left"/>
              <w:rPr>
                <w:b/>
                <w:color w:val="002F56"/>
              </w:rPr>
            </w:pPr>
            <w:r>
              <w:rPr>
                <w:b/>
                <w:color w:val="002F56"/>
                <w:spacing w:val="-10"/>
              </w:rPr>
              <w:t>EXECUTIVE COMPENSATION</w:t>
            </w:r>
            <w:r>
              <w:rPr>
                <w:b/>
                <w:color w:val="002F56"/>
              </w:rPr>
              <w:t xml:space="preserve"> </w:t>
            </w:r>
          </w:p>
        </w:tc>
        <w:tc>
          <w:tcPr>
            <w:tcW w:w="109" w:type="dxa"/>
            <w:vMerge w:val="restart"/>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670" w:type="dxa"/>
            <w:tcBorders>
              <w:bottom w:val="single" w:sz="6" w:space="0" w:color="CCCCCC"/>
            </w:tcBorders>
            <w:shd w:fill="EAF3F7" w:val="clear"/>
            <w:tcMar>
              <w:bottom w:w="35" w:type="dxa"/>
            </w:tcMar>
            <w:vAlign w:val="center"/>
          </w:tcPr>
          <w:p>
            <w:pPr>
              <w:pStyle w:val="TableContents"/>
              <w:bidi w:val="0"/>
              <w:spacing w:lineRule="atLeast" w:line="208" w:before="0" w:after="0"/>
              <w:jc w:val="left"/>
              <w:rPr>
                <w:b/>
              </w:rPr>
            </w:pPr>
            <w:r>
              <w:rPr>
                <w:b/>
                <w:spacing w:val="0"/>
              </w:rPr>
              <w:t>Long-Term Incentive (LTI) compensation design</w:t>
            </w:r>
            <w:r>
              <w:rPr>
                <w:b/>
              </w:rPr>
              <w:t xml:space="preserve"> </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47" w:type="dxa"/>
            <w:tcBorders>
              <w:bottom w:val="single" w:sz="6" w:space="0" w:color="CCCCCC"/>
            </w:tcBorders>
            <w:vAlign w:val="center"/>
          </w:tcPr>
          <w:p>
            <w:pPr>
              <w:pStyle w:val="TableContents"/>
              <w:bidi w:val="0"/>
              <w:spacing w:lineRule="atLeast" w:line="208" w:before="0" w:after="0"/>
              <w:jc w:val="left"/>
              <w:rPr/>
            </w:pPr>
            <w:r>
              <w:rPr/>
              <w:drawing>
                <wp:inline distT="0" distB="0" distL="0" distR="0">
                  <wp:extent cx="228600" cy="123825"/>
                  <wp:effectExtent l="0" t="0" r="0" b="0"/>
                  <wp:docPr id="16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2" descr=""/>
                          <pic:cNvPicPr>
                            <a:picLocks noChangeAspect="1" noChangeArrowheads="1"/>
                          </pic:cNvPicPr>
                        </pic:nvPicPr>
                        <pic:blipFill>
                          <a:blip r:embed="rId93"/>
                          <a:stretch>
                            <a:fillRect/>
                          </a:stretch>
                        </pic:blipFill>
                        <pic:spPr bwMode="auto">
                          <a:xfrm>
                            <a:off x="0" y="0"/>
                            <a:ext cx="228600" cy="123825"/>
                          </a:xfrm>
                          <a:prstGeom prst="rect">
                            <a:avLst/>
                          </a:prstGeom>
                        </pic:spPr>
                      </pic:pic>
                    </a:graphicData>
                  </a:graphic>
                </wp:inline>
              </w:drawing>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012" w:type="dxa"/>
            <w:tcBorders>
              <w:bottom w:val="single" w:sz="6" w:space="0" w:color="CCCCCC"/>
            </w:tcBorders>
            <w:tcMar>
              <w:bottom w:w="35" w:type="dxa"/>
            </w:tcMar>
            <w:vAlign w:val="center"/>
          </w:tcPr>
          <w:p>
            <w:pPr>
              <w:pStyle w:val="TableContents"/>
              <w:bidi w:val="0"/>
              <w:spacing w:lineRule="atLeast" w:line="208" w:before="0" w:after="0"/>
              <w:jc w:val="left"/>
              <w:rPr/>
            </w:pPr>
            <w:r>
              <w:rPr>
                <w:b/>
                <w:spacing w:val="0"/>
              </w:rPr>
              <w:t>Increased weighting of performance-based LTl to 50%</w:t>
            </w:r>
            <w:r>
              <w:rPr>
                <w:spacing w:val="-1"/>
              </w:rPr>
              <w:t xml:space="preserve"> effective with 2024 awards, to strengthen alignment with long-term strategy and performance and to reflect market best practices.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shd w:fill="71B1C8" w:val="clear"/>
            <w:tcMar>
              <w:bottom w:w="0" w:type="dxa"/>
            </w:tcMar>
            <w:vAlign w:val="center"/>
          </w:tcPr>
          <w:p>
            <w:pPr>
              <w:pStyle w:val="Normal"/>
              <w:bidi w:val="0"/>
              <w:jc w:val="left"/>
              <w:rPr/>
            </w:pPr>
            <w:r>
              <w:rPr/>
            </w:r>
          </w:p>
        </w:tc>
        <w:tc>
          <w:tcPr>
            <w:tcW w:w="2122" w:type="dxa"/>
            <w:vMerge w:val="continue"/>
            <w:tcBorders/>
            <w:shd w:fill="71B1C8" w:val="clear"/>
            <w:tcMar>
              <w:bottom w:w="0" w:type="dxa"/>
            </w:tcMar>
            <w:vAlign w:val="center"/>
          </w:tcPr>
          <w:p>
            <w:pPr>
              <w:pStyle w:val="Normal"/>
              <w:bidi w:val="0"/>
              <w:jc w:val="left"/>
              <w:rPr/>
            </w:pPr>
            <w:r>
              <w:rPr/>
            </w:r>
          </w:p>
        </w:tc>
        <w:tc>
          <w:tcPr>
            <w:tcW w:w="109" w:type="dxa"/>
            <w:vMerge w:val="continue"/>
            <w:tcBorders/>
            <w:shd w:fill="71B1C8" w:val="clear"/>
            <w:tcMar>
              <w:bottom w:w="0" w:type="dxa"/>
            </w:tcMar>
            <w:vAlign w:val="center"/>
          </w:tcPr>
          <w:p>
            <w:pPr>
              <w:pStyle w:val="Normal"/>
              <w:bidi w:val="0"/>
              <w:jc w:val="left"/>
              <w:rPr/>
            </w:pPr>
            <w:r>
              <w:rPr/>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670" w:type="dxa"/>
            <w:tcBorders>
              <w:bottom w:val="single" w:sz="6" w:space="0" w:color="CCCCCC"/>
            </w:tcBorders>
            <w:shd w:fill="EAF3F7" w:val="clear"/>
            <w:tcMar>
              <w:bottom w:w="35" w:type="dxa"/>
            </w:tcMar>
            <w:vAlign w:val="center"/>
          </w:tcPr>
          <w:p>
            <w:pPr>
              <w:pStyle w:val="TableContents"/>
              <w:bidi w:val="0"/>
              <w:spacing w:lineRule="atLeast" w:line="208" w:before="0" w:after="0"/>
              <w:jc w:val="left"/>
              <w:rPr>
                <w:b/>
              </w:rPr>
            </w:pPr>
            <w:r>
              <w:rPr>
                <w:b/>
                <w:spacing w:val="0"/>
              </w:rPr>
              <w:t>Metric for short-term and long-term incentive compensation programs</w:t>
            </w:r>
            <w:r>
              <w:rPr>
                <w:b/>
              </w:rPr>
              <w:t xml:space="preserve"> </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47" w:type="dxa"/>
            <w:tcBorders>
              <w:bottom w:val="single" w:sz="6" w:space="0" w:color="CCCCCC"/>
            </w:tcBorders>
            <w:vAlign w:val="center"/>
          </w:tcPr>
          <w:p>
            <w:pPr>
              <w:pStyle w:val="TableContents"/>
              <w:bidi w:val="0"/>
              <w:spacing w:before="0" w:after="0"/>
              <w:jc w:val="left"/>
              <w:rPr/>
            </w:pPr>
            <w:r>
              <w:rPr/>
              <w:drawing>
                <wp:inline distT="0" distB="0" distL="0" distR="0">
                  <wp:extent cx="228600" cy="123825"/>
                  <wp:effectExtent l="0" t="0" r="0" b="0"/>
                  <wp:docPr id="16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3" descr=""/>
                          <pic:cNvPicPr>
                            <a:picLocks noChangeAspect="1" noChangeArrowheads="1"/>
                          </pic:cNvPicPr>
                        </pic:nvPicPr>
                        <pic:blipFill>
                          <a:blip r:embed="rId94"/>
                          <a:stretch>
                            <a:fillRect/>
                          </a:stretch>
                        </pic:blipFill>
                        <pic:spPr bwMode="auto">
                          <a:xfrm>
                            <a:off x="0" y="0"/>
                            <a:ext cx="228600" cy="123825"/>
                          </a:xfrm>
                          <a:prstGeom prst="rect">
                            <a:avLst/>
                          </a:prstGeom>
                        </pic:spPr>
                      </pic:pic>
                    </a:graphicData>
                  </a:graphic>
                </wp:inline>
              </w:drawing>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012" w:type="dxa"/>
            <w:tcBorders>
              <w:bottom w:val="single" w:sz="6" w:space="0" w:color="CCCCCC"/>
            </w:tcBorders>
            <w:tcMar>
              <w:bottom w:w="35" w:type="dxa"/>
            </w:tcMar>
            <w:vAlign w:val="center"/>
          </w:tcPr>
          <w:p>
            <w:pPr>
              <w:pStyle w:val="TableContents"/>
              <w:bidi w:val="0"/>
              <w:spacing w:lineRule="atLeast" w:line="208" w:before="0" w:after="0"/>
              <w:jc w:val="left"/>
              <w:rPr/>
            </w:pPr>
            <w:r>
              <w:rPr>
                <w:b/>
                <w:spacing w:val="0"/>
              </w:rPr>
              <w:t>Changed our short-term incentive compensation metric</w:t>
            </w:r>
            <w:r>
              <w:rPr>
                <w:spacing w:val="-1"/>
              </w:rPr>
              <w:t xml:space="preserve"> to return on net assets (RONA) as a more effective measure of profitability and capital efficiency with our business leadership having direct influence on the outcome of this metric.</w:t>
            </w:r>
            <w:r>
              <w:rPr/>
              <w:t xml:space="preserve"> </w:t>
            </w:r>
          </w:p>
          <w:p>
            <w:pPr>
              <w:pStyle w:val="TableContents"/>
              <w:bidi w:val="0"/>
              <w:spacing w:lineRule="atLeast" w:line="208" w:before="40" w:after="283"/>
              <w:jc w:val="left"/>
              <w:rPr>
                <w:spacing w:val="-1"/>
              </w:rPr>
            </w:pPr>
            <w:r>
              <w:rPr>
                <w:spacing w:val="-1"/>
              </w:rPr>
              <w:t xml:space="preserve">For long-term compensation, we continue to use return on capital (ROC), which we view as the most appropriate measure of sustained performance over time.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vAlign w:val="center"/>
          </w:tcPr>
          <w:p>
            <w:pPr>
              <w:pStyle w:val="TableContents"/>
              <w:bidi w:val="0"/>
              <w:spacing w:before="0" w:after="283"/>
              <w:jc w:val="left"/>
              <w:rPr/>
            </w:pPr>
            <w:r>
              <w:rPr/>
              <w:t>​</w:t>
            </w:r>
          </w:p>
        </w:tc>
        <w:tc>
          <w:tcPr>
            <w:tcW w:w="2122" w:type="dxa"/>
            <w:tcBorders>
              <w:bottom w:val="single" w:sz="6" w:space="0" w:color="CCCCCC"/>
            </w:tcBorders>
            <w:shd w:fill="71B1C8" w:val="clear"/>
            <w:vAlign w:val="center"/>
          </w:tcPr>
          <w:p>
            <w:pPr>
              <w:pStyle w:val="TableContents"/>
              <w:bidi w:val="0"/>
              <w:spacing w:before="0" w:after="283"/>
              <w:jc w:val="left"/>
              <w:rPr/>
            </w:pPr>
            <w:r>
              <w:rPr/>
              <w:t>​</w:t>
            </w:r>
          </w:p>
        </w:tc>
        <w:tc>
          <w:tcPr>
            <w:tcW w:w="109" w:type="dxa"/>
            <w:tcBorders>
              <w:bottom w:val="single" w:sz="6" w:space="0" w:color="CCCCCC"/>
            </w:tcBorders>
            <w:shd w:fill="71B1C8" w:val="clear"/>
            <w:vAlign w:val="center"/>
          </w:tcPr>
          <w:p>
            <w:pPr>
              <w:pStyle w:val="TableContents"/>
              <w:bidi w:val="0"/>
              <w:spacing w:before="0" w:after="283"/>
              <w:jc w:val="left"/>
              <w:rPr/>
            </w:pPr>
            <w:r>
              <w:rPr/>
              <w:t>​</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670" w:type="dxa"/>
            <w:tcBorders>
              <w:bottom w:val="single" w:sz="6" w:space="0" w:color="CCCCCC"/>
            </w:tcBorders>
            <w:shd w:fill="EAF3F7" w:val="clear"/>
            <w:tcMar>
              <w:bottom w:w="35" w:type="dxa"/>
            </w:tcMar>
            <w:vAlign w:val="center"/>
          </w:tcPr>
          <w:p>
            <w:pPr>
              <w:pStyle w:val="TableContents"/>
              <w:bidi w:val="0"/>
              <w:spacing w:lineRule="atLeast" w:line="208" w:before="0" w:after="0"/>
              <w:jc w:val="left"/>
              <w:rPr>
                <w:b/>
              </w:rPr>
            </w:pPr>
            <w:r>
              <w:rPr>
                <w:b/>
                <w:spacing w:val="0"/>
              </w:rPr>
              <w:t>Structure and Overall Design of our Program</w:t>
            </w:r>
            <w:r>
              <w:rPr>
                <w:b/>
              </w:rPr>
              <w:t xml:space="preserve"> </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4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012" w:type="dxa"/>
            <w:tcBorders>
              <w:bottom w:val="single" w:sz="6" w:space="0" w:color="CCCCCC"/>
            </w:tcBorders>
            <w:tcMar>
              <w:bottom w:w="35" w:type="dxa"/>
            </w:tcMar>
            <w:vAlign w:val="center"/>
          </w:tcPr>
          <w:p>
            <w:pPr>
              <w:pStyle w:val="TableContents"/>
              <w:bidi w:val="0"/>
              <w:spacing w:before="0" w:after="283"/>
              <w:jc w:val="left"/>
              <w:rPr/>
            </w:pPr>
            <w:r>
              <w:rPr>
                <w:spacing w:val="-1"/>
              </w:rPr>
              <w:t xml:space="preserve">Through direct engagement and extensive outreach across the majority of our shareholder base, </w:t>
            </w:r>
            <w:r>
              <w:rPr>
                <w:b/>
                <w:spacing w:val="0"/>
              </w:rPr>
              <w:t>we confirmed that our current structure remains aligned with shareholder expectations</w:t>
            </w:r>
            <w:r>
              <w:rPr>
                <w:spacing w:val="-1"/>
              </w:rPr>
              <w:t xml:space="preserve">. Consistent with the focused feedback we received, the Committee did not make significant revisions to the design of our executive compensation program.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vMerge w:val="restart"/>
            <w:tcBorders>
              <w:bottom w:val="single" w:sz="6" w:space="0" w:color="CCCCCC"/>
            </w:tcBorders>
            <w:shd w:fill="71B1C8" w:val="clear"/>
            <w:vAlign w:val="center"/>
          </w:tcPr>
          <w:p>
            <w:pPr>
              <w:pStyle w:val="TableContents"/>
              <w:bidi w:val="0"/>
              <w:spacing w:before="0" w:after="283"/>
              <w:jc w:val="left"/>
              <w:rPr/>
            </w:pPr>
            <w:r>
              <w:rPr/>
              <w:t>​</w:t>
            </w:r>
          </w:p>
        </w:tc>
        <w:tc>
          <w:tcPr>
            <w:tcW w:w="2122" w:type="dxa"/>
            <w:vMerge w:val="restart"/>
            <w:tcBorders>
              <w:bottom w:val="single" w:sz="6" w:space="0" w:color="CCCCCC"/>
            </w:tcBorders>
            <w:shd w:fill="71B1C8" w:val="clear"/>
            <w:tcMar>
              <w:bottom w:w="35" w:type="dxa"/>
            </w:tcMar>
            <w:vAlign w:val="center"/>
          </w:tcPr>
          <w:p>
            <w:pPr>
              <w:pStyle w:val="TableContents"/>
              <w:bidi w:val="0"/>
              <w:spacing w:before="0" w:after="0"/>
              <w:jc w:val="left"/>
              <w:rPr/>
            </w:pPr>
            <w:r>
              <w:rPr/>
              <w:drawing>
                <wp:inline distT="0" distB="0" distL="0" distR="0">
                  <wp:extent cx="552450" cy="428625"/>
                  <wp:effectExtent l="0" t="0" r="0" b="0"/>
                  <wp:docPr id="16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4" descr=""/>
                          <pic:cNvPicPr>
                            <a:picLocks noChangeAspect="1" noChangeArrowheads="1"/>
                          </pic:cNvPicPr>
                        </pic:nvPicPr>
                        <pic:blipFill>
                          <a:blip r:embed="rId95"/>
                          <a:stretch>
                            <a:fillRect/>
                          </a:stretch>
                        </pic:blipFill>
                        <pic:spPr bwMode="auto">
                          <a:xfrm>
                            <a:off x="0" y="0"/>
                            <a:ext cx="552450" cy="428625"/>
                          </a:xfrm>
                          <a:prstGeom prst="rect">
                            <a:avLst/>
                          </a:prstGeom>
                        </pic:spPr>
                      </pic:pic>
                    </a:graphicData>
                  </a:graphic>
                </wp:inline>
              </w:drawing>
            </w:r>
            <w:r>
              <w:rPr/>
              <w:t xml:space="preserve"> </w:t>
            </w:r>
          </w:p>
          <w:p>
            <w:pPr>
              <w:pStyle w:val="TableContents"/>
              <w:bidi w:val="0"/>
              <w:spacing w:lineRule="atLeast" w:line="208" w:before="129" w:after="283"/>
              <w:jc w:val="left"/>
              <w:rPr>
                <w:b/>
                <w:color w:val="002F56"/>
              </w:rPr>
            </w:pPr>
            <w:r>
              <w:rPr>
                <w:b/>
                <w:color w:val="002F56"/>
                <w:spacing w:val="-10"/>
              </w:rPr>
              <w:t>GOVERNANCE</w:t>
            </w:r>
            <w:r>
              <w:rPr>
                <w:b/>
                <w:color w:val="002F56"/>
              </w:rPr>
              <w:t xml:space="preserve"> </w:t>
            </w:r>
          </w:p>
        </w:tc>
        <w:tc>
          <w:tcPr>
            <w:tcW w:w="109" w:type="dxa"/>
            <w:vMerge w:val="restart"/>
            <w:tcBorders>
              <w:bottom w:val="single" w:sz="6" w:space="0" w:color="CCCCCC"/>
            </w:tcBorders>
            <w:shd w:fill="71B1C8" w:val="clear"/>
            <w:vAlign w:val="center"/>
          </w:tcPr>
          <w:p>
            <w:pPr>
              <w:pStyle w:val="TableContents"/>
              <w:bidi w:val="0"/>
              <w:spacing w:before="0" w:after="283"/>
              <w:jc w:val="left"/>
              <w:rPr/>
            </w:pPr>
            <w:r>
              <w:rPr/>
              <w:t>​</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670" w:type="dxa"/>
            <w:tcBorders>
              <w:bottom w:val="single" w:sz="6" w:space="0" w:color="CCCCCC"/>
            </w:tcBorders>
            <w:shd w:fill="EAF3F7" w:val="clear"/>
            <w:tcMar>
              <w:bottom w:w="35" w:type="dxa"/>
            </w:tcMar>
            <w:vAlign w:val="center"/>
          </w:tcPr>
          <w:p>
            <w:pPr>
              <w:pStyle w:val="TableContents"/>
              <w:bidi w:val="0"/>
              <w:spacing w:lineRule="atLeast" w:line="208" w:before="0" w:after="0"/>
              <w:jc w:val="left"/>
              <w:rPr>
                <w:b/>
              </w:rPr>
            </w:pPr>
            <w:r>
              <w:rPr>
                <w:b/>
                <w:spacing w:val="0"/>
              </w:rPr>
              <w:t>Combined Chair and CEO Board leadership structure</w:t>
            </w:r>
            <w:r>
              <w:rPr>
                <w:b/>
              </w:rPr>
              <w:t xml:space="preserve"> </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47" w:type="dxa"/>
            <w:tcBorders>
              <w:bottom w:val="single" w:sz="6" w:space="0" w:color="CCCCCC"/>
            </w:tcBorders>
            <w:vAlign w:val="center"/>
          </w:tcPr>
          <w:p>
            <w:pPr>
              <w:pStyle w:val="TableContents"/>
              <w:bidi w:val="0"/>
              <w:spacing w:lineRule="atLeast" w:line="208" w:before="0" w:after="0"/>
              <w:jc w:val="left"/>
              <w:rPr/>
            </w:pPr>
            <w:r>
              <w:rPr/>
              <w:drawing>
                <wp:inline distT="0" distB="0" distL="0" distR="0">
                  <wp:extent cx="228600" cy="123825"/>
                  <wp:effectExtent l="0" t="0" r="0" b="0"/>
                  <wp:docPr id="16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5" descr=""/>
                          <pic:cNvPicPr>
                            <a:picLocks noChangeAspect="1" noChangeArrowheads="1"/>
                          </pic:cNvPicPr>
                        </pic:nvPicPr>
                        <pic:blipFill>
                          <a:blip r:embed="rId96"/>
                          <a:stretch>
                            <a:fillRect/>
                          </a:stretch>
                        </pic:blipFill>
                        <pic:spPr bwMode="auto">
                          <a:xfrm>
                            <a:off x="0" y="0"/>
                            <a:ext cx="228600" cy="123825"/>
                          </a:xfrm>
                          <a:prstGeom prst="rect">
                            <a:avLst/>
                          </a:prstGeom>
                        </pic:spPr>
                      </pic:pic>
                    </a:graphicData>
                  </a:graphic>
                </wp:inline>
              </w:drawing>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012" w:type="dxa"/>
            <w:tcBorders>
              <w:bottom w:val="single" w:sz="6" w:space="0" w:color="CCCCCC"/>
            </w:tcBorders>
            <w:tcMar>
              <w:bottom w:w="35" w:type="dxa"/>
            </w:tcMar>
            <w:vAlign w:val="center"/>
          </w:tcPr>
          <w:p>
            <w:pPr>
              <w:pStyle w:val="TableContents"/>
              <w:bidi w:val="0"/>
              <w:spacing w:lineRule="atLeast" w:line="208" w:before="0" w:after="0"/>
              <w:jc w:val="left"/>
              <w:rPr/>
            </w:pPr>
            <w:r>
              <w:rPr>
                <w:spacing w:val="-1"/>
              </w:rPr>
              <w:t xml:space="preserve">Our Board believes that </w:t>
            </w:r>
            <w:r>
              <w:rPr>
                <w:b/>
                <w:spacing w:val="0"/>
              </w:rPr>
              <w:t>ensuring strong Board leadership is a crucial requirement to build long-term shareholder value.</w:t>
            </w:r>
            <w:r>
              <w:rPr>
                <w:spacing w:val="-1"/>
              </w:rPr>
              <w:t xml:space="preserve"> Today, we believe the Company’s Board leadership structure with a combined Chair and CEO, balanced by a strong Lead Independent Director, provides the most effective leadership structure for the Company and best supports our long-term strategy.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6" w:space="0" w:color="CCCCCC"/>
            </w:tcBorders>
            <w:shd w:fill="71B1C8" w:val="clear"/>
            <w:vAlign w:val="center"/>
          </w:tcPr>
          <w:p>
            <w:pPr>
              <w:pStyle w:val="Normal"/>
              <w:bidi w:val="0"/>
              <w:jc w:val="left"/>
              <w:rPr/>
            </w:pPr>
            <w:r>
              <w:rPr/>
            </w:r>
          </w:p>
        </w:tc>
        <w:tc>
          <w:tcPr>
            <w:tcW w:w="2122" w:type="dxa"/>
            <w:vMerge w:val="continue"/>
            <w:tcBorders>
              <w:bottom w:val="single" w:sz="6" w:space="0" w:color="CCCCCC"/>
            </w:tcBorders>
            <w:shd w:fill="71B1C8" w:val="clear"/>
            <w:tcMar>
              <w:bottom w:w="35" w:type="dxa"/>
            </w:tcMar>
            <w:vAlign w:val="center"/>
          </w:tcPr>
          <w:p>
            <w:pPr>
              <w:pStyle w:val="Normal"/>
              <w:bidi w:val="0"/>
              <w:jc w:val="left"/>
              <w:rPr/>
            </w:pPr>
            <w:r>
              <w:rPr/>
            </w:r>
          </w:p>
        </w:tc>
        <w:tc>
          <w:tcPr>
            <w:tcW w:w="109" w:type="dxa"/>
            <w:vMerge w:val="continue"/>
            <w:tcBorders>
              <w:bottom w:val="single" w:sz="6" w:space="0" w:color="CCCCCC"/>
            </w:tcBorders>
            <w:shd w:fill="71B1C8" w:val="clear"/>
            <w:vAlign w:val="center"/>
          </w:tcPr>
          <w:p>
            <w:pPr>
              <w:pStyle w:val="Normal"/>
              <w:bidi w:val="0"/>
              <w:jc w:val="left"/>
              <w:rPr/>
            </w:pPr>
            <w:r>
              <w:rPr/>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670" w:type="dxa"/>
            <w:tcBorders>
              <w:bottom w:val="single" w:sz="6" w:space="0" w:color="CCCCCC"/>
            </w:tcBorders>
            <w:shd w:fill="EAF3F7" w:val="clear"/>
            <w:tcMar>
              <w:bottom w:w="35" w:type="dxa"/>
            </w:tcMar>
            <w:vAlign w:val="center"/>
          </w:tcPr>
          <w:p>
            <w:pPr>
              <w:pStyle w:val="TableContents"/>
              <w:bidi w:val="0"/>
              <w:spacing w:lineRule="atLeast" w:line="208" w:before="0" w:after="0"/>
              <w:jc w:val="left"/>
              <w:rPr>
                <w:b/>
              </w:rPr>
            </w:pPr>
            <w:r>
              <w:rPr>
                <w:b/>
                <w:spacing w:val="0"/>
              </w:rPr>
              <w:t>Board composition</w:t>
            </w:r>
            <w:r>
              <w:rPr>
                <w:b/>
              </w:rPr>
              <w:t xml:space="preserve"> </w:t>
            </w:r>
          </w:p>
        </w:tc>
        <w:tc>
          <w:tcPr>
            <w:tcW w:w="109" w:type="dxa"/>
            <w:tcBorders>
              <w:bottom w:val="single" w:sz="6" w:space="0" w:color="CCCCCC"/>
            </w:tcBorders>
            <w:shd w:fill="EAF3F7" w:val="cle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47" w:type="dxa"/>
            <w:tcBorders>
              <w:bottom w:val="single" w:sz="6" w:space="0" w:color="CCCCCC"/>
            </w:tcBorders>
            <w:vAlign w:val="center"/>
          </w:tcPr>
          <w:p>
            <w:pPr>
              <w:pStyle w:val="TableContents"/>
              <w:bidi w:val="0"/>
              <w:spacing w:before="0" w:after="0"/>
              <w:jc w:val="left"/>
              <w:rPr/>
            </w:pPr>
            <w:r>
              <w:rPr/>
              <w:drawing>
                <wp:inline distT="0" distB="0" distL="0" distR="0">
                  <wp:extent cx="228600" cy="123825"/>
                  <wp:effectExtent l="0" t="0" r="0" b="0"/>
                  <wp:docPr id="16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6" descr=""/>
                          <pic:cNvPicPr>
                            <a:picLocks noChangeAspect="1" noChangeArrowheads="1"/>
                          </pic:cNvPicPr>
                        </pic:nvPicPr>
                        <pic:blipFill>
                          <a:blip r:embed="rId97"/>
                          <a:stretch>
                            <a:fillRect/>
                          </a:stretch>
                        </pic:blipFill>
                        <pic:spPr bwMode="auto">
                          <a:xfrm>
                            <a:off x="0" y="0"/>
                            <a:ext cx="228600" cy="123825"/>
                          </a:xfrm>
                          <a:prstGeom prst="rect">
                            <a:avLst/>
                          </a:prstGeom>
                        </pic:spPr>
                      </pic:pic>
                    </a:graphicData>
                  </a:graphic>
                </wp:inline>
              </w:drawing>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4012" w:type="dxa"/>
            <w:tcBorders>
              <w:bottom w:val="single" w:sz="6" w:space="0" w:color="CCCCCC"/>
            </w:tcBorders>
            <w:tcMar>
              <w:bottom w:w="35" w:type="dxa"/>
            </w:tcMar>
            <w:vAlign w:val="center"/>
          </w:tcPr>
          <w:p>
            <w:pPr>
              <w:pStyle w:val="TableContents"/>
              <w:bidi w:val="0"/>
              <w:spacing w:lineRule="atLeast" w:line="208" w:before="0" w:after="0"/>
              <w:jc w:val="left"/>
              <w:rPr>
                <w:spacing w:val="-1"/>
              </w:rPr>
            </w:pPr>
            <w:r>
              <w:rPr>
                <w:spacing w:val="-1"/>
              </w:rPr>
              <w:t xml:space="preserve">Our Board refreshment efforts in recent years have continued to expand the range of qualities, attributes, skills, and experiences represented among our directors. These efforts are a core component of the Board’s long-term succession planning process, ensuring that the Board maintains the expertise necessary to oversee the Company’s evolving strategic priorities. Over the past nine years, 100% of our director appointments have been diverse in race, ethnicity, or gender — including Dr. Johnson in 2024, Mr. Motwani in 2022, Ms. Deans in 2019, and Ms. Pittman and Mr. Feder in 2017 — further strengthening the Board’s ability to guide the Company’s long-term strategy and support sustainable value creation for shareholders.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shd w:fill="71B1C8" w:val="clear"/>
            <w:vAlign w:val="center"/>
          </w:tcPr>
          <w:p>
            <w:pPr>
              <w:pStyle w:val="TableContents"/>
              <w:bidi w:val="0"/>
              <w:spacing w:before="0" w:after="283"/>
              <w:jc w:val="left"/>
              <w:rPr/>
            </w:pPr>
            <w:r>
              <w:rPr/>
              <w:t>​</w:t>
            </w:r>
          </w:p>
        </w:tc>
        <w:tc>
          <w:tcPr>
            <w:tcW w:w="2122" w:type="dxa"/>
            <w:tcBorders>
              <w:bottom w:val="single" w:sz="12" w:space="0" w:color="71B1C8"/>
            </w:tcBorders>
            <w:shd w:fill="71B1C8" w:val="clear"/>
            <w:tcMar>
              <w:bottom w:w="44" w:type="dxa"/>
            </w:tcMar>
            <w:vAlign w:val="center"/>
          </w:tcPr>
          <w:p>
            <w:pPr>
              <w:pStyle w:val="TableContents"/>
              <w:bidi w:val="0"/>
              <w:spacing w:before="0" w:after="0"/>
              <w:jc w:val="left"/>
              <w:rPr/>
            </w:pPr>
            <w:r>
              <w:rPr/>
              <w:drawing>
                <wp:inline distT="0" distB="0" distL="0" distR="0">
                  <wp:extent cx="438150" cy="457200"/>
                  <wp:effectExtent l="0" t="0" r="0" b="0"/>
                  <wp:docPr id="16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87" descr=""/>
                          <pic:cNvPicPr>
                            <a:picLocks noChangeAspect="1" noChangeArrowheads="1"/>
                          </pic:cNvPicPr>
                        </pic:nvPicPr>
                        <pic:blipFill>
                          <a:blip r:embed="rId98"/>
                          <a:stretch>
                            <a:fillRect/>
                          </a:stretch>
                        </pic:blipFill>
                        <pic:spPr bwMode="auto">
                          <a:xfrm>
                            <a:off x="0" y="0"/>
                            <a:ext cx="438150" cy="457200"/>
                          </a:xfrm>
                          <a:prstGeom prst="rect">
                            <a:avLst/>
                          </a:prstGeom>
                        </pic:spPr>
                      </pic:pic>
                    </a:graphicData>
                  </a:graphic>
                </wp:inline>
              </w:drawing>
            </w:r>
            <w:r>
              <w:rPr/>
              <w:t xml:space="preserve"> </w:t>
            </w:r>
          </w:p>
          <w:p>
            <w:pPr>
              <w:pStyle w:val="TableContents"/>
              <w:bidi w:val="0"/>
              <w:spacing w:lineRule="atLeast" w:line="208" w:before="109" w:after="283"/>
              <w:jc w:val="left"/>
              <w:rPr>
                <w:b/>
                <w:color w:val="002F56"/>
              </w:rPr>
            </w:pPr>
            <w:r>
              <w:rPr>
                <w:b/>
                <w:color w:val="002F56"/>
                <w:spacing w:val="-10"/>
              </w:rPr>
              <w:t>CORPORATE SUSTAINABILITY</w:t>
            </w:r>
            <w:r>
              <w:rPr>
                <w:b/>
                <w:color w:val="002F56"/>
              </w:rPr>
              <w:t xml:space="preserve"> </w:t>
            </w:r>
          </w:p>
        </w:tc>
        <w:tc>
          <w:tcPr>
            <w:tcW w:w="109" w:type="dxa"/>
            <w:tcBorders>
              <w:bottom w:val="single" w:sz="12" w:space="0" w:color="71B1C8"/>
            </w:tcBorders>
            <w:shd w:fill="71B1C8" w:val="clear"/>
            <w:vAlign w:val="center"/>
          </w:tcPr>
          <w:p>
            <w:pPr>
              <w:pStyle w:val="TableContents"/>
              <w:bidi w:val="0"/>
              <w:spacing w:before="0" w:after="283"/>
              <w:jc w:val="left"/>
              <w:rPr/>
            </w:pPr>
            <w:r>
              <w:rPr/>
              <w:t>​</w:t>
            </w:r>
          </w:p>
        </w:tc>
        <w:tc>
          <w:tcPr>
            <w:tcW w:w="109" w:type="dxa"/>
            <w:tcBorders>
              <w:bottom w:val="single" w:sz="12" w:space="0" w:color="71B1C8"/>
            </w:tcBorders>
            <w:shd w:fill="EAF3F7" w:val="clear"/>
            <w:vAlign w:val="center"/>
          </w:tcPr>
          <w:p>
            <w:pPr>
              <w:pStyle w:val="TableContents"/>
              <w:bidi w:val="0"/>
              <w:spacing w:before="0" w:after="283"/>
              <w:jc w:val="left"/>
              <w:rPr/>
            </w:pPr>
            <w:r>
              <w:rPr/>
              <w:t>​</w:t>
            </w:r>
          </w:p>
        </w:tc>
        <w:tc>
          <w:tcPr>
            <w:tcW w:w="1670" w:type="dxa"/>
            <w:tcBorders>
              <w:bottom w:val="single" w:sz="12" w:space="0" w:color="71B1C8"/>
            </w:tcBorders>
            <w:shd w:fill="EAF3F7" w:val="clear"/>
            <w:tcMar>
              <w:bottom w:w="44" w:type="dxa"/>
            </w:tcMar>
            <w:vAlign w:val="center"/>
          </w:tcPr>
          <w:p>
            <w:pPr>
              <w:pStyle w:val="TableContents"/>
              <w:bidi w:val="0"/>
              <w:spacing w:lineRule="atLeast" w:line="208" w:before="0" w:after="0"/>
              <w:jc w:val="left"/>
              <w:rPr>
                <w:b/>
              </w:rPr>
            </w:pPr>
            <w:r>
              <w:rPr>
                <w:b/>
                <w:spacing w:val="0"/>
              </w:rPr>
              <w:t>Enhanced reporting disclosures</w:t>
            </w:r>
            <w:r>
              <w:rPr>
                <w:b/>
              </w:rPr>
              <w:t xml:space="preserve"> </w:t>
            </w:r>
          </w:p>
        </w:tc>
        <w:tc>
          <w:tcPr>
            <w:tcW w:w="109" w:type="dxa"/>
            <w:tcBorders>
              <w:bottom w:val="single" w:sz="12" w:space="0" w:color="71B1C8"/>
            </w:tcBorders>
            <w:shd w:fill="EAF3F7" w:val="clear"/>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447" w:type="dxa"/>
            <w:tcBorders>
              <w:bottom w:val="single" w:sz="12" w:space="0" w:color="71B1C8"/>
            </w:tcBorders>
            <w:tcMar>
              <w:bottom w:w="44" w:type="dxa"/>
            </w:tcMar>
            <w:vAlign w:val="center"/>
          </w:tcPr>
          <w:p>
            <w:pPr>
              <w:pStyle w:val="TableContents"/>
              <w:bidi w:val="0"/>
              <w:spacing w:before="0" w:after="0"/>
              <w:jc w:val="left"/>
              <w:rPr/>
            </w:pPr>
            <w:r>
              <w:rPr/>
              <w:drawing>
                <wp:inline distT="0" distB="0" distL="0" distR="0">
                  <wp:extent cx="228600" cy="123825"/>
                  <wp:effectExtent l="0" t="0" r="0" b="0"/>
                  <wp:docPr id="17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88" descr=""/>
                          <pic:cNvPicPr>
                            <a:picLocks noChangeAspect="1" noChangeArrowheads="1"/>
                          </pic:cNvPicPr>
                        </pic:nvPicPr>
                        <pic:blipFill>
                          <a:blip r:embed="rId99"/>
                          <a:stretch>
                            <a:fillRect/>
                          </a:stretch>
                        </pic:blipFill>
                        <pic:spPr bwMode="auto">
                          <a:xfrm>
                            <a:off x="0" y="0"/>
                            <a:ext cx="228600" cy="123825"/>
                          </a:xfrm>
                          <a:prstGeom prst="rect">
                            <a:avLst/>
                          </a:prstGeom>
                        </pic:spPr>
                      </pic:pic>
                    </a:graphicData>
                  </a:graphic>
                </wp:inline>
              </w:drawing>
            </w:r>
            <w:r>
              <w:rPr/>
              <w:t xml:space="preserve">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4012" w:type="dxa"/>
            <w:tcBorders>
              <w:bottom w:val="single" w:sz="12" w:space="0" w:color="71B1C8"/>
            </w:tcBorders>
            <w:tcMar>
              <w:bottom w:w="44" w:type="dxa"/>
            </w:tcMar>
            <w:vAlign w:val="center"/>
          </w:tcPr>
          <w:p>
            <w:pPr>
              <w:pStyle w:val="TableContents"/>
              <w:bidi w:val="0"/>
              <w:spacing w:lineRule="atLeast" w:line="208" w:before="0" w:after="0"/>
              <w:jc w:val="left"/>
              <w:rPr>
                <w:b/>
              </w:rPr>
            </w:pPr>
            <w:r>
              <w:rPr>
                <w:b/>
                <w:spacing w:val="0"/>
              </w:rPr>
              <w:t>Our sustainability strategy focuses on two primary areas: (1) continuing to execute against our existing environmental targets — including reductions in greenhouse gas emissions, water usage, and waste</w:t>
            </w:r>
            <w:r>
              <w:rPr>
                <w:b/>
                <w:spacing w:val="-2"/>
              </w:rPr>
              <w:t> — </w:t>
            </w:r>
            <w:r>
              <w:rPr>
                <w:b/>
                <w:spacing w:val="0"/>
              </w:rPr>
              <w:t>and (2) advancing innovation to deliver more sustainable products and solutions to our customers</w:t>
            </w:r>
            <w:r>
              <w:rPr>
                <w:b w:val="false"/>
                <w:spacing w:val="-1"/>
              </w:rPr>
              <w:t>.</w:t>
            </w:r>
            <w:r>
              <w:rPr>
                <w:b/>
              </w:rPr>
              <w:t xml:space="preserve"> </w:t>
            </w:r>
          </w:p>
          <w:p>
            <w:pPr>
              <w:pStyle w:val="TableContents"/>
              <w:bidi w:val="0"/>
              <w:spacing w:lineRule="atLeast" w:line="208" w:before="40" w:after="283"/>
              <w:jc w:val="left"/>
              <w:rPr/>
            </w:pPr>
            <w:r>
              <w:rPr>
                <w:spacing w:val="-1"/>
              </w:rPr>
              <w:t>In our 2025 Sustainability Report, to be published later in 2026, we expect to report the achievement of all 12 of our sustainability targets established in 2018, and the establishment of a new set of 10-year sustainability targets that will guide the next phase of our environmental strategy.</w:t>
            </w:r>
            <w:r>
              <w:rPr/>
              <w:t xml:space="preserve"> </w:t>
            </w:r>
          </w:p>
          <w:p>
            <w:pPr>
              <w:pStyle w:val="TableContents"/>
              <w:bidi w:val="0"/>
              <w:spacing w:lineRule="atLeast" w:line="208" w:before="40" w:after="283"/>
              <w:jc w:val="left"/>
              <w:rPr/>
            </w:pPr>
            <w:r>
              <w:rPr>
                <w:spacing w:val="-1"/>
              </w:rPr>
              <w:t>Innovation remains a key enabler of our sustainability efforts. Over the past five years, approximately 67% of the new products we have developed have incorporated sustainable attributes or performance characteristics.</w:t>
            </w:r>
            <w:r>
              <w:rPr/>
              <w:t xml:space="preserve"> </w:t>
            </w:r>
          </w:p>
        </w:tc>
        <w:tc>
          <w:tcPr>
            <w:tcW w:w="156"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C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PROXY SUMMARY</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EXECUTIVE COMPENSATION OVERVIEW</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9185" w:type="dxa"/>
        <w:jc w:val="left"/>
        <w:tblInd w:w="1020" w:type="dxa"/>
        <w:tblLayout w:type="fixed"/>
        <w:tblCellMar>
          <w:top w:w="0" w:type="dxa"/>
          <w:left w:w="0" w:type="dxa"/>
          <w:bottom w:w="0" w:type="dxa"/>
          <w:right w:w="0" w:type="dxa"/>
        </w:tblCellMar>
      </w:tblPr>
      <w:tblGrid>
        <w:gridCol w:w="124"/>
        <w:gridCol w:w="2305"/>
        <w:gridCol w:w="109"/>
        <w:gridCol w:w="109"/>
        <w:gridCol w:w="2862"/>
        <w:gridCol w:w="109"/>
        <w:gridCol w:w="109"/>
        <w:gridCol w:w="3303"/>
        <w:gridCol w:w="155"/>
      </w:tblGrid>
      <w:tr>
        <w:trPr/>
        <w:tc>
          <w:tcPr>
            <w:tcW w:w="124" w:type="dxa"/>
            <w:tcBorders/>
            <w:shd w:fill="002F56" w:val="clear"/>
            <w:vAlign w:val="center"/>
          </w:tcPr>
          <w:p>
            <w:pPr>
              <w:pStyle w:val="TableContents"/>
              <w:bidi w:val="0"/>
              <w:spacing w:before="0" w:after="283"/>
              <w:jc w:val="left"/>
              <w:rPr/>
            </w:pPr>
            <w:r>
              <w:rPr/>
              <w:t>​</w:t>
            </w:r>
          </w:p>
        </w:tc>
        <w:tc>
          <w:tcPr>
            <w:tcW w:w="2305" w:type="dxa"/>
            <w:tcBorders/>
            <w:shd w:fill="002F56" w:val="clear"/>
            <w:vAlign w:val="center"/>
          </w:tcPr>
          <w:p>
            <w:pPr>
              <w:pStyle w:val="TableContents"/>
              <w:bidi w:val="0"/>
              <w:spacing w:before="0" w:after="0"/>
              <w:jc w:val="left"/>
              <w:rPr/>
            </w:pPr>
            <w:r>
              <w:rPr/>
              <w:drawing>
                <wp:inline distT="0" distB="0" distL="0" distR="0">
                  <wp:extent cx="552450" cy="552450"/>
                  <wp:effectExtent l="0" t="0" r="0" b="0"/>
                  <wp:docPr id="17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9" descr=""/>
                          <pic:cNvPicPr>
                            <a:picLocks noChangeAspect="1" noChangeArrowheads="1"/>
                          </pic:cNvPicPr>
                        </pic:nvPicPr>
                        <pic:blipFill>
                          <a:blip r:embed="rId100"/>
                          <a:stretch>
                            <a:fillRect/>
                          </a:stretch>
                        </pic:blipFill>
                        <pic:spPr bwMode="auto">
                          <a:xfrm>
                            <a:off x="0" y="0"/>
                            <a:ext cx="552450" cy="552450"/>
                          </a:xfrm>
                          <a:prstGeom prst="rect">
                            <a:avLst/>
                          </a:prstGeom>
                        </pic:spPr>
                      </pic:pic>
                    </a:graphicData>
                  </a:graphic>
                </wp:inline>
              </w:drawing>
            </w:r>
            <w:r>
              <w:rPr/>
              <w:t xml:space="preserve"> </w:t>
            </w:r>
          </w:p>
          <w:p>
            <w:pPr>
              <w:pStyle w:val="TableContents"/>
              <w:bidi w:val="0"/>
              <w:spacing w:lineRule="atLeast" w:line="250" w:before="246" w:after="283"/>
              <w:jc w:val="left"/>
              <w:rPr>
                <w:b/>
                <w:color w:val="71B1C8"/>
                <w:sz w:val="21"/>
              </w:rPr>
            </w:pPr>
            <w:r>
              <w:rPr>
                <w:b/>
                <w:color w:val="71B1C8"/>
                <w:spacing w:val="-13"/>
                <w:sz w:val="21"/>
              </w:rPr>
              <w:t>EXECUTIVE COMPENSATION PRACTICES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2" w:type="dxa"/>
            <w:tcBorders/>
            <w:vAlign w:val="center"/>
          </w:tcPr>
          <w:p>
            <w:pPr>
              <w:pStyle w:val="TableContents"/>
              <w:bidi w:val="0"/>
              <w:spacing w:lineRule="atLeast" w:line="180" w:before="0" w:after="0"/>
              <w:ind w:left="180" w:right="0" w:hanging="0"/>
              <w:jc w:val="left"/>
              <w:rPr/>
            </w:pPr>
            <w:r>
              <w:rPr>
                <w:spacing w:val="-1"/>
              </w:rPr>
              <w:t>Pay-for-Performance culture</w:t>
            </w:r>
            <w:r>
              <w:rPr/>
              <w:t xml:space="preserve"> </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114300" cy="350520"/>
                      <wp:effectExtent l="0" t="0" r="0" b="0"/>
                      <wp:wrapSquare wrapText="right"/>
                      <wp:docPr id="172" name="Frame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Link long-term compensation to stock performance</w:t>
            </w:r>
            <w:r>
              <w:rPr/>
              <w:t xml:space="preserve"> </w:t>
            </w:r>
            <w:r>
              <mc:AlternateContent>
                <mc:Choice Requires="wps">
                  <w:drawing>
                    <wp:anchor behindDoc="0" distT="50800" distB="0" distL="0" distR="0" simplePos="0" locked="0" layoutInCell="1" allowOverlap="1" relativeHeight="380">
                      <wp:simplePos x="0" y="0"/>
                      <wp:positionH relativeFrom="column">
                        <wp:align>left</wp:align>
                      </wp:positionH>
                      <wp:positionV relativeFrom="line">
                        <wp:align>top</wp:align>
                      </wp:positionV>
                      <wp:extent cx="114300" cy="350520"/>
                      <wp:effectExtent l="0" t="0" r="0" b="0"/>
                      <wp:wrapSquare wrapText="right"/>
                      <wp:docPr id="173" name="Frame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Double trigger for vesting on change in control</w:t>
            </w:r>
            <w:r>
              <w:rPr/>
              <w:t xml:space="preserve"> </w:t>
            </w:r>
            <w:r>
              <mc:AlternateContent>
                <mc:Choice Requires="wps">
                  <w:drawing>
                    <wp:anchor behindDoc="0" distT="50800" distB="0" distL="0" distR="0" simplePos="0" locked="0" layoutInCell="1" allowOverlap="1" relativeHeight="381">
                      <wp:simplePos x="0" y="0"/>
                      <wp:positionH relativeFrom="column">
                        <wp:align>left</wp:align>
                      </wp:positionH>
                      <wp:positionV relativeFrom="line">
                        <wp:align>top</wp:align>
                      </wp:positionV>
                      <wp:extent cx="114300" cy="350520"/>
                      <wp:effectExtent l="0" t="0" r="0" b="0"/>
                      <wp:wrapSquare wrapText="right"/>
                      <wp:docPr id="174" name="Frame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Clawback policy</w:t>
            </w:r>
            <w:r>
              <w:rPr/>
              <w:t xml:space="preserve"> </w:t>
            </w:r>
            <w:r>
              <mc:AlternateContent>
                <mc:Choice Requires="wps">
                  <w:drawing>
                    <wp:anchor behindDoc="0" distT="50800" distB="0" distL="0" distR="0" simplePos="0" locked="0" layoutInCell="1" allowOverlap="1" relativeHeight="382">
                      <wp:simplePos x="0" y="0"/>
                      <wp:positionH relativeFrom="column">
                        <wp:align>left</wp:align>
                      </wp:positionH>
                      <wp:positionV relativeFrom="line">
                        <wp:align>top</wp:align>
                      </wp:positionV>
                      <wp:extent cx="114300" cy="350520"/>
                      <wp:effectExtent l="0" t="0" r="0" b="0"/>
                      <wp:wrapSquare wrapText="right"/>
                      <wp:docPr id="175" name="Frame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spacing w:val="-1"/>
              </w:rPr>
            </w:pPr>
            <w:r>
              <w:rPr>
                <w:spacing w:val="-1"/>
              </w:rPr>
              <w:t xml:space="preserve">Minimal perquisites </w:t>
            </w:r>
            <w:r>
              <mc:AlternateContent>
                <mc:Choice Requires="wps">
                  <w:drawing>
                    <wp:anchor behindDoc="0" distT="50800" distB="0" distL="0" distR="0" simplePos="0" locked="0" layoutInCell="1" allowOverlap="1" relativeHeight="383">
                      <wp:simplePos x="0" y="0"/>
                      <wp:positionH relativeFrom="column">
                        <wp:align>left</wp:align>
                      </wp:positionH>
                      <wp:positionV relativeFrom="line">
                        <wp:align>top</wp:align>
                      </wp:positionV>
                      <wp:extent cx="114300" cy="350520"/>
                      <wp:effectExtent l="0" t="0" r="0" b="0"/>
                      <wp:wrapSquare wrapText="right"/>
                      <wp:docPr id="176" name="Frame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03" w:type="dxa"/>
            <w:tcBorders/>
            <w:vAlign w:val="center"/>
          </w:tcPr>
          <w:p>
            <w:pPr>
              <w:pStyle w:val="TableContents"/>
              <w:bidi w:val="0"/>
              <w:spacing w:lineRule="atLeast" w:line="220" w:before="0" w:after="0"/>
              <w:ind w:left="180" w:right="0" w:hanging="0"/>
              <w:jc w:val="left"/>
              <w:rPr/>
            </w:pPr>
            <w:r>
              <w:rPr>
                <w:spacing w:val="-1"/>
              </w:rPr>
              <w:t>Stringent stock ownership requirements for directors and executive officers</w:t>
            </w:r>
            <w:r>
              <w:rPr/>
              <w:t xml:space="preserve"> </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114300" cy="350520"/>
                      <wp:effectExtent l="0" t="0" r="0" b="0"/>
                      <wp:wrapSquare wrapText="right"/>
                      <wp:docPr id="177" name="Frame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Retention period on exercised stock options and vested DRSUs</w:t>
            </w:r>
            <w:r>
              <w:rPr/>
              <w:t xml:space="preserve"> </w:t>
            </w:r>
            <w:r>
              <mc:AlternateContent>
                <mc:Choice Requires="wps">
                  <w:drawing>
                    <wp:anchor behindDoc="0" distT="50800" distB="0" distL="0" distR="0" simplePos="0" locked="0" layoutInCell="1" allowOverlap="1" relativeHeight="385">
                      <wp:simplePos x="0" y="0"/>
                      <wp:positionH relativeFrom="column">
                        <wp:align>left</wp:align>
                      </wp:positionH>
                      <wp:positionV relativeFrom="line">
                        <wp:align>top</wp:align>
                      </wp:positionV>
                      <wp:extent cx="114300" cy="350520"/>
                      <wp:effectExtent l="0" t="0" r="0" b="0"/>
                      <wp:wrapSquare wrapText="right"/>
                      <wp:docPr id="178" name="Frame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50% of long-term incentive compensation is performance-based</w:t>
            </w:r>
            <w:r>
              <w:rPr/>
              <w:t xml:space="preserve"> </w:t>
            </w:r>
            <w:r>
              <mc:AlternateContent>
                <mc:Choice Requires="wps">
                  <w:drawing>
                    <wp:anchor behindDoc="0" distT="50800" distB="0" distL="0" distR="0" simplePos="0" locked="0" layoutInCell="1" allowOverlap="1" relativeHeight="386">
                      <wp:simplePos x="0" y="0"/>
                      <wp:positionH relativeFrom="column">
                        <wp:align>left</wp:align>
                      </wp:positionH>
                      <wp:positionV relativeFrom="line">
                        <wp:align>top</wp:align>
                      </wp:positionV>
                      <wp:extent cx="114300" cy="350520"/>
                      <wp:effectExtent l="0" t="0" r="0" b="0"/>
                      <wp:wrapSquare wrapText="right"/>
                      <wp:docPr id="179" name="Frame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320" w:before="36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EXECUTIVE COMPENSATION HIGHLIGHTS</w:t>
      </w:r>
      <w:r>
        <w:rPr>
          <w:rFonts w:ascii="Arial;Helvetica;sans-serif" w:hAnsi="Arial;Helvetica;sans-serif"/>
          <w:b w:val="false"/>
          <w:i w:val="false"/>
          <w:caps w:val="false"/>
          <w:smallCaps w:val="false"/>
          <w:color w:val="002F5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Company consistently delivers significant returns to its shareholders. In 2025, we generated </w:t>
      </w:r>
      <w:r>
        <w:rPr>
          <w:rFonts w:ascii="Arial;Helvetica;sans-serif" w:hAnsi="Arial;Helvetica;sans-serif"/>
          <w:b/>
          <w:i w:val="false"/>
          <w:caps w:val="false"/>
          <w:smallCaps w:val="false"/>
          <w:color w:val="000000"/>
          <w:spacing w:val="0"/>
          <w:sz w:val="18"/>
        </w:rPr>
        <w:t>income from operations of $287 million</w:t>
      </w:r>
      <w:r>
        <w:rPr>
          <w:rFonts w:ascii="Arial;Helvetica;sans-serif" w:hAnsi="Arial;Helvetica;sans-serif"/>
          <w:b w:val="false"/>
          <w:i w:val="false"/>
          <w:caps w:val="false"/>
          <w:smallCaps w:val="false"/>
          <w:color w:val="000000"/>
          <w:spacing w:val="-1"/>
          <w:sz w:val="18"/>
        </w:rPr>
        <w:t xml:space="preserve"> and we recorded </w:t>
      </w:r>
      <w:r>
        <w:rPr>
          <w:rFonts w:ascii="Arial;Helvetica;sans-serif" w:hAnsi="Arial;Helvetica;sans-serif"/>
          <w:b/>
          <w:i w:val="false"/>
          <w:caps w:val="false"/>
          <w:smallCaps w:val="false"/>
          <w:color w:val="000000"/>
          <w:spacing w:val="0"/>
          <w:sz w:val="18"/>
        </w:rPr>
        <w:t>earnings per share of $5.52</w:t>
      </w:r>
      <w:r>
        <w:rPr>
          <w:rFonts w:ascii="Arial;Helvetica;sans-serif" w:hAnsi="Arial;Helvetica;sans-serif"/>
          <w:b w:val="false"/>
          <w:i w:val="false"/>
          <w:caps w:val="false"/>
          <w:smallCaps w:val="false"/>
          <w:color w:val="000000"/>
          <w:spacing w:val="-1"/>
          <w:sz w:val="18"/>
        </w:rPr>
        <w:t>, each excluding special items. We believe operating income and earnings per share are key metrics of Company performance that correlate to shareholder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illustrates the Company’s operating income and earnings per share and the compensation of our Chief Executive Officer, Douglas T. Dietrich, over the past three years. Mr. Dietrich’s compensation reflects the Company’s performance over the period as well as the Committee’s determination that target compensation should meet a market-based, competitive benchmark.</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50" w:after="283"/>
        <w:jc w:val="center"/>
        <w:rPr>
          <w:caps w:val="false"/>
          <w:smallCaps w:val="false"/>
          <w:color w:val="000000"/>
        </w:rPr>
      </w:pPr>
      <w:r>
        <w:rPr>
          <w:caps w:val="false"/>
          <w:smallCaps w:val="false"/>
          <w:color w:val="000000"/>
        </w:rPr>
        <w:drawing>
          <wp:inline distT="0" distB="0" distL="0" distR="0">
            <wp:extent cx="6238875" cy="2057400"/>
            <wp:effectExtent l="0" t="0" r="0" b="0"/>
            <wp:docPr id="18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90" descr=""/>
                    <pic:cNvPicPr>
                      <a:picLocks noChangeAspect="1" noChangeArrowheads="1"/>
                    </pic:cNvPicPr>
                  </pic:nvPicPr>
                  <pic:blipFill>
                    <a:blip r:embed="rId101"/>
                    <a:stretch>
                      <a:fillRect/>
                    </a:stretch>
                  </pic:blipFill>
                  <pic:spPr bwMode="auto">
                    <a:xfrm>
                      <a:off x="0" y="0"/>
                      <a:ext cx="6238875" cy="2057400"/>
                    </a:xfrm>
                    <a:prstGeom prst="rect">
                      <a:avLst/>
                    </a:prstGeom>
                  </pic:spPr>
                </pic:pic>
              </a:graphicData>
            </a:graphic>
          </wp:inline>
        </w:drawing>
      </w:r>
      <w:r>
        <w:rPr>
          <w:caps w:val="false"/>
          <w:smallCaps w:val="false"/>
          <w:color w:val="000000"/>
        </w:rPr>
        <w:t xml:space="preserve"> </w:t>
      </w:r>
    </w:p>
    <w:tbl>
      <w:tblPr>
        <w:tblW w:w="9185" w:type="dxa"/>
        <w:jc w:val="left"/>
        <w:tblInd w:w="1020" w:type="dxa"/>
        <w:tblLayout w:type="fixed"/>
        <w:tblCellMar>
          <w:top w:w="0" w:type="dxa"/>
          <w:left w:w="0" w:type="dxa"/>
          <w:bottom w:w="0" w:type="dxa"/>
          <w:right w:w="0" w:type="dxa"/>
        </w:tblCellMar>
      </w:tblPr>
      <w:tblGrid>
        <w:gridCol w:w="124"/>
        <w:gridCol w:w="3069"/>
        <w:gridCol w:w="109"/>
        <w:gridCol w:w="109"/>
        <w:gridCol w:w="109"/>
        <w:gridCol w:w="109"/>
        <w:gridCol w:w="109"/>
        <w:gridCol w:w="5292"/>
        <w:gridCol w:w="155"/>
      </w:tblGrid>
      <w:tr>
        <w:trPr/>
        <w:tc>
          <w:tcPr>
            <w:tcW w:w="124" w:type="dxa"/>
            <w:tcBorders/>
            <w:vAlign w:val="center"/>
          </w:tcPr>
          <w:p>
            <w:pPr>
              <w:pStyle w:val="TableContents"/>
              <w:bidi w:val="0"/>
              <w:spacing w:before="0" w:after="283"/>
              <w:jc w:val="left"/>
              <w:rPr/>
            </w:pPr>
            <w:r>
              <w:rPr/>
              <w:t>​</w:t>
            </w:r>
          </w:p>
        </w:tc>
        <w:tc>
          <w:tcPr>
            <w:tcW w:w="3069" w:type="dxa"/>
            <w:tcBorders/>
            <w:vAlign w:val="center"/>
          </w:tcPr>
          <w:p>
            <w:pPr>
              <w:pStyle w:val="TableContents"/>
              <w:bidi w:val="0"/>
              <w:spacing w:lineRule="atLeast" w:line="200" w:before="0" w:after="0"/>
              <w:jc w:val="left"/>
              <w:rPr/>
            </w:pPr>
            <w:r>
              <w:rPr>
                <w:spacing w:val="-1"/>
              </w:rPr>
              <w:t>Because the majority of our long-term incentive compensation in 2025 consisted of equity-based awards, the price of our stock directly affects the compensation realizable by our executives. The following is a comparison between the total realizable compensation for Mr. Dietrich for the years 2023-2025, determined as of December 31, 2025, and the total compensation we reported in the Summary Compensation Table for that time frame, which uses values for equity awards as of the date of grant. See “</w:t>
            </w:r>
            <w:r>
              <w:rPr>
                <w:i/>
              </w:rPr>
              <w:t>Compensation Discussion &amp; Analysis — Relationship Between Company Performance and Chief Executive Officer Compensation for 2025</w:t>
            </w:r>
            <w:r>
              <w:rPr>
                <w:spacing w:val="-1"/>
              </w:rPr>
              <w:t xml:space="preserve">” for more information.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2" w:type="dxa"/>
            <w:tcBorders/>
            <w:vAlign w:val="center"/>
          </w:tcPr>
          <w:p>
            <w:pPr>
              <w:pStyle w:val="TableContents"/>
              <w:bidi w:val="0"/>
              <w:spacing w:before="0" w:after="0"/>
              <w:jc w:val="center"/>
              <w:rPr/>
            </w:pPr>
            <w:r>
              <w:rPr/>
              <w:drawing>
                <wp:inline distT="0" distB="0" distL="0" distR="0">
                  <wp:extent cx="3305175" cy="2371725"/>
                  <wp:effectExtent l="0" t="0" r="0" b="0"/>
                  <wp:docPr id="18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1" descr=""/>
                          <pic:cNvPicPr>
                            <a:picLocks noChangeAspect="1" noChangeArrowheads="1"/>
                          </pic:cNvPicPr>
                        </pic:nvPicPr>
                        <pic:blipFill>
                          <a:blip r:embed="rId102"/>
                          <a:stretch>
                            <a:fillRect/>
                          </a:stretch>
                        </pic:blipFill>
                        <pic:spPr bwMode="auto">
                          <a:xfrm>
                            <a:off x="0" y="0"/>
                            <a:ext cx="3305175" cy="23717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TBOD"/>
      <w:bookmarkEnd w:id="10"/>
      <w:r>
        <w:rPr>
          <w:rFonts w:ascii="calibri;arial;sans-serif" w:hAnsi="calibri;arial;sans-serif"/>
          <w:b w:val="false"/>
          <w:i w:val="false"/>
          <w:caps w:val="false"/>
          <w:smallCaps w:val="false"/>
          <w:color w:val="000000"/>
          <w:sz w:val="16"/>
        </w:rPr>
        <w:t>​</w:t>
      </w:r>
      <w:bookmarkStart w:id="11" w:name="tP1EO"/>
      <w:bookmarkEnd w:id="11"/>
      <w:r>
        <w:rPr>
          <w:rFonts w:ascii="calibri;arial;sans-serif" w:hAnsi="calibri;arial;sans-serif"/>
          <w:b w:val="false"/>
          <w:i w:val="false"/>
          <w:caps w:val="false"/>
          <w:smallCaps w:val="false"/>
          <w:color w:val="000000"/>
          <w:sz w:val="16"/>
        </w:rPr>
        <w:t>​</w:t>
      </w:r>
      <w:bookmarkStart w:id="12" w:name="tSODQ"/>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THE BOARD OF DIRECTORS</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PROPOSAL 1 — ELECTION OF DIRECTORS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is divided into three classes. One class is elected each year for a three-year term. This year the Board has nominated Mr. Joseph C. Breunig and Dr. Kristina M. Johnson, each of whom are currently directors of the Company, to serve for a three-year term expiring at the Annual Meeting to be held in 2029.</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478"/>
        <w:gridCol w:w="109"/>
        <w:gridCol w:w="109"/>
        <w:gridCol w:w="109"/>
        <w:gridCol w:w="109"/>
        <w:gridCol w:w="109"/>
        <w:gridCol w:w="109"/>
        <w:gridCol w:w="109"/>
        <w:gridCol w:w="1559"/>
        <w:gridCol w:w="109"/>
        <w:gridCol w:w="109"/>
        <w:gridCol w:w="109"/>
        <w:gridCol w:w="2226"/>
        <w:gridCol w:w="109"/>
        <w:gridCol w:w="109"/>
        <w:gridCol w:w="109"/>
        <w:gridCol w:w="2226"/>
        <w:gridCol w:w="155"/>
      </w:tblGrid>
      <w:tr>
        <w:trPr/>
        <w:tc>
          <w:tcPr>
            <w:tcW w:w="124" w:type="dxa"/>
            <w:vMerge w:val="restart"/>
            <w:tcBorders/>
            <w:vAlign w:val="center"/>
          </w:tcPr>
          <w:p>
            <w:pPr>
              <w:pStyle w:val="TableContents"/>
              <w:bidi w:val="0"/>
              <w:spacing w:before="0" w:after="283"/>
              <w:jc w:val="left"/>
              <w:rPr/>
            </w:pPr>
            <w:r>
              <w:rPr/>
              <w:t>​</w:t>
            </w:r>
          </w:p>
        </w:tc>
        <w:tc>
          <w:tcPr>
            <w:tcW w:w="1478" w:type="dxa"/>
            <w:vMerge w:val="restart"/>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883920" cy="431800"/>
                      <wp:effectExtent l="0" t="0" r="0" b="0"/>
                      <wp:wrapNone/>
                      <wp:docPr id="182" name="Frame81"/>
                      <a:graphic xmlns:a="http://schemas.openxmlformats.org/drawingml/2006/main">
                        <a:graphicData uri="http://schemas.microsoft.com/office/word/2010/wordprocessingShape">
                          <wps:wsp>
                            <wps:cNvSpPr txBox="1"/>
                            <wps:spPr>
                              <a:xfrm>
                                <a:off x="0" y="0"/>
                                <a:ext cx="883920" cy="431800"/>
                              </a:xfrm>
                              <a:prstGeom prst="rect"/>
                              <a:solidFill>
                                <a:srgbClr val="FFFFFF"/>
                              </a:solidFill>
                            </wps:spPr>
                            <wps:txbx>
                              <w:txbxContent>
                                <w:p>
                                  <w:pPr>
                                    <w:pStyle w:val="TextBody"/>
                                    <w:bidi w:val="0"/>
                                    <w:spacing w:before="0" w:after="283"/>
                                    <w:jc w:val="left"/>
                                    <w:rPr>
                                      <w:color w:val="000000"/>
                                      <w:spacing w:val="-8"/>
                                      <w:sz w:val="22"/>
                                    </w:rPr>
                                  </w:pPr>
                                  <w:r>
                                    <w:rPr>
                                      <w:color w:val="000000"/>
                                      <w:spacing w:val="-8"/>
                                      <w:sz w:val="22"/>
                                    </w:rPr>
                                    <w:t xml:space="preserve">BOARD OF </w:t>
                                    <w:br/>
                                    <w:t xml:space="preserve">DIRECTORS </w:t>
                                  </w:r>
                                </w:p>
                              </w:txbxContent>
                            </wps:txbx>
                            <wps:bodyPr anchor="t" lIns="0" tIns="0" rIns="0" bIns="0">
                              <a:noAutofit/>
                            </wps:bodyPr>
                          </wps:wsp>
                        </a:graphicData>
                      </a:graphic>
                    </wp:anchor>
                  </w:drawing>
                </mc:Choice>
                <mc:Fallback>
                  <w:pict>
                    <v:rect style="position:absolute;rotation:-0;width:69.6pt;height:3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000000"/>
                                <w:spacing w:val="-8"/>
                                <w:sz w:val="22"/>
                              </w:rPr>
                            </w:pPr>
                            <w:r>
                              <w:rPr>
                                <w:color w:val="000000"/>
                                <w:spacing w:val="-8"/>
                                <w:sz w:val="22"/>
                              </w:rPr>
                              <w:t xml:space="preserve">BOARD OF </w:t>
                              <w:br/>
                              <w:t xml:space="preserve">DIRECTORS </w:t>
                            </w:r>
                          </w:p>
                        </w:txbxContent>
                      </v:textbox>
                      <w10:wrap type="none"/>
                    </v:rect>
                  </w:pict>
                </mc:Fallback>
              </mc:AlternateConten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559" w:type="dxa"/>
            <w:tcBorders/>
            <w:shd w:fill="71B1C8" w:val="clear"/>
            <w:vAlign w:val="center"/>
          </w:tcPr>
          <w:p>
            <w:pPr>
              <w:pStyle w:val="TableContents"/>
              <w:bidi w:val="0"/>
              <w:spacing w:lineRule="atLeast" w:line="210" w:before="0" w:after="0"/>
              <w:ind w:left="80" w:right="0" w:hanging="0"/>
              <w:jc w:val="center"/>
              <w:rPr>
                <w:spacing w:val="-6"/>
              </w:rPr>
            </w:pPr>
            <w:r>
              <w:rPr>
                <w:spacing w:val="-6"/>
              </w:rPr>
              <w:t xml:space="preserve">DIRECTOR NOMINEES FOR </w:t>
              <w:br/>
              <w:t xml:space="preserve">TERMS EXPIRING IN 2029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26" w:type="dxa"/>
            <w:tcBorders/>
            <w:shd w:fill="002F56" w:val="clear"/>
            <w:vAlign w:val="center"/>
          </w:tcPr>
          <w:p>
            <w:pPr>
              <w:pStyle w:val="TableContents"/>
              <w:bidi w:val="0"/>
              <w:spacing w:lineRule="atLeast" w:line="210" w:before="0" w:after="0"/>
              <w:jc w:val="center"/>
              <w:rPr>
                <w:spacing w:val="-6"/>
              </w:rPr>
            </w:pPr>
            <w:r>
              <w:rPr>
                <w:spacing w:val="-6"/>
              </w:rPr>
              <w:t xml:space="preserve">CONTINUING DIRECTORS WHOSE TERMS EXPIRE IN 2027 </w:t>
            </w:r>
          </w:p>
        </w:tc>
        <w:tc>
          <w:tcPr>
            <w:tcW w:w="109" w:type="dxa"/>
            <w:tcBorders/>
            <w:shd w:fill="002F56"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4C4C4C" w:val="clear"/>
            <w:vAlign w:val="center"/>
          </w:tcPr>
          <w:p>
            <w:pPr>
              <w:pStyle w:val="TableContents"/>
              <w:bidi w:val="0"/>
              <w:spacing w:before="0" w:after="283"/>
              <w:jc w:val="left"/>
              <w:rPr/>
            </w:pPr>
            <w:r>
              <w:rPr/>
              <w:t>​</w:t>
            </w:r>
          </w:p>
        </w:tc>
        <w:tc>
          <w:tcPr>
            <w:tcW w:w="2226" w:type="dxa"/>
            <w:tcBorders/>
            <w:shd w:fill="4C4C4C" w:val="clear"/>
            <w:vAlign w:val="center"/>
          </w:tcPr>
          <w:p>
            <w:pPr>
              <w:pStyle w:val="TableContents"/>
              <w:bidi w:val="0"/>
              <w:spacing w:lineRule="atLeast" w:line="210" w:before="0" w:after="0"/>
              <w:jc w:val="center"/>
              <w:rPr>
                <w:spacing w:val="-6"/>
              </w:rPr>
            </w:pPr>
            <w:r>
              <w:rPr>
                <w:spacing w:val="-6"/>
              </w:rPr>
              <w:t xml:space="preserve">CONTINUING DIRECTORS WHOSE TERMS EXPIRE IN 2028 </w:t>
            </w:r>
          </w:p>
        </w:tc>
        <w:tc>
          <w:tcPr>
            <w:tcW w:w="155" w:type="dxa"/>
            <w:tcBorders/>
            <w:shd w:fill="4C4C4C"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478" w:type="dxa"/>
            <w:vMerge w:val="continue"/>
            <w:tcBorders/>
            <w:tcMar>
              <w:top w:w="28" w:type="dxa"/>
              <w:left w:w="28" w:type="dxa"/>
              <w:bottom w:w="28" w:type="dxa"/>
              <w:right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DF0000"/>
            </w:tcBorders>
            <w:shd w:fill="DF0000"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FEFEFE"/>
            </w:tcBorders>
            <w:shd w:fill="FEFEFE"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lineRule="atLeast" w:line="170" w:before="0" w:after="0"/>
              <w:ind w:left="510" w:right="0" w:hanging="0"/>
              <w:jc w:val="left"/>
              <w:rPr/>
            </w:pPr>
            <w:r>
              <w:rPr>
                <w:spacing w:val="-1"/>
              </w:rPr>
              <w:t>Joseph C. Breunig</w:t>
            </w:r>
            <w:r>
              <w:rPr/>
              <w:t xml:space="preserve"> </w:t>
            </w:r>
            <w:r>
              <mc:AlternateContent>
                <mc:Choice Requires="wps">
                  <w:drawing>
                    <wp:anchor behindDoc="0" distT="0" distB="0" distL="215900" distR="0" simplePos="0" locked="0" layoutInCell="1" allowOverlap="1" relativeHeight="388">
                      <wp:simplePos x="0" y="0"/>
                      <wp:positionH relativeFrom="column">
                        <wp:align>left</wp:align>
                      </wp:positionH>
                      <wp:positionV relativeFrom="line">
                        <wp:posOffset>635</wp:posOffset>
                      </wp:positionV>
                      <wp:extent cx="107950" cy="350520"/>
                      <wp:effectExtent l="0" t="0" r="0" b="0"/>
                      <wp:wrapSquare wrapText="right"/>
                      <wp:docPr id="183" name="Frame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17pt;mso-wrap-distance-right:0pt;mso-wrap-distance-top:0pt;mso-wrap-distance-bottom:0pt;margin-top:0pt;mso-position-vertical:top;mso-position-vertical-relative:text;margin-left:17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510" w:right="0" w:hanging="0"/>
              <w:jc w:val="left"/>
              <w:rPr>
                <w:spacing w:val="-1"/>
              </w:rPr>
            </w:pPr>
            <w:r>
              <w:rPr>
                <w:spacing w:val="-1"/>
              </w:rPr>
              <w:t xml:space="preserve">Kristina M. Johnson </w:t>
            </w:r>
            <w:r>
              <mc:AlternateContent>
                <mc:Choice Requires="wps">
                  <w:drawing>
                    <wp:anchor behindDoc="0" distT="50800" distB="0" distL="215900" distR="0" simplePos="0" locked="0" layoutInCell="1" allowOverlap="1" relativeHeight="389">
                      <wp:simplePos x="0" y="0"/>
                      <wp:positionH relativeFrom="column">
                        <wp:align>left</wp:align>
                      </wp:positionH>
                      <wp:positionV relativeFrom="line">
                        <wp:align>top</wp:align>
                      </wp:positionV>
                      <wp:extent cx="107950" cy="350520"/>
                      <wp:effectExtent l="0" t="0" r="0" b="0"/>
                      <wp:wrapSquare wrapText="right"/>
                      <wp:docPr id="184" name="Frame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17pt;mso-wrap-distance-right:0pt;mso-wrap-distance-top:4pt;mso-wrap-distance-bottom:0pt;margin-top:4pt;mso-position-vertical:top;mso-position-vertical-relative:text;margin-left:17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6" w:type="dxa"/>
            <w:tcBorders/>
            <w:vAlign w:val="center"/>
          </w:tcPr>
          <w:p>
            <w:pPr>
              <w:pStyle w:val="TableContents"/>
              <w:bidi w:val="0"/>
              <w:spacing w:lineRule="atLeast" w:line="170" w:before="0" w:after="0"/>
              <w:ind w:left="340" w:right="0" w:hanging="0"/>
              <w:jc w:val="left"/>
              <w:rPr/>
            </w:pPr>
            <w:r>
              <w:rPr>
                <w:spacing w:val="-1"/>
              </w:rPr>
              <w:t>John J. Carmola</w:t>
            </w:r>
            <w:r>
              <w:rPr/>
              <w:t xml:space="preserve"> </w:t>
            </w:r>
            <w:r>
              <mc:AlternateContent>
                <mc:Choice Requires="wps">
                  <w:drawing>
                    <wp:anchor behindDoc="0" distT="0" distB="0" distL="107950" distR="0" simplePos="0" locked="0" layoutInCell="1" allowOverlap="1" relativeHeight="390">
                      <wp:simplePos x="0" y="0"/>
                      <wp:positionH relativeFrom="column">
                        <wp:align>left</wp:align>
                      </wp:positionH>
                      <wp:positionV relativeFrom="line">
                        <wp:posOffset>635</wp:posOffset>
                      </wp:positionV>
                      <wp:extent cx="107950" cy="350520"/>
                      <wp:effectExtent l="0" t="0" r="0" b="0"/>
                      <wp:wrapSquare wrapText="right"/>
                      <wp:docPr id="185" name="Frame8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340" w:right="0" w:hanging="0"/>
              <w:jc w:val="left"/>
              <w:rPr/>
            </w:pPr>
            <w:r>
              <w:rPr>
                <w:spacing w:val="-1"/>
              </w:rPr>
              <w:t>Robert L. Clark</w:t>
            </w:r>
            <w:r>
              <w:rPr/>
              <w:t xml:space="preserve"> </w:t>
            </w:r>
            <w:r>
              <mc:AlternateContent>
                <mc:Choice Requires="wps">
                  <w:drawing>
                    <wp:anchor behindDoc="0" distT="50800" distB="0" distL="107950" distR="0" simplePos="0" locked="0" layoutInCell="1" allowOverlap="1" relativeHeight="391">
                      <wp:simplePos x="0" y="0"/>
                      <wp:positionH relativeFrom="column">
                        <wp:align>left</wp:align>
                      </wp:positionH>
                      <wp:positionV relativeFrom="line">
                        <wp:align>top</wp:align>
                      </wp:positionV>
                      <wp:extent cx="107950" cy="350520"/>
                      <wp:effectExtent l="0" t="0" r="0" b="0"/>
                      <wp:wrapSquare wrapText="right"/>
                      <wp:docPr id="186" name="Frame8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pt;mso-wrap-distance-bottom:0pt;margin-top:4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340" w:right="0" w:hanging="0"/>
              <w:jc w:val="left"/>
              <w:rPr>
                <w:spacing w:val="-1"/>
              </w:rPr>
            </w:pPr>
            <w:r>
              <w:rPr>
                <w:spacing w:val="-1"/>
              </w:rPr>
              <w:t xml:space="preserve">Marc E. Robinson </w:t>
            </w:r>
            <w:r>
              <mc:AlternateContent>
                <mc:Choice Requires="wps">
                  <w:drawing>
                    <wp:anchor behindDoc="0" distT="50800" distB="0" distL="107950" distR="0" simplePos="0" locked="0" layoutInCell="1" allowOverlap="1" relativeHeight="392">
                      <wp:simplePos x="0" y="0"/>
                      <wp:positionH relativeFrom="column">
                        <wp:align>left</wp:align>
                      </wp:positionH>
                      <wp:positionV relativeFrom="line">
                        <wp:align>top</wp:align>
                      </wp:positionV>
                      <wp:extent cx="107950" cy="350520"/>
                      <wp:effectExtent l="0" t="0" r="0" b="0"/>
                      <wp:wrapSquare wrapText="right"/>
                      <wp:docPr id="187" name="Frame8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pt;mso-wrap-distance-bottom:0pt;margin-top:4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6" w:type="dxa"/>
            <w:tcBorders/>
            <w:vAlign w:val="center"/>
          </w:tcPr>
          <w:p>
            <w:pPr>
              <w:pStyle w:val="TableContents"/>
              <w:bidi w:val="0"/>
              <w:spacing w:lineRule="atLeast" w:line="170" w:before="0" w:after="0"/>
              <w:ind w:left="340" w:right="0" w:hanging="0"/>
              <w:jc w:val="left"/>
              <w:rPr/>
            </w:pPr>
            <w:r>
              <w:rPr>
                <w:spacing w:val="-1"/>
              </w:rPr>
              <w:t>Douglas T. Dietrich</w:t>
            </w:r>
            <w:r>
              <w:rPr/>
              <w:t xml:space="preserve"> </w:t>
            </w:r>
            <w:r>
              <mc:AlternateContent>
                <mc:Choice Requires="wps">
                  <w:drawing>
                    <wp:anchor behindDoc="0" distT="0" distB="0" distL="107950" distR="0" simplePos="0" locked="0" layoutInCell="1" allowOverlap="1" relativeHeight="393">
                      <wp:simplePos x="0" y="0"/>
                      <wp:positionH relativeFrom="column">
                        <wp:align>left</wp:align>
                      </wp:positionH>
                      <wp:positionV relativeFrom="line">
                        <wp:posOffset>635</wp:posOffset>
                      </wp:positionV>
                      <wp:extent cx="107950" cy="350520"/>
                      <wp:effectExtent l="0" t="0" r="0" b="0"/>
                      <wp:wrapSquare wrapText="right"/>
                      <wp:docPr id="188" name="Frame8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0pt;mso-wrap-distance-bottom:0pt;margin-top:0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340" w:right="0" w:hanging="0"/>
              <w:jc w:val="left"/>
              <w:rPr/>
            </w:pPr>
            <w:r>
              <w:rPr>
                <w:spacing w:val="-1"/>
              </w:rPr>
              <w:t>Rocky Motwani</w:t>
            </w:r>
            <w:r>
              <w:rPr/>
              <w:t xml:space="preserve"> </w:t>
            </w:r>
            <w:r>
              <mc:AlternateContent>
                <mc:Choice Requires="wps">
                  <w:drawing>
                    <wp:anchor behindDoc="0" distT="50800" distB="0" distL="107950" distR="0" simplePos="0" locked="0" layoutInCell="1" allowOverlap="1" relativeHeight="394">
                      <wp:simplePos x="0" y="0"/>
                      <wp:positionH relativeFrom="column">
                        <wp:align>left</wp:align>
                      </wp:positionH>
                      <wp:positionV relativeFrom="line">
                        <wp:align>top</wp:align>
                      </wp:positionV>
                      <wp:extent cx="107950" cy="350520"/>
                      <wp:effectExtent l="0" t="0" r="0" b="0"/>
                      <wp:wrapSquare wrapText="right"/>
                      <wp:docPr id="189" name="Frame8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pt;mso-wrap-distance-bottom:0pt;margin-top:4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80" w:after="0"/>
              <w:ind w:left="340" w:right="0" w:hanging="0"/>
              <w:jc w:val="left"/>
              <w:rPr/>
            </w:pPr>
            <w:r>
              <w:rPr>
                <w:spacing w:val="-1"/>
              </w:rPr>
              <w:t>Carolyn K. Pittman</w:t>
            </w:r>
            <w:r>
              <w:rPr/>
              <w:t xml:space="preserve"> </w:t>
            </w:r>
            <w:r>
              <mc:AlternateContent>
                <mc:Choice Requires="wps">
                  <w:drawing>
                    <wp:anchor behindDoc="0" distT="50800" distB="0" distL="107950" distR="0" simplePos="0" locked="0" layoutInCell="1" allowOverlap="1" relativeHeight="395">
                      <wp:simplePos x="0" y="0"/>
                      <wp:positionH relativeFrom="column">
                        <wp:align>left</wp:align>
                      </wp:positionH>
                      <wp:positionV relativeFrom="line">
                        <wp:align>top</wp:align>
                      </wp:positionV>
                      <wp:extent cx="107950" cy="350520"/>
                      <wp:effectExtent l="0" t="0" r="0" b="0"/>
                      <wp:wrapSquare wrapText="right"/>
                      <wp:docPr id="190" name="Frame8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8.5pt;mso-wrap-distance-right:0pt;mso-wrap-distance-top:4pt;mso-wrap-distance-bottom:0pt;margin-top:4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52"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Ms. Alison A. Deans and Mr. Franklin L. Feder, who are currently directors, have decided to retire as of the end of their respective terms in 2026. Accordingly, Ms. Deans’ and Mr. Feder’s terms as a director will conclude at the 2026 Annual Meeting.</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no reason to believe that the nominees will be unable or unwilling to serve if elected. However, if any nominee should become unable for any reason or unwilling for good cause to serve, your proxy may be voted for another person nominated as a substitute by the Board, or the Board may reduce the number of Directors.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09"/>
        <w:gridCol w:w="629"/>
        <w:gridCol w:w="109"/>
        <w:gridCol w:w="109"/>
        <w:gridCol w:w="7950"/>
        <w:gridCol w:w="155"/>
      </w:tblGrid>
      <w:tr>
        <w:trPr/>
        <w:tc>
          <w:tcPr>
            <w:tcW w:w="124" w:type="dxa"/>
            <w:tcBorders/>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629" w:type="dxa"/>
            <w:tcBorders/>
            <w:shd w:fill="71B1C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14325" cy="314325"/>
                  <wp:effectExtent l="0" t="0" r="0" b="0"/>
                  <wp:docPr id="19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2" descr=""/>
                          <pic:cNvPicPr>
                            <a:picLocks noChangeAspect="1" noChangeArrowheads="1"/>
                          </pic:cNvPicPr>
                        </pic:nvPicPr>
                        <pic:blipFill>
                          <a:blip r:embed="rId103"/>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7950" w:type="dxa"/>
            <w:tcBorders/>
            <w:shd w:fill="71B1C8" w:val="clear"/>
            <w:tcMar>
              <w:top w:w="28" w:type="dxa"/>
              <w:left w:w="28" w:type="dxa"/>
              <w:bottom w:w="28" w:type="dxa"/>
              <w:right w:w="28" w:type="dxa"/>
            </w:tcMar>
            <w:vAlign w:val="center"/>
          </w:tcPr>
          <w:p>
            <w:pPr>
              <w:pStyle w:val="TableContents"/>
              <w:bidi w:val="0"/>
              <w:spacing w:lineRule="atLeast" w:line="250" w:before="0" w:after="0"/>
              <w:jc w:val="left"/>
              <w:rPr>
                <w:b/>
                <w:sz w:val="21"/>
              </w:rPr>
            </w:pPr>
            <w:r>
              <w:rPr>
                <w:b/>
                <w:spacing w:val="-12"/>
                <w:sz w:val="21"/>
              </w:rPr>
              <w:t xml:space="preserve">THE BOARD UNANIMOUSLY RECOMMENDS A VOTE </w:t>
            </w:r>
            <w:r>
              <w:rPr>
                <w:b/>
                <w:color w:val="FFFFFF"/>
                <w:spacing w:val="-12"/>
                <w:sz w:val="21"/>
              </w:rPr>
              <w:t>“</w:t>
            </w:r>
            <w:r>
              <w:rPr>
                <w:b/>
                <w:color w:val="FFFFFF"/>
                <w:spacing w:val="-12"/>
                <w:sz w:val="21"/>
              </w:rPr>
              <w:t>FOR”</w:t>
            </w:r>
            <w:r>
              <w:rPr>
                <w:b/>
                <w:spacing w:val="-12"/>
                <w:sz w:val="21"/>
              </w:rPr>
              <w:t xml:space="preserve"> </w:t>
            </w:r>
            <w:r>
              <w:rPr>
                <w:b/>
                <w:spacing w:val="-12"/>
                <w:sz w:val="21"/>
              </w:rPr>
              <w:t>THE ELECTION OF THE NOMINEES:</w:t>
            </w:r>
            <w:r>
              <w:rPr>
                <w:b/>
                <w:sz w:val="21"/>
              </w:rPr>
              <w:t>​</w:t>
            </w:r>
            <w:r>
              <w:rPr>
                <w:b/>
                <w:spacing w:val="-7"/>
                <w:sz w:val="21"/>
              </w:rPr>
              <w:t xml:space="preserve"> </w:t>
            </w:r>
            <w:r>
              <w:rPr>
                <w:b/>
                <w:sz w:val="21"/>
              </w:rPr>
              <w:br/>
            </w:r>
            <w:r>
              <w:rPr>
                <w:b w:val="false"/>
                <w:caps/>
                <w:spacing w:val="-1"/>
                <w:sz w:val="21"/>
              </w:rPr>
              <w:t>Mr. Joseph C. Breunig and Dr. Kristina M. Johnson</w:t>
            </w:r>
            <w:r>
              <w:rPr>
                <w:b/>
                <w:sz w:val="21"/>
              </w:rPr>
              <w:t xml:space="preserve"> </w:t>
            </w:r>
          </w:p>
        </w:tc>
        <w:tc>
          <w:tcPr>
            <w:tcW w:w="155" w:type="dxa"/>
            <w:tcBorders/>
            <w:shd w:fill="71B1C8" w:val="clear"/>
            <w:vAlign w:val="center"/>
          </w:tcPr>
          <w:p>
            <w:pPr>
              <w:pStyle w:val="TableContents"/>
              <w:bidi w:val="0"/>
              <w:spacing w:before="0" w:after="283"/>
              <w:jc w:val="left"/>
              <w:rPr/>
            </w:pPr>
            <w:r>
              <w:rPr/>
              <w:t>​</w:t>
            </w:r>
          </w:p>
        </w:tc>
      </w:tr>
    </w:tbl>
    <w:p>
      <w:pPr>
        <w:pStyle w:val="TextBody"/>
        <w:bidi w:val="0"/>
        <w:spacing w:lineRule="atLeast" w:line="370" w:before="252"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SUMMARY OF DIRECTOR QUALIFICATIONS AND EXPERIENCE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2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Members of the Board should have a background and experience in areas important to the operations and strategy of the Company. Experience in the following areas is among the most significant qualifications of a director:</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577"/>
        <w:gridCol w:w="109"/>
        <w:gridCol w:w="109"/>
        <w:gridCol w:w="2688"/>
        <w:gridCol w:w="109"/>
        <w:gridCol w:w="109"/>
        <w:gridCol w:w="5204"/>
        <w:gridCol w:w="156"/>
      </w:tblGrid>
      <w:tr>
        <w:trPr/>
        <w:tc>
          <w:tcPr>
            <w:tcW w:w="124" w:type="dxa"/>
            <w:tcBorders/>
            <w:shd w:fill="002F56" w:val="clear"/>
            <w:vAlign w:val="center"/>
          </w:tcPr>
          <w:p>
            <w:pPr>
              <w:pStyle w:val="TableContents"/>
              <w:bidi w:val="0"/>
              <w:spacing w:before="0" w:after="283"/>
              <w:jc w:val="left"/>
              <w:rPr/>
            </w:pPr>
            <w:r>
              <w:rPr/>
              <w:t>​</w:t>
            </w:r>
          </w:p>
        </w:tc>
        <w:tc>
          <w:tcPr>
            <w:tcW w:w="3483" w:type="dxa"/>
            <w:gridSpan w:val="4"/>
            <w:tcBorders/>
            <w:shd w:fill="002F56" w:val="clear"/>
            <w:vAlign w:val="center"/>
          </w:tcPr>
          <w:p>
            <w:pPr>
              <w:pStyle w:val="TableContents"/>
              <w:bidi w:val="0"/>
              <w:spacing w:before="0" w:after="0"/>
              <w:jc w:val="left"/>
              <w:rPr>
                <w:spacing w:val="0"/>
              </w:rPr>
            </w:pPr>
            <w:r>
              <w:rPr>
                <w:spacing w:val="0"/>
              </w:rPr>
              <w:t xml:space="preserve">Experience &amp; Qualifications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5204" w:type="dxa"/>
            <w:tcBorders/>
            <w:shd w:fill="002F56" w:val="clear"/>
            <w:vAlign w:val="center"/>
          </w:tcPr>
          <w:p>
            <w:pPr>
              <w:pStyle w:val="TableContents"/>
              <w:bidi w:val="0"/>
              <w:spacing w:before="0" w:after="0"/>
              <w:jc w:val="left"/>
              <w:rPr>
                <w:spacing w:val="0"/>
              </w:rPr>
            </w:pPr>
            <w:r>
              <w:rPr>
                <w:spacing w:val="0"/>
              </w:rPr>
              <w:t xml:space="preserve">Relevance to Our Company </w:t>
            </w:r>
          </w:p>
        </w:tc>
        <w:tc>
          <w:tcPr>
            <w:tcW w:w="156"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219075" cy="285750"/>
                  <wp:effectExtent l="0" t="0" r="0" b="0"/>
                  <wp:docPr id="19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3" descr=""/>
                          <pic:cNvPicPr>
                            <a:picLocks noChangeAspect="1" noChangeArrowheads="1"/>
                          </pic:cNvPicPr>
                        </pic:nvPicPr>
                        <pic:blipFill>
                          <a:blip r:embed="rId104"/>
                          <a:stretch>
                            <a:fillRect/>
                          </a:stretch>
                        </pic:blipFill>
                        <pic:spPr bwMode="auto">
                          <a:xfrm>
                            <a:off x="0" y="0"/>
                            <a:ext cx="219075" cy="28575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28" w:type="dxa"/>
            </w:tcMar>
            <w:vAlign w:val="center"/>
          </w:tcPr>
          <w:p>
            <w:pPr>
              <w:pStyle w:val="TableContents"/>
              <w:bidi w:val="0"/>
              <w:spacing w:lineRule="atLeast" w:line="180" w:before="0" w:after="0"/>
              <w:jc w:val="left"/>
              <w:rPr>
                <w:b/>
              </w:rPr>
            </w:pPr>
            <w:r>
              <w:rPr>
                <w:b/>
                <w:spacing w:val="-10"/>
              </w:rPr>
              <w:t>LEADERSHIP EXPERIENCE</w:t>
            </w:r>
            <w:r>
              <w:rPr>
                <w:b/>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28" w:type="dxa"/>
            </w:tcMar>
            <w:vAlign w:val="center"/>
          </w:tcPr>
          <w:p>
            <w:pPr>
              <w:pStyle w:val="TableContents"/>
              <w:bidi w:val="0"/>
              <w:spacing w:lineRule="atLeast" w:line="189" w:before="0" w:after="0"/>
              <w:jc w:val="left"/>
              <w:rPr>
                <w:color w:val="000000"/>
                <w:spacing w:val="-1"/>
                <w:sz w:val="17"/>
              </w:rPr>
            </w:pPr>
            <w:r>
              <w:rPr>
                <w:color w:val="000000"/>
                <w:spacing w:val="-1"/>
                <w:sz w:val="17"/>
              </w:rPr>
              <w:t xml:space="preserve">Experience as a CEO, CFO, COO, division or segment president or managing director, or other functional leadership within a large, complex organization such as ours.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04800" cy="257175"/>
                  <wp:effectExtent l="0" t="0" r="0" b="0"/>
                  <wp:docPr id="19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4" descr=""/>
                          <pic:cNvPicPr>
                            <a:picLocks noChangeAspect="1" noChangeArrowheads="1"/>
                          </pic:cNvPicPr>
                        </pic:nvPicPr>
                        <pic:blipFill>
                          <a:blip r:embed="rId105"/>
                          <a:stretch>
                            <a:fillRect/>
                          </a:stretch>
                        </pic:blipFill>
                        <pic:spPr bwMode="auto">
                          <a:xfrm>
                            <a:off x="0" y="0"/>
                            <a:ext cx="304800" cy="25717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40" w:type="dxa"/>
            </w:tcMar>
            <w:vAlign w:val="center"/>
          </w:tcPr>
          <w:p>
            <w:pPr>
              <w:pStyle w:val="TableContents"/>
              <w:bidi w:val="0"/>
              <w:spacing w:lineRule="atLeast" w:line="180" w:before="0" w:after="0"/>
              <w:jc w:val="left"/>
              <w:rPr>
                <w:b/>
              </w:rPr>
            </w:pPr>
            <w:r>
              <w:rPr>
                <w:b/>
                <w:spacing w:val="-10"/>
              </w:rPr>
              <w:t>INTERNATIONAL EXPERIENCE</w:t>
            </w:r>
            <w:r>
              <w:rPr>
                <w:b/>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40" w:type="dxa"/>
            </w:tcMar>
            <w:vAlign w:val="center"/>
          </w:tcPr>
          <w:p>
            <w:pPr>
              <w:pStyle w:val="TableContents"/>
              <w:bidi w:val="0"/>
              <w:spacing w:lineRule="atLeast" w:line="189" w:before="0" w:after="0"/>
              <w:jc w:val="left"/>
              <w:rPr>
                <w:color w:val="000000"/>
                <w:spacing w:val="-1"/>
                <w:sz w:val="17"/>
              </w:rPr>
            </w:pPr>
            <w:r>
              <w:rPr>
                <w:color w:val="000000"/>
                <w:spacing w:val="-1"/>
                <w:sz w:val="17"/>
              </w:rPr>
              <w:t xml:space="preserve">Experience overseeing complex global operations in many countries, such as we have, helps us understand opportunities and challenges.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04800" cy="276225"/>
                  <wp:effectExtent l="0" t="0" r="0" b="0"/>
                  <wp:docPr id="19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5" descr=""/>
                          <pic:cNvPicPr>
                            <a:picLocks noChangeAspect="1" noChangeArrowheads="1"/>
                          </pic:cNvPicPr>
                        </pic:nvPicPr>
                        <pic:blipFill>
                          <a:blip r:embed="rId106"/>
                          <a:stretch>
                            <a:fillRect/>
                          </a:stretch>
                        </pic:blipFill>
                        <pic:spPr bwMode="auto">
                          <a:xfrm>
                            <a:off x="0" y="0"/>
                            <a:ext cx="304800" cy="27622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60" w:type="dxa"/>
            </w:tcMar>
            <w:vAlign w:val="center"/>
          </w:tcPr>
          <w:p>
            <w:pPr>
              <w:pStyle w:val="TableContents"/>
              <w:bidi w:val="0"/>
              <w:spacing w:lineRule="atLeast" w:line="180" w:before="0" w:after="0"/>
              <w:jc w:val="left"/>
              <w:rPr>
                <w:b/>
              </w:rPr>
            </w:pPr>
            <w:r>
              <w:rPr>
                <w:b/>
                <w:spacing w:val="-10"/>
              </w:rPr>
              <w:t xml:space="preserve">FINANCIAL </w:t>
              <w:br/>
              <w:t>LITERACY</w:t>
            </w:r>
            <w:r>
              <w:rPr>
                <w:b/>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60" w:type="dxa"/>
            </w:tcMar>
            <w:vAlign w:val="center"/>
          </w:tcPr>
          <w:p>
            <w:pPr>
              <w:pStyle w:val="TableContents"/>
              <w:bidi w:val="0"/>
              <w:spacing w:lineRule="atLeast" w:line="189" w:before="0" w:after="0"/>
              <w:jc w:val="left"/>
              <w:rPr>
                <w:color w:val="000000"/>
                <w:spacing w:val="-1"/>
                <w:sz w:val="17"/>
              </w:rPr>
            </w:pPr>
            <w:r>
              <w:rPr>
                <w:color w:val="000000"/>
                <w:spacing w:val="-1"/>
                <w:sz w:val="17"/>
              </w:rPr>
              <w:t xml:space="preserve">Knowledge of financial reporting and complex financial transactions, as is involved with our business.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04800" cy="285750"/>
                  <wp:effectExtent l="0" t="0" r="0" b="0"/>
                  <wp:docPr id="19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6" descr=""/>
                          <pic:cNvPicPr>
                            <a:picLocks noChangeAspect="1" noChangeArrowheads="1"/>
                          </pic:cNvPicPr>
                        </pic:nvPicPr>
                        <pic:blipFill>
                          <a:blip r:embed="rId107"/>
                          <a:stretch>
                            <a:fillRect/>
                          </a:stretch>
                        </pic:blipFill>
                        <pic:spPr bwMode="auto">
                          <a:xfrm>
                            <a:off x="0" y="0"/>
                            <a:ext cx="304800" cy="28575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28" w:type="dxa"/>
            </w:tcMar>
            <w:vAlign w:val="center"/>
          </w:tcPr>
          <w:p>
            <w:pPr>
              <w:pStyle w:val="TableContents"/>
              <w:bidi w:val="0"/>
              <w:spacing w:lineRule="atLeast" w:line="180" w:before="0" w:after="0"/>
              <w:jc w:val="left"/>
              <w:rPr>
                <w:b/>
                <w:color w:val="002F56"/>
                <w:sz w:val="16"/>
              </w:rPr>
            </w:pPr>
            <w:r>
              <w:rPr>
                <w:b/>
                <w:color w:val="002F56"/>
                <w:spacing w:val="-10"/>
                <w:sz w:val="16"/>
              </w:rPr>
              <w:t>TECHNOLOGY EXPERIENCE</w:t>
            </w:r>
            <w:r>
              <w:rPr>
                <w:b/>
                <w:color w:val="002F56"/>
                <w:sz w:val="16"/>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Experience with new technology, as we are a technology-based company that depends on our research and development capability for developing and introducing advanced new products.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228600" cy="266700"/>
                  <wp:effectExtent l="0" t="0" r="0" b="0"/>
                  <wp:docPr id="19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7" descr=""/>
                          <pic:cNvPicPr>
                            <a:picLocks noChangeAspect="1" noChangeArrowheads="1"/>
                          </pic:cNvPicPr>
                        </pic:nvPicPr>
                        <pic:blipFill>
                          <a:blip r:embed="rId108"/>
                          <a:stretch>
                            <a:fillRect/>
                          </a:stretch>
                        </pic:blipFill>
                        <pic:spPr bwMode="auto">
                          <a:xfrm>
                            <a:off x="0" y="0"/>
                            <a:ext cx="228600" cy="2667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60" w:type="dxa"/>
            </w:tcMar>
            <w:vAlign w:val="center"/>
          </w:tcPr>
          <w:p>
            <w:pPr>
              <w:pStyle w:val="TableContents"/>
              <w:bidi w:val="0"/>
              <w:spacing w:lineRule="atLeast" w:line="180" w:before="0" w:after="0"/>
              <w:jc w:val="left"/>
              <w:rPr>
                <w:b/>
              </w:rPr>
            </w:pPr>
            <w:r>
              <w:rPr>
                <w:b/>
                <w:spacing w:val="-10"/>
              </w:rPr>
              <w:t>RELEVANT INDUSTRY EXPERIENCE</w:t>
            </w:r>
            <w:r>
              <w:rPr>
                <w:b/>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60" w:type="dxa"/>
            </w:tcMar>
            <w:vAlign w:val="center"/>
          </w:tcPr>
          <w:p>
            <w:pPr>
              <w:pStyle w:val="TableContents"/>
              <w:bidi w:val="0"/>
              <w:spacing w:lineRule="atLeast" w:line="189" w:before="0" w:after="0"/>
              <w:jc w:val="left"/>
              <w:rPr>
                <w:color w:val="000000"/>
                <w:spacing w:val="-1"/>
                <w:sz w:val="17"/>
              </w:rPr>
            </w:pPr>
            <w:r>
              <w:rPr>
                <w:color w:val="000000"/>
                <w:spacing w:val="-1"/>
                <w:sz w:val="17"/>
              </w:rPr>
              <w:t xml:space="preserve">Experience in manufacturing industries provides a relevant understanding of our business, strategy, and marketplace dynamics.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276225" cy="276225"/>
                  <wp:effectExtent l="0" t="0" r="0" b="0"/>
                  <wp:docPr id="19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8" descr=""/>
                          <pic:cNvPicPr>
                            <a:picLocks noChangeAspect="1" noChangeArrowheads="1"/>
                          </pic:cNvPicPr>
                        </pic:nvPicPr>
                        <pic:blipFill>
                          <a:blip r:embed="rId109"/>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60" w:type="dxa"/>
            </w:tcMar>
            <w:vAlign w:val="center"/>
          </w:tcPr>
          <w:p>
            <w:pPr>
              <w:pStyle w:val="TableContents"/>
              <w:bidi w:val="0"/>
              <w:spacing w:lineRule="atLeast" w:line="180" w:before="0" w:after="0"/>
              <w:jc w:val="left"/>
              <w:rPr/>
            </w:pPr>
            <w:r>
              <w:rPr>
                <w:spacing w:val="-10"/>
              </w:rPr>
              <w:t>GOVERNMENTAL 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28" w:type="dxa"/>
            </w:tcMar>
            <w:vAlign w:val="center"/>
          </w:tcPr>
          <w:p>
            <w:pPr>
              <w:pStyle w:val="TableContents"/>
              <w:bidi w:val="0"/>
              <w:spacing w:lineRule="atLeast" w:line="189" w:before="0" w:after="0"/>
              <w:jc w:val="left"/>
              <w:rPr>
                <w:b w:val="false"/>
                <w:color w:val="000000"/>
                <w:spacing w:val="-1"/>
                <w:sz w:val="17"/>
              </w:rPr>
            </w:pPr>
            <w:r>
              <w:rPr>
                <w:b w:val="false"/>
                <w:color w:val="000000"/>
                <w:spacing w:val="-1"/>
                <w:sz w:val="17"/>
              </w:rPr>
              <w:t xml:space="preserve">Experience with government helps us navigate a complex regulatory environment.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266700" cy="238125"/>
                  <wp:effectExtent l="0" t="0" r="0" b="0"/>
                  <wp:docPr id="19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9" descr=""/>
                          <pic:cNvPicPr>
                            <a:picLocks noChangeAspect="1" noChangeArrowheads="1"/>
                          </pic:cNvPicPr>
                        </pic:nvPicPr>
                        <pic:blipFill>
                          <a:blip r:embed="rId110"/>
                          <a:stretch>
                            <a:fillRect/>
                          </a:stretch>
                        </pic:blipFill>
                        <pic:spPr bwMode="auto">
                          <a:xfrm>
                            <a:off x="0" y="0"/>
                            <a:ext cx="266700" cy="23812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40" w:type="dxa"/>
            </w:tcMar>
            <w:vAlign w:val="center"/>
          </w:tcPr>
          <w:p>
            <w:pPr>
              <w:pStyle w:val="TableContents"/>
              <w:bidi w:val="0"/>
              <w:spacing w:lineRule="atLeast" w:line="180" w:before="0" w:after="0"/>
              <w:jc w:val="left"/>
              <w:rPr>
                <w:b/>
              </w:rPr>
            </w:pPr>
            <w:r>
              <w:rPr>
                <w:b/>
                <w:spacing w:val="-10"/>
              </w:rPr>
              <w:t>OPERATIONAL EXPERIENCE</w:t>
            </w:r>
            <w:r>
              <w:rPr>
                <w:b/>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28" w:type="dxa"/>
            </w:tcMar>
            <w:vAlign w:val="center"/>
          </w:tcPr>
          <w:p>
            <w:pPr>
              <w:pStyle w:val="TableContents"/>
              <w:bidi w:val="0"/>
              <w:spacing w:lineRule="atLeast" w:line="189" w:before="0" w:after="0"/>
              <w:jc w:val="left"/>
              <w:rPr>
                <w:color w:val="000000"/>
                <w:spacing w:val="-1"/>
                <w:sz w:val="17"/>
              </w:rPr>
            </w:pPr>
            <w:r>
              <w:rPr>
                <w:color w:val="000000"/>
                <w:spacing w:val="-1"/>
                <w:sz w:val="17"/>
              </w:rPr>
              <w:t xml:space="preserve">Experience developing and implementing operating plans with an organization as large and complex as ours.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257175" cy="257175"/>
                  <wp:effectExtent l="0" t="0" r="0" b="0"/>
                  <wp:docPr id="19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00" descr=""/>
                          <pic:cNvPicPr>
                            <a:picLocks noChangeAspect="1" noChangeArrowheads="1"/>
                          </pic:cNvPicPr>
                        </pic:nvPicPr>
                        <pic:blipFill>
                          <a:blip r:embed="rId111"/>
                          <a:stretch>
                            <a:fillRect/>
                          </a:stretch>
                        </pic:blipFill>
                        <pic:spPr bwMode="auto">
                          <a:xfrm>
                            <a:off x="0" y="0"/>
                            <a:ext cx="257175" cy="25717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40" w:type="dxa"/>
            </w:tcMar>
            <w:vAlign w:val="center"/>
          </w:tcPr>
          <w:p>
            <w:pPr>
              <w:pStyle w:val="TableContents"/>
              <w:bidi w:val="0"/>
              <w:spacing w:lineRule="atLeast" w:line="180" w:before="0" w:after="0"/>
              <w:jc w:val="left"/>
              <w:rPr>
                <w:b/>
              </w:rPr>
            </w:pPr>
            <w:r>
              <w:rPr>
                <w:b/>
                <w:spacing w:val="-10"/>
              </w:rPr>
              <w:t>M&amp;A/FINANCIAL INDUSTRY EXPERIENCE</w:t>
            </w:r>
            <w:r>
              <w:rPr>
                <w:b/>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40" w:type="dxa"/>
            </w:tcMar>
            <w:vAlign w:val="center"/>
          </w:tcPr>
          <w:p>
            <w:pPr>
              <w:pStyle w:val="TableContents"/>
              <w:bidi w:val="0"/>
              <w:spacing w:lineRule="atLeast" w:line="189" w:before="0" w:after="0"/>
              <w:jc w:val="left"/>
              <w:rPr>
                <w:color w:val="000000"/>
                <w:spacing w:val="-1"/>
                <w:sz w:val="17"/>
              </w:rPr>
            </w:pPr>
            <w:r>
              <w:rPr>
                <w:color w:val="000000"/>
                <w:spacing w:val="-1"/>
                <w:sz w:val="17"/>
              </w:rPr>
              <w:t xml:space="preserve">Experience with mergers &amp; acquisitions and with capital markets is important for a public company such as ours.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257175" cy="247650"/>
                  <wp:effectExtent l="0" t="0" r="0" b="0"/>
                  <wp:docPr id="20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1" descr=""/>
                          <pic:cNvPicPr>
                            <a:picLocks noChangeAspect="1" noChangeArrowheads="1"/>
                          </pic:cNvPicPr>
                        </pic:nvPicPr>
                        <pic:blipFill>
                          <a:blip r:embed="rId112"/>
                          <a:stretch>
                            <a:fillRect/>
                          </a:stretch>
                        </pic:blipFill>
                        <pic:spPr bwMode="auto">
                          <a:xfrm>
                            <a:off x="0" y="0"/>
                            <a:ext cx="257175" cy="24765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6" w:space="0" w:color="CCCCCC"/>
            </w:tcBorders>
            <w:shd w:fill="EAF3F7" w:val="clear"/>
            <w:tcMar>
              <w:bottom w:w="28" w:type="dxa"/>
            </w:tcMar>
            <w:vAlign w:val="center"/>
          </w:tcPr>
          <w:p>
            <w:pPr>
              <w:pStyle w:val="TableContents"/>
              <w:bidi w:val="0"/>
              <w:spacing w:lineRule="atLeast" w:line="180" w:before="0" w:after="0"/>
              <w:jc w:val="left"/>
              <w:rPr>
                <w:b/>
                <w:color w:val="002F56"/>
                <w:sz w:val="16"/>
              </w:rPr>
            </w:pPr>
            <w:r>
              <w:rPr>
                <w:b/>
                <w:color w:val="002F56"/>
                <w:spacing w:val="-10"/>
                <w:sz w:val="16"/>
              </w:rPr>
              <w:t>RISK MANAGEMENT EXPERTISE</w:t>
            </w:r>
            <w:r>
              <w:rPr>
                <w:b/>
                <w:color w:val="002F56"/>
                <w:sz w:val="16"/>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5204"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Experience operating in a complex risk environment which requires effective risk management, including in such areas as financial and economic risks, risks related to geopolitical events, and regulatory risks. </w:t>
            </w:r>
          </w:p>
        </w:tc>
        <w:tc>
          <w:tcPr>
            <w:tcW w:w="156"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shd w:fill="71B1C8" w:val="clear"/>
            <w:tcMar>
              <w:bottom w:w="28" w:type="dxa"/>
            </w:tcMar>
            <w:vAlign w:val="center"/>
          </w:tcPr>
          <w:p>
            <w:pPr>
              <w:pStyle w:val="TableContents"/>
              <w:bidi w:val="0"/>
              <w:spacing w:before="0" w:after="283"/>
              <w:jc w:val="left"/>
              <w:rPr/>
            </w:pPr>
            <w:r>
              <w:rPr/>
              <w:t>​</w:t>
            </w:r>
          </w:p>
        </w:tc>
        <w:tc>
          <w:tcPr>
            <w:tcW w:w="577" w:type="dxa"/>
            <w:tcBorders>
              <w:bottom w:val="single" w:sz="12" w:space="0" w:color="71B1C8"/>
            </w:tcBorders>
            <w:shd w:fill="71B1C8" w:val="clear"/>
            <w:tcMar>
              <w:bottom w:w="28" w:type="dxa"/>
            </w:tcMar>
            <w:vAlign w:val="center"/>
          </w:tcPr>
          <w:p>
            <w:pPr>
              <w:pStyle w:val="TableContents"/>
              <w:bidi w:val="0"/>
              <w:spacing w:before="0" w:after="0"/>
              <w:jc w:val="center"/>
              <w:rPr/>
            </w:pPr>
            <w:r>
              <w:rPr/>
              <w:drawing>
                <wp:inline distT="0" distB="0" distL="0" distR="0">
                  <wp:extent cx="276225" cy="247650"/>
                  <wp:effectExtent l="0" t="0" r="0" b="0"/>
                  <wp:docPr id="20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02" descr=""/>
                          <pic:cNvPicPr>
                            <a:picLocks noChangeAspect="1" noChangeArrowheads="1"/>
                          </pic:cNvPicPr>
                        </pic:nvPicPr>
                        <pic:blipFill>
                          <a:blip r:embed="rId113"/>
                          <a:stretch>
                            <a:fillRect/>
                          </a:stretch>
                        </pic:blipFill>
                        <pic:spPr bwMode="auto">
                          <a:xfrm>
                            <a:off x="0" y="0"/>
                            <a:ext cx="276225" cy="247650"/>
                          </a:xfrm>
                          <a:prstGeom prst="rect">
                            <a:avLst/>
                          </a:prstGeom>
                        </pic:spPr>
                      </pic:pic>
                    </a:graphicData>
                  </a:graphic>
                </wp:inline>
              </w:drawing>
            </w:r>
            <w:r>
              <w:rPr/>
              <w:t xml:space="preserve"> </w:t>
            </w:r>
          </w:p>
        </w:tc>
        <w:tc>
          <w:tcPr>
            <w:tcW w:w="109" w:type="dxa"/>
            <w:tcBorders>
              <w:bottom w:val="single" w:sz="1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shd w:fill="EAF3F7" w:val="clear"/>
            <w:tcMar>
              <w:bottom w:w="28" w:type="dxa"/>
            </w:tcMar>
            <w:vAlign w:val="center"/>
          </w:tcPr>
          <w:p>
            <w:pPr>
              <w:pStyle w:val="TableContents"/>
              <w:bidi w:val="0"/>
              <w:spacing w:before="0" w:after="283"/>
              <w:jc w:val="left"/>
              <w:rPr/>
            </w:pPr>
            <w:r>
              <w:rPr/>
              <w:t>​</w:t>
            </w:r>
          </w:p>
        </w:tc>
        <w:tc>
          <w:tcPr>
            <w:tcW w:w="2688" w:type="dxa"/>
            <w:tcBorders>
              <w:bottom w:val="single" w:sz="12" w:space="0" w:color="71B1C8"/>
            </w:tcBorders>
            <w:shd w:fill="EAF3F7" w:val="clear"/>
            <w:tcMar>
              <w:bottom w:w="28" w:type="dxa"/>
            </w:tcMar>
            <w:vAlign w:val="center"/>
          </w:tcPr>
          <w:p>
            <w:pPr>
              <w:pStyle w:val="TableContents"/>
              <w:bidi w:val="0"/>
              <w:spacing w:lineRule="atLeast" w:line="180" w:before="0" w:after="0"/>
              <w:jc w:val="left"/>
              <w:rPr>
                <w:b/>
              </w:rPr>
            </w:pPr>
            <w:r>
              <w:rPr>
                <w:b/>
                <w:spacing w:val="-10"/>
              </w:rPr>
              <w:t>ENTERPRISE IT/</w:t>
            </w:r>
            <w:r>
              <w:rPr>
                <w:b/>
              </w:rPr>
              <w:t>​</w:t>
              <w:br/>
            </w:r>
            <w:r>
              <w:rPr>
                <w:b/>
                <w:spacing w:val="-10"/>
              </w:rPr>
              <w:t>CYBERSECURITY EXPERTISE</w:t>
            </w:r>
          </w:p>
        </w:tc>
        <w:tc>
          <w:tcPr>
            <w:tcW w:w="109" w:type="dxa"/>
            <w:tcBorders>
              <w:bottom w:val="single" w:sz="12" w:space="0" w:color="71B1C8"/>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5204" w:type="dxa"/>
            <w:tcBorders>
              <w:bottom w:val="single" w:sz="12" w:space="0" w:color="71B1C8"/>
            </w:tcBorders>
            <w:tcMar>
              <w:bottom w:w="28" w:type="dxa"/>
            </w:tcMar>
            <w:vAlign w:val="center"/>
          </w:tcPr>
          <w:p>
            <w:pPr>
              <w:pStyle w:val="TableContents"/>
              <w:bidi w:val="0"/>
              <w:spacing w:lineRule="atLeast" w:line="189" w:before="0" w:after="0"/>
              <w:jc w:val="left"/>
              <w:rPr>
                <w:color w:val="000000"/>
                <w:sz w:val="17"/>
              </w:rPr>
            </w:pPr>
            <w:r>
              <w:rPr>
                <w:color w:val="000000"/>
                <w:spacing w:val="-1"/>
                <w:sz w:val="17"/>
              </w:rPr>
              <w:t>Expertise in enterprise IT and cybersecurity technologies, risks, and strategies.</w:t>
            </w:r>
            <w:r>
              <w:rPr>
                <w:color w:val="000000"/>
                <w:sz w:val="17"/>
              </w:rPr>
              <w:t xml:space="preserve"> </w:t>
            </w:r>
          </w:p>
        </w:tc>
        <w:tc>
          <w:tcPr>
            <w:tcW w:w="156"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2F56"/>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THE BOARD OF DIRECTORS</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matrix below summarizes the key experience, qualifications, and attributes of our Board. Marks indicate specific areas of expertise or focus relied on by our Board, but the lack of a mark in a particular area does not necessarily signify a director’s lack of qualification or experience in such area.</w:t>
      </w:r>
      <w:r>
        <w:rPr>
          <w:rFonts w:ascii="Arial;Helvetica;sans-serif" w:hAnsi="Arial;Helvetica;sans-serif"/>
          <w:b w:val="false"/>
          <w:i w:val="false"/>
          <w:caps w:val="false"/>
          <w:smallCaps w:val="false"/>
          <w:color w:val="000000"/>
          <w:spacing w:val="4"/>
          <w:sz w:val="18"/>
        </w:rPr>
        <w:t xml:space="preserve"> </w:t>
      </w:r>
    </w:p>
    <w:tbl>
      <w:tblPr>
        <w:tblW w:w="27363" w:type="dxa"/>
        <w:jc w:val="left"/>
        <w:tblInd w:w="1020" w:type="dxa"/>
        <w:tblLayout w:type="fixed"/>
        <w:tblCellMar>
          <w:top w:w="0" w:type="dxa"/>
          <w:left w:w="0" w:type="dxa"/>
          <w:bottom w:w="0" w:type="dxa"/>
          <w:right w:w="0" w:type="dxa"/>
        </w:tblCellMar>
      </w:tblPr>
      <w:tblGrid>
        <w:gridCol w:w="124"/>
        <w:gridCol w:w="686"/>
        <w:gridCol w:w="109"/>
        <w:gridCol w:w="109"/>
        <w:gridCol w:w="2051"/>
        <w:gridCol w:w="109"/>
        <w:gridCol w:w="109"/>
        <w:gridCol w:w="2195"/>
        <w:gridCol w:w="109"/>
        <w:gridCol w:w="109"/>
        <w:gridCol w:w="2195"/>
        <w:gridCol w:w="109"/>
        <w:gridCol w:w="109"/>
        <w:gridCol w:w="2195"/>
        <w:gridCol w:w="109"/>
        <w:gridCol w:w="109"/>
        <w:gridCol w:w="2195"/>
        <w:gridCol w:w="109"/>
        <w:gridCol w:w="109"/>
        <w:gridCol w:w="2195"/>
        <w:gridCol w:w="109"/>
        <w:gridCol w:w="109"/>
        <w:gridCol w:w="2195"/>
        <w:gridCol w:w="109"/>
        <w:gridCol w:w="109"/>
        <w:gridCol w:w="2195"/>
        <w:gridCol w:w="109"/>
        <w:gridCol w:w="109"/>
        <w:gridCol w:w="2195"/>
        <w:gridCol w:w="109"/>
        <w:gridCol w:w="109"/>
        <w:gridCol w:w="2195"/>
        <w:gridCol w:w="109"/>
        <w:gridCol w:w="109"/>
        <w:gridCol w:w="2195"/>
        <w:gridCol w:w="154"/>
      </w:tblGrid>
      <w:tr>
        <w:trPr/>
        <w:tc>
          <w:tcPr>
            <w:tcW w:w="124" w:type="dxa"/>
            <w:tcBorders/>
            <w:shd w:fill="002F56" w:val="clear"/>
            <w:vAlign w:val="center"/>
          </w:tcPr>
          <w:p>
            <w:pPr>
              <w:pStyle w:val="TableContents"/>
              <w:bidi w:val="0"/>
              <w:spacing w:before="0" w:after="283"/>
              <w:jc w:val="left"/>
              <w:rPr/>
            </w:pPr>
            <w:r>
              <w:rPr/>
              <w:t>​</w:t>
            </w:r>
          </w:p>
        </w:tc>
        <w:tc>
          <w:tcPr>
            <w:tcW w:w="2955" w:type="dxa"/>
            <w:gridSpan w:val="4"/>
            <w:tcBorders/>
            <w:shd w:fill="002F56" w:val="clear"/>
            <w:vAlign w:val="center"/>
          </w:tcPr>
          <w:p>
            <w:pPr>
              <w:pStyle w:val="TableContents"/>
              <w:bidi w:val="0"/>
              <w:spacing w:lineRule="atLeast" w:line="191" w:before="0" w:after="0"/>
              <w:jc w:val="left"/>
              <w:rPr>
                <w:spacing w:val="0"/>
              </w:rPr>
            </w:pPr>
            <w:r>
              <w:rPr>
                <w:spacing w:val="0"/>
              </w:rPr>
              <w:t xml:space="preserve">Experience &amp; Qualifications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215" cy="426085"/>
                      <wp:effectExtent l="0" t="0" r="0" b="0"/>
                      <wp:wrapNone/>
                      <wp:docPr id="202" name="Frame90"/>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JOSEPH C. BREUNIG</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JOSEPH C. BREUNIG</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215" cy="426085"/>
                      <wp:effectExtent l="0" t="0" r="0" b="0"/>
                      <wp:wrapNone/>
                      <wp:docPr id="203" name="Frame91"/>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JOHN J. CARMOLA</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JOHN J. CARMOLA</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215" cy="426085"/>
                      <wp:effectExtent l="0" t="0" r="0" b="0"/>
                      <wp:wrapNone/>
                      <wp:docPr id="204" name="Frame92"/>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ROBERT L. CLARK</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ROBERT L. CLARK</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215" cy="426085"/>
                      <wp:effectExtent l="0" t="0" r="0" b="0"/>
                      <wp:wrapNone/>
                      <wp:docPr id="205" name="Frame93"/>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ALISON A. DEANS</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ALISON A. DEANS</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215" cy="426085"/>
                      <wp:effectExtent l="0" t="0" r="0" b="0"/>
                      <wp:wrapNone/>
                      <wp:docPr id="206" name="Frame94"/>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DOUGLAS T. DIETRICH</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DOUGLAS T. DIETRICH</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215" cy="426085"/>
                      <wp:effectExtent l="0" t="0" r="0" b="0"/>
                      <wp:wrapNone/>
                      <wp:docPr id="207" name="Frame95"/>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FRANKLIN L. FEDER</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FRANKLIN L. FEDER</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215" cy="426085"/>
                      <wp:effectExtent l="0" t="0" r="0" b="0"/>
                      <wp:wrapNone/>
                      <wp:docPr id="208" name="Frame96"/>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KRISTINA M. JOHNSON</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KRISTINA M. JOHNSON</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215" cy="426085"/>
                      <wp:effectExtent l="0" t="0" r="0" b="0"/>
                      <wp:wrapNone/>
                      <wp:docPr id="209" name="Frame97"/>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ROCKY MOTWANI</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ROCKY MOTWANI</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215" cy="426085"/>
                      <wp:effectExtent l="0" t="0" r="0" b="0"/>
                      <wp:wrapNone/>
                      <wp:docPr id="210" name="Frame98"/>
                      <a:graphic xmlns:a="http://schemas.openxmlformats.org/drawingml/2006/main">
                        <a:graphicData uri="http://schemas.microsoft.com/office/word/2010/wordprocessingShape">
                          <wps:wsp>
                            <wps:cNvSpPr txBox="1"/>
                            <wps:spPr>
                              <a:xfrm>
                                <a:off x="0" y="0"/>
                                <a:ext cx="1339215" cy="42608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CAROLYN K. PITTMAN</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3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CAROLYN K. PITTMAN</w:t>
                            </w:r>
                            <w:r>
                              <w:rPr>
                                <w:color w:val="FFFFFF"/>
                                <w:sz w:val="18"/>
                              </w:rPr>
                              <w:t>​</w:t>
                            </w:r>
                            <w:r>
                              <w:rPr>
                                <w:color w:val="71B1C8"/>
                                <w:sz w:val="18"/>
                              </w:rPr>
                              <w:t xml:space="preserve"> </w:t>
                            </w:r>
                          </w:p>
                        </w:txbxContent>
                      </v:textbox>
                      <w10:wrap type="none"/>
                    </v:rect>
                  </w:pict>
                </mc:Fallback>
              </mc:AlternateConten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195" w:type="dxa"/>
            <w:tcBorders/>
            <w:shd w:fill="002F56"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215" cy="380365"/>
                      <wp:effectExtent l="0" t="0" r="0" b="0"/>
                      <wp:wrapNone/>
                      <wp:docPr id="211" name="Frame99"/>
                      <a:graphic xmlns:a="http://schemas.openxmlformats.org/drawingml/2006/main">
                        <a:graphicData uri="http://schemas.microsoft.com/office/word/2010/wordprocessingShape">
                          <wps:wsp>
                            <wps:cNvSpPr txBox="1"/>
                            <wps:spPr>
                              <a:xfrm>
                                <a:off x="0" y="0"/>
                                <a:ext cx="1339215" cy="380365"/>
                              </a:xfrm>
                              <a:prstGeom prst="rect"/>
                              <a:solidFill>
                                <a:srgbClr val="FFFFFF"/>
                              </a:solidFill>
                            </wps:spPr>
                            <wps:txbx>
                              <w:txbxContent>
                                <w:p>
                                  <w:pPr>
                                    <w:pStyle w:val="TextBody"/>
                                    <w:bidi w:val="0"/>
                                    <w:spacing w:before="0" w:after="283"/>
                                    <w:jc w:val="left"/>
                                    <w:rPr>
                                      <w:color w:val="71B1C8"/>
                                      <w:sz w:val="18"/>
                                    </w:rPr>
                                  </w:pPr>
                                  <w:r>
                                    <w:rPr>
                                      <w:color w:val="71B1C8"/>
                                      <w:spacing w:val="-11"/>
                                      <w:sz w:val="18"/>
                                    </w:rPr>
                                    <w:t>MARC E. ROBINSON</w:t>
                                  </w:r>
                                  <w:r>
                                    <w:rPr>
                                      <w:color w:val="FFFFFF"/>
                                      <w:sz w:val="18"/>
                                    </w:rPr>
                                    <w:t>​</w:t>
                                  </w:r>
                                  <w:r>
                                    <w:rPr>
                                      <w:color w:val="71B1C8"/>
                                      <w:sz w:val="18"/>
                                    </w:rPr>
                                    <w:t xml:space="preserve"> </w:t>
                                  </w:r>
                                </w:p>
                              </w:txbxContent>
                            </wps:txbx>
                            <wps:bodyPr anchor="t" lIns="0" tIns="0" rIns="0" bIns="0">
                              <a:noAutofit/>
                            </wps:bodyPr>
                          </wps:wsp>
                        </a:graphicData>
                      </a:graphic>
                    </wp:anchor>
                  </w:drawing>
                </mc:Choice>
                <mc:Fallback>
                  <w:pict>
                    <v:rect style="position:absolute;rotation:-0;width:105.45pt;height:29.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71B1C8"/>
                                <w:sz w:val="18"/>
                              </w:rPr>
                            </w:pPr>
                            <w:r>
                              <w:rPr>
                                <w:color w:val="71B1C8"/>
                                <w:spacing w:val="-11"/>
                                <w:sz w:val="18"/>
                              </w:rPr>
                              <w:t>MARC E. ROBINSON</w:t>
                            </w:r>
                            <w:r>
                              <w:rPr>
                                <w:color w:val="FFFFFF"/>
                                <w:sz w:val="18"/>
                              </w:rPr>
                              <w:t>​</w:t>
                            </w:r>
                            <w:r>
                              <w:rPr>
                                <w:color w:val="71B1C8"/>
                                <w:sz w:val="18"/>
                              </w:rPr>
                              <w:t xml:space="preserve"> </w:t>
                            </w:r>
                          </w:p>
                        </w:txbxContent>
                      </v:textbox>
                      <w10:wrap type="none"/>
                    </v:rect>
                  </w:pict>
                </mc:Fallback>
              </mc:AlternateConten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419100"/>
                  <wp:effectExtent l="0" t="0" r="0" b="0"/>
                  <wp:docPr id="21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3" descr=""/>
                          <pic:cNvPicPr>
                            <a:picLocks noChangeAspect="1" noChangeArrowheads="1"/>
                          </pic:cNvPicPr>
                        </pic:nvPicPr>
                        <pic:blipFill>
                          <a:blip r:embed="rId114"/>
                          <a:stretch>
                            <a:fillRect/>
                          </a:stretch>
                        </pic:blipFill>
                        <pic:spPr bwMode="auto">
                          <a:xfrm>
                            <a:off x="0" y="0"/>
                            <a:ext cx="323850" cy="4191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 xml:space="preserve">LEADERSHIP </w:t>
              <w:br/>
              <w:t>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4" descr=""/>
                          <pic:cNvPicPr>
                            <a:picLocks noChangeAspect="1" noChangeArrowheads="1"/>
                          </pic:cNvPicPr>
                        </pic:nvPicPr>
                        <pic:blipFill>
                          <a:blip r:embed="rId11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5" descr=""/>
                          <pic:cNvPicPr>
                            <a:picLocks noChangeAspect="1" noChangeArrowheads="1"/>
                          </pic:cNvPicPr>
                        </pic:nvPicPr>
                        <pic:blipFill>
                          <a:blip r:embed="rId11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6" descr=""/>
                          <pic:cNvPicPr>
                            <a:picLocks noChangeAspect="1" noChangeArrowheads="1"/>
                          </pic:cNvPicPr>
                        </pic:nvPicPr>
                        <pic:blipFill>
                          <a:blip r:embed="rId11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7" descr=""/>
                          <pic:cNvPicPr>
                            <a:picLocks noChangeAspect="1" noChangeArrowheads="1"/>
                          </pic:cNvPicPr>
                        </pic:nvPicPr>
                        <pic:blipFill>
                          <a:blip r:embed="rId11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8" descr=""/>
                          <pic:cNvPicPr>
                            <a:picLocks noChangeAspect="1" noChangeArrowheads="1"/>
                          </pic:cNvPicPr>
                        </pic:nvPicPr>
                        <pic:blipFill>
                          <a:blip r:embed="rId11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9" descr=""/>
                          <pic:cNvPicPr>
                            <a:picLocks noChangeAspect="1" noChangeArrowheads="1"/>
                          </pic:cNvPicPr>
                        </pic:nvPicPr>
                        <pic:blipFill>
                          <a:blip r:embed="rId12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0" descr=""/>
                          <pic:cNvPicPr>
                            <a:picLocks noChangeAspect="1" noChangeArrowheads="1"/>
                          </pic:cNvPicPr>
                        </pic:nvPicPr>
                        <pic:blipFill>
                          <a:blip r:embed="rId12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1" descr=""/>
                          <pic:cNvPicPr>
                            <a:picLocks noChangeAspect="1" noChangeArrowheads="1"/>
                          </pic:cNvPicPr>
                        </pic:nvPicPr>
                        <pic:blipFill>
                          <a:blip r:embed="rId12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2" descr=""/>
                          <pic:cNvPicPr>
                            <a:picLocks noChangeAspect="1" noChangeArrowheads="1"/>
                          </pic:cNvPicPr>
                        </pic:nvPicPr>
                        <pic:blipFill>
                          <a:blip r:embed="rId12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3" descr=""/>
                          <pic:cNvPicPr>
                            <a:picLocks noChangeAspect="1" noChangeArrowheads="1"/>
                          </pic:cNvPicPr>
                        </pic:nvPicPr>
                        <pic:blipFill>
                          <a:blip r:embed="rId124"/>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266700"/>
                  <wp:effectExtent l="0" t="0" r="0" b="0"/>
                  <wp:docPr id="22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4" descr=""/>
                          <pic:cNvPicPr>
                            <a:picLocks noChangeAspect="1" noChangeArrowheads="1"/>
                          </pic:cNvPicPr>
                        </pic:nvPicPr>
                        <pic:blipFill>
                          <a:blip r:embed="rId125"/>
                          <a:stretch>
                            <a:fillRect/>
                          </a:stretch>
                        </pic:blipFill>
                        <pic:spPr bwMode="auto">
                          <a:xfrm>
                            <a:off x="0" y="0"/>
                            <a:ext cx="323850" cy="2667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60" w:type="dxa"/>
            </w:tcMar>
            <w:vAlign w:val="center"/>
          </w:tcPr>
          <w:p>
            <w:pPr>
              <w:pStyle w:val="TableContents"/>
              <w:bidi w:val="0"/>
              <w:spacing w:lineRule="atLeast" w:line="190" w:before="0" w:after="0"/>
              <w:jc w:val="left"/>
              <w:rPr/>
            </w:pPr>
            <w:r>
              <w:rPr>
                <w:spacing w:val="-10"/>
              </w:rPr>
              <w:t xml:space="preserve">INTERNATIONAL </w:t>
              <w:br/>
              <w:t>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5" descr=""/>
                          <pic:cNvPicPr>
                            <a:picLocks noChangeAspect="1" noChangeArrowheads="1"/>
                          </pic:cNvPicPr>
                        </pic:nvPicPr>
                        <pic:blipFill>
                          <a:blip r:embed="rId12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6" descr=""/>
                          <pic:cNvPicPr>
                            <a:picLocks noChangeAspect="1" noChangeArrowheads="1"/>
                          </pic:cNvPicPr>
                        </pic:nvPicPr>
                        <pic:blipFill>
                          <a:blip r:embed="rId12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7" descr=""/>
                          <pic:cNvPicPr>
                            <a:picLocks noChangeAspect="1" noChangeArrowheads="1"/>
                          </pic:cNvPicPr>
                        </pic:nvPicPr>
                        <pic:blipFill>
                          <a:blip r:embed="rId12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18" descr=""/>
                          <pic:cNvPicPr>
                            <a:picLocks noChangeAspect="1" noChangeArrowheads="1"/>
                          </pic:cNvPicPr>
                        </pic:nvPicPr>
                        <pic:blipFill>
                          <a:blip r:embed="rId12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9" descr=""/>
                          <pic:cNvPicPr>
                            <a:picLocks noChangeAspect="1" noChangeArrowheads="1"/>
                          </pic:cNvPicPr>
                        </pic:nvPicPr>
                        <pic:blipFill>
                          <a:blip r:embed="rId13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2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0" descr=""/>
                          <pic:cNvPicPr>
                            <a:picLocks noChangeAspect="1" noChangeArrowheads="1"/>
                          </pic:cNvPicPr>
                        </pic:nvPicPr>
                        <pic:blipFill>
                          <a:blip r:embed="rId13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1" descr=""/>
                          <pic:cNvPicPr>
                            <a:picLocks noChangeAspect="1" noChangeArrowheads="1"/>
                          </pic:cNvPicPr>
                        </pic:nvPicPr>
                        <pic:blipFill>
                          <a:blip r:embed="rId132"/>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295275"/>
                  <wp:effectExtent l="0" t="0" r="0" b="0"/>
                  <wp:docPr id="23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2" descr=""/>
                          <pic:cNvPicPr>
                            <a:picLocks noChangeAspect="1" noChangeArrowheads="1"/>
                          </pic:cNvPicPr>
                        </pic:nvPicPr>
                        <pic:blipFill>
                          <a:blip r:embed="rId133"/>
                          <a:stretch>
                            <a:fillRect/>
                          </a:stretch>
                        </pic:blipFill>
                        <pic:spPr bwMode="auto">
                          <a:xfrm>
                            <a:off x="0" y="0"/>
                            <a:ext cx="323850" cy="29527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FINANCIAL LITERACY</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3" descr=""/>
                          <pic:cNvPicPr>
                            <a:picLocks noChangeAspect="1" noChangeArrowheads="1"/>
                          </pic:cNvPicPr>
                        </pic:nvPicPr>
                        <pic:blipFill>
                          <a:blip r:embed="rId13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4" descr=""/>
                          <pic:cNvPicPr>
                            <a:picLocks noChangeAspect="1" noChangeArrowheads="1"/>
                          </pic:cNvPicPr>
                        </pic:nvPicPr>
                        <pic:blipFill>
                          <a:blip r:embed="rId13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5" descr=""/>
                          <pic:cNvPicPr>
                            <a:picLocks noChangeAspect="1" noChangeArrowheads="1"/>
                          </pic:cNvPicPr>
                        </pic:nvPicPr>
                        <pic:blipFill>
                          <a:blip r:embed="rId13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6" descr=""/>
                          <pic:cNvPicPr>
                            <a:picLocks noChangeAspect="1" noChangeArrowheads="1"/>
                          </pic:cNvPicPr>
                        </pic:nvPicPr>
                        <pic:blipFill>
                          <a:blip r:embed="rId13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7" descr=""/>
                          <pic:cNvPicPr>
                            <a:picLocks noChangeAspect="1" noChangeArrowheads="1"/>
                          </pic:cNvPicPr>
                        </pic:nvPicPr>
                        <pic:blipFill>
                          <a:blip r:embed="rId13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28" descr=""/>
                          <pic:cNvPicPr>
                            <a:picLocks noChangeAspect="1" noChangeArrowheads="1"/>
                          </pic:cNvPicPr>
                        </pic:nvPicPr>
                        <pic:blipFill>
                          <a:blip r:embed="rId13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29" descr=""/>
                          <pic:cNvPicPr>
                            <a:picLocks noChangeAspect="1" noChangeArrowheads="1"/>
                          </pic:cNvPicPr>
                        </pic:nvPicPr>
                        <pic:blipFill>
                          <a:blip r:embed="rId14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3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0" descr=""/>
                          <pic:cNvPicPr>
                            <a:picLocks noChangeAspect="1" noChangeArrowheads="1"/>
                          </pic:cNvPicPr>
                        </pic:nvPicPr>
                        <pic:blipFill>
                          <a:blip r:embed="rId14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1" descr=""/>
                          <pic:cNvPicPr>
                            <a:picLocks noChangeAspect="1" noChangeArrowheads="1"/>
                          </pic:cNvPicPr>
                        </pic:nvPicPr>
                        <pic:blipFill>
                          <a:blip r:embed="rId14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2" descr=""/>
                          <pic:cNvPicPr>
                            <a:picLocks noChangeAspect="1" noChangeArrowheads="1"/>
                          </pic:cNvPicPr>
                        </pic:nvPicPr>
                        <pic:blipFill>
                          <a:blip r:embed="rId143"/>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304800"/>
                  <wp:effectExtent l="0" t="0" r="0" b="0"/>
                  <wp:docPr id="24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3" descr=""/>
                          <pic:cNvPicPr>
                            <a:picLocks noChangeAspect="1" noChangeArrowheads="1"/>
                          </pic:cNvPicPr>
                        </pic:nvPicPr>
                        <pic:blipFill>
                          <a:blip r:embed="rId144"/>
                          <a:stretch>
                            <a:fillRect/>
                          </a:stretch>
                        </pic:blipFill>
                        <pic:spPr bwMode="auto">
                          <a:xfrm>
                            <a:off x="0" y="0"/>
                            <a:ext cx="323850" cy="3048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 xml:space="preserve">TECHNOLOGY </w:t>
              <w:br/>
              <w:t>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4" descr=""/>
                          <pic:cNvPicPr>
                            <a:picLocks noChangeAspect="1" noChangeArrowheads="1"/>
                          </pic:cNvPicPr>
                        </pic:nvPicPr>
                        <pic:blipFill>
                          <a:blip r:embed="rId14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5" descr=""/>
                          <pic:cNvPicPr>
                            <a:picLocks noChangeAspect="1" noChangeArrowheads="1"/>
                          </pic:cNvPicPr>
                        </pic:nvPicPr>
                        <pic:blipFill>
                          <a:blip r:embed="rId14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6" descr=""/>
                          <pic:cNvPicPr>
                            <a:picLocks noChangeAspect="1" noChangeArrowheads="1"/>
                          </pic:cNvPicPr>
                        </pic:nvPicPr>
                        <pic:blipFill>
                          <a:blip r:embed="rId14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7" descr=""/>
                          <pic:cNvPicPr>
                            <a:picLocks noChangeAspect="1" noChangeArrowheads="1"/>
                          </pic:cNvPicPr>
                        </pic:nvPicPr>
                        <pic:blipFill>
                          <a:blip r:embed="rId14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8" descr=""/>
                          <pic:cNvPicPr>
                            <a:picLocks noChangeAspect="1" noChangeArrowheads="1"/>
                          </pic:cNvPicPr>
                        </pic:nvPicPr>
                        <pic:blipFill>
                          <a:blip r:embed="rId14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4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39" descr=""/>
                          <pic:cNvPicPr>
                            <a:picLocks noChangeAspect="1" noChangeArrowheads="1"/>
                          </pic:cNvPicPr>
                        </pic:nvPicPr>
                        <pic:blipFill>
                          <a:blip r:embed="rId15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381000"/>
                  <wp:effectExtent l="0" t="0" r="0" b="0"/>
                  <wp:docPr id="24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0" descr=""/>
                          <pic:cNvPicPr>
                            <a:picLocks noChangeAspect="1" noChangeArrowheads="1"/>
                          </pic:cNvPicPr>
                        </pic:nvPicPr>
                        <pic:blipFill>
                          <a:blip r:embed="rId151"/>
                          <a:stretch>
                            <a:fillRect/>
                          </a:stretch>
                        </pic:blipFill>
                        <pic:spPr bwMode="auto">
                          <a:xfrm>
                            <a:off x="0" y="0"/>
                            <a:ext cx="323850" cy="3810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60" w:type="dxa"/>
            </w:tcMar>
            <w:vAlign w:val="center"/>
          </w:tcPr>
          <w:p>
            <w:pPr>
              <w:pStyle w:val="TableContents"/>
              <w:bidi w:val="0"/>
              <w:spacing w:lineRule="atLeast" w:line="190" w:before="0" w:after="0"/>
              <w:jc w:val="left"/>
              <w:rPr/>
            </w:pPr>
            <w:r>
              <w:rPr>
                <w:spacing w:val="-10"/>
              </w:rPr>
              <w:t xml:space="preserve">RELEVANT </w:t>
              <w:br/>
              <w:t xml:space="preserve">INDUSTRY </w:t>
              <w:br/>
              <w:t>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1" descr=""/>
                          <pic:cNvPicPr>
                            <a:picLocks noChangeAspect="1" noChangeArrowheads="1"/>
                          </pic:cNvPicPr>
                        </pic:nvPicPr>
                        <pic:blipFill>
                          <a:blip r:embed="rId15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2" descr=""/>
                          <pic:cNvPicPr>
                            <a:picLocks noChangeAspect="1" noChangeArrowheads="1"/>
                          </pic:cNvPicPr>
                        </pic:nvPicPr>
                        <pic:blipFill>
                          <a:blip r:embed="rId15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3" descr=""/>
                          <pic:cNvPicPr>
                            <a:picLocks noChangeAspect="1" noChangeArrowheads="1"/>
                          </pic:cNvPicPr>
                        </pic:nvPicPr>
                        <pic:blipFill>
                          <a:blip r:embed="rId15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4" descr=""/>
                          <pic:cNvPicPr>
                            <a:picLocks noChangeAspect="1" noChangeArrowheads="1"/>
                          </pic:cNvPicPr>
                        </pic:nvPicPr>
                        <pic:blipFill>
                          <a:blip r:embed="rId15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5" descr=""/>
                          <pic:cNvPicPr>
                            <a:picLocks noChangeAspect="1" noChangeArrowheads="1"/>
                          </pic:cNvPicPr>
                        </pic:nvPicPr>
                        <pic:blipFill>
                          <a:blip r:embed="rId15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6" descr=""/>
                          <pic:cNvPicPr>
                            <a:picLocks noChangeAspect="1" noChangeArrowheads="1"/>
                          </pic:cNvPicPr>
                        </pic:nvPicPr>
                        <pic:blipFill>
                          <a:blip r:embed="rId157"/>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81000" cy="381000"/>
                  <wp:effectExtent l="0" t="0" r="0" b="0"/>
                  <wp:docPr id="25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7" descr=""/>
                          <pic:cNvPicPr>
                            <a:picLocks noChangeAspect="1" noChangeArrowheads="1"/>
                          </pic:cNvPicPr>
                        </pic:nvPicPr>
                        <pic:blipFill>
                          <a:blip r:embed="rId158"/>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 xml:space="preserve">GOVERNMENTAL </w:t>
              <w:br/>
              <w:t>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48" descr=""/>
                          <pic:cNvPicPr>
                            <a:picLocks noChangeAspect="1" noChangeArrowheads="1"/>
                          </pic:cNvPicPr>
                        </pic:nvPicPr>
                        <pic:blipFill>
                          <a:blip r:embed="rId15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9" descr=""/>
                          <pic:cNvPicPr>
                            <a:picLocks noChangeAspect="1" noChangeArrowheads="1"/>
                          </pic:cNvPicPr>
                        </pic:nvPicPr>
                        <pic:blipFill>
                          <a:blip r:embed="rId16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5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0" descr=""/>
                          <pic:cNvPicPr>
                            <a:picLocks noChangeAspect="1" noChangeArrowheads="1"/>
                          </pic:cNvPicPr>
                        </pic:nvPicPr>
                        <pic:blipFill>
                          <a:blip r:embed="rId16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1" descr=""/>
                          <pic:cNvPicPr>
                            <a:picLocks noChangeAspect="1" noChangeArrowheads="1"/>
                          </pic:cNvPicPr>
                        </pic:nvPicPr>
                        <pic:blipFill>
                          <a:blip r:embed="rId16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2" descr=""/>
                          <pic:cNvPicPr>
                            <a:picLocks noChangeAspect="1" noChangeArrowheads="1"/>
                          </pic:cNvPicPr>
                        </pic:nvPicPr>
                        <pic:blipFill>
                          <a:blip r:embed="rId16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3" descr=""/>
                          <pic:cNvPicPr>
                            <a:picLocks noChangeAspect="1" noChangeArrowheads="1"/>
                          </pic:cNvPicPr>
                        </pic:nvPicPr>
                        <pic:blipFill>
                          <a:blip r:embed="rId16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4" descr=""/>
                          <pic:cNvPicPr>
                            <a:picLocks noChangeAspect="1" noChangeArrowheads="1"/>
                          </pic:cNvPicPr>
                        </pic:nvPicPr>
                        <pic:blipFill>
                          <a:blip r:embed="rId16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5" descr=""/>
                          <pic:cNvPicPr>
                            <a:picLocks noChangeAspect="1" noChangeArrowheads="1"/>
                          </pic:cNvPicPr>
                        </pic:nvPicPr>
                        <pic:blipFill>
                          <a:blip r:embed="rId166"/>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71475" cy="333375"/>
                  <wp:effectExtent l="0" t="0" r="0" b="0"/>
                  <wp:docPr id="26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6" descr=""/>
                          <pic:cNvPicPr>
                            <a:picLocks noChangeAspect="1" noChangeArrowheads="1"/>
                          </pic:cNvPicPr>
                        </pic:nvPicPr>
                        <pic:blipFill>
                          <a:blip r:embed="rId167"/>
                          <a:stretch>
                            <a:fillRect/>
                          </a:stretch>
                        </pic:blipFill>
                        <pic:spPr bwMode="auto">
                          <a:xfrm>
                            <a:off x="0" y="0"/>
                            <a:ext cx="371475" cy="33337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 xml:space="preserve">OPERATIONAL </w:t>
              <w:br/>
              <w:t>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7" descr=""/>
                          <pic:cNvPicPr>
                            <a:picLocks noChangeAspect="1" noChangeArrowheads="1"/>
                          </pic:cNvPicPr>
                        </pic:nvPicPr>
                        <pic:blipFill>
                          <a:blip r:embed="rId16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58" descr=""/>
                          <pic:cNvPicPr>
                            <a:picLocks noChangeAspect="1" noChangeArrowheads="1"/>
                          </pic:cNvPicPr>
                        </pic:nvPicPr>
                        <pic:blipFill>
                          <a:blip r:embed="rId16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9" descr=""/>
                          <pic:cNvPicPr>
                            <a:picLocks noChangeAspect="1" noChangeArrowheads="1"/>
                          </pic:cNvPicPr>
                        </pic:nvPicPr>
                        <pic:blipFill>
                          <a:blip r:embed="rId17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6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0" descr=""/>
                          <pic:cNvPicPr>
                            <a:picLocks noChangeAspect="1" noChangeArrowheads="1"/>
                          </pic:cNvPicPr>
                        </pic:nvPicPr>
                        <pic:blipFill>
                          <a:blip r:embed="rId17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1" descr=""/>
                          <pic:cNvPicPr>
                            <a:picLocks noChangeAspect="1" noChangeArrowheads="1"/>
                          </pic:cNvPicPr>
                        </pic:nvPicPr>
                        <pic:blipFill>
                          <a:blip r:embed="rId17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2" descr=""/>
                          <pic:cNvPicPr>
                            <a:picLocks noChangeAspect="1" noChangeArrowheads="1"/>
                          </pic:cNvPicPr>
                        </pic:nvPicPr>
                        <pic:blipFill>
                          <a:blip r:embed="rId17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3" descr=""/>
                          <pic:cNvPicPr>
                            <a:picLocks noChangeAspect="1" noChangeArrowheads="1"/>
                          </pic:cNvPicPr>
                        </pic:nvPicPr>
                        <pic:blipFill>
                          <a:blip r:embed="rId17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4" descr=""/>
                          <pic:cNvPicPr>
                            <a:picLocks noChangeAspect="1" noChangeArrowheads="1"/>
                          </pic:cNvPicPr>
                        </pic:nvPicPr>
                        <pic:blipFill>
                          <a:blip r:embed="rId17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5" descr=""/>
                          <pic:cNvPicPr>
                            <a:picLocks noChangeAspect="1" noChangeArrowheads="1"/>
                          </pic:cNvPicPr>
                        </pic:nvPicPr>
                        <pic:blipFill>
                          <a:blip r:embed="rId176"/>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314325"/>
                  <wp:effectExtent l="0" t="0" r="0" b="0"/>
                  <wp:docPr id="27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6" descr=""/>
                          <pic:cNvPicPr>
                            <a:picLocks noChangeAspect="1" noChangeArrowheads="1"/>
                          </pic:cNvPicPr>
                        </pic:nvPicPr>
                        <pic:blipFill>
                          <a:blip r:embed="rId177"/>
                          <a:stretch>
                            <a:fillRect/>
                          </a:stretch>
                        </pic:blipFill>
                        <pic:spPr bwMode="auto">
                          <a:xfrm>
                            <a:off x="0" y="0"/>
                            <a:ext cx="323850" cy="314325"/>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 xml:space="preserve">M&amp;A/FINANCIAL </w:t>
              <w:br/>
              <w:t>INDUSTRY EXPERIENCE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7" descr=""/>
                          <pic:cNvPicPr>
                            <a:picLocks noChangeAspect="1" noChangeArrowheads="1"/>
                          </pic:cNvPicPr>
                        </pic:nvPicPr>
                        <pic:blipFill>
                          <a:blip r:embed="rId17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68" descr=""/>
                          <pic:cNvPicPr>
                            <a:picLocks noChangeAspect="1" noChangeArrowheads="1"/>
                          </pic:cNvPicPr>
                        </pic:nvPicPr>
                        <pic:blipFill>
                          <a:blip r:embed="rId17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9" descr=""/>
                          <pic:cNvPicPr>
                            <a:picLocks noChangeAspect="1" noChangeArrowheads="1"/>
                          </pic:cNvPicPr>
                        </pic:nvPicPr>
                        <pic:blipFill>
                          <a:blip r:embed="rId18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7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70" descr=""/>
                          <pic:cNvPicPr>
                            <a:picLocks noChangeAspect="1" noChangeArrowheads="1"/>
                          </pic:cNvPicPr>
                        </pic:nvPicPr>
                        <pic:blipFill>
                          <a:blip r:embed="rId18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0"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1" descr=""/>
                          <pic:cNvPicPr>
                            <a:picLocks noChangeAspect="1" noChangeArrowheads="1"/>
                          </pic:cNvPicPr>
                        </pic:nvPicPr>
                        <pic:blipFill>
                          <a:blip r:embed="rId18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2" descr=""/>
                          <pic:cNvPicPr>
                            <a:picLocks noChangeAspect="1" noChangeArrowheads="1"/>
                          </pic:cNvPicPr>
                        </pic:nvPicPr>
                        <pic:blipFill>
                          <a:blip r:embed="rId18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3" descr=""/>
                          <pic:cNvPicPr>
                            <a:picLocks noChangeAspect="1" noChangeArrowheads="1"/>
                          </pic:cNvPicPr>
                        </pic:nvPicPr>
                        <pic:blipFill>
                          <a:blip r:embed="rId18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4" descr=""/>
                          <pic:cNvPicPr>
                            <a:picLocks noChangeAspect="1" noChangeArrowheads="1"/>
                          </pic:cNvPicPr>
                        </pic:nvPicPr>
                        <pic:blipFill>
                          <a:blip r:embed="rId18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4"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5" descr=""/>
                          <pic:cNvPicPr>
                            <a:picLocks noChangeAspect="1" noChangeArrowheads="1"/>
                          </pic:cNvPicPr>
                        </pic:nvPicPr>
                        <pic:blipFill>
                          <a:blip r:embed="rId186"/>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6" w:space="0" w:color="CCCCCC"/>
            </w:tcBorders>
            <w:shd w:fill="71B1C8" w:val="clear"/>
            <w:tcMar>
              <w:bottom w:w="28" w:type="dxa"/>
            </w:tcMar>
            <w:vAlign w:val="center"/>
          </w:tcPr>
          <w:p>
            <w:pPr>
              <w:pStyle w:val="TableContents"/>
              <w:bidi w:val="0"/>
              <w:spacing w:before="0" w:after="0"/>
              <w:jc w:val="center"/>
              <w:rPr/>
            </w:pPr>
            <w:r>
              <w:rPr/>
              <w:drawing>
                <wp:inline distT="0" distB="0" distL="0" distR="0">
                  <wp:extent cx="323850" cy="304800"/>
                  <wp:effectExtent l="0" t="0" r="0" b="0"/>
                  <wp:docPr id="28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6" descr=""/>
                          <pic:cNvPicPr>
                            <a:picLocks noChangeAspect="1" noChangeArrowheads="1"/>
                          </pic:cNvPicPr>
                        </pic:nvPicPr>
                        <pic:blipFill>
                          <a:blip r:embed="rId187"/>
                          <a:stretch>
                            <a:fillRect/>
                          </a:stretch>
                        </pic:blipFill>
                        <pic:spPr bwMode="auto">
                          <a:xfrm>
                            <a:off x="0" y="0"/>
                            <a:ext cx="323850" cy="304800"/>
                          </a:xfrm>
                          <a:prstGeom prst="rect">
                            <a:avLst/>
                          </a:prstGeom>
                        </pic:spPr>
                      </pic:pic>
                    </a:graphicData>
                  </a:graphic>
                </wp:inline>
              </w:drawing>
            </w:r>
            <w:r>
              <w:rPr/>
              <w:t xml:space="preserve"> </w:t>
            </w:r>
          </w:p>
        </w:tc>
        <w:tc>
          <w:tcPr>
            <w:tcW w:w="109" w:type="dxa"/>
            <w:tcBorders>
              <w:bottom w:val="single" w:sz="6" w:space="0" w:color="CCCCCC"/>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6" w:space="0" w:color="CCCCCC"/>
            </w:tcBorders>
            <w:shd w:fill="EAF3F7" w:val="clear"/>
            <w:tcMar>
              <w:bottom w:w="28" w:type="dxa"/>
            </w:tcMar>
            <w:vAlign w:val="center"/>
          </w:tcPr>
          <w:p>
            <w:pPr>
              <w:pStyle w:val="TableContents"/>
              <w:bidi w:val="0"/>
              <w:spacing w:lineRule="atLeast" w:line="190" w:before="0" w:after="0"/>
              <w:jc w:val="left"/>
              <w:rPr/>
            </w:pPr>
            <w:r>
              <w:rPr>
                <w:spacing w:val="-10"/>
              </w:rPr>
              <w:t xml:space="preserve">RISK MANAGEMENT </w:t>
              <w:br/>
              <w:t>EXPERTISE</w:t>
            </w:r>
            <w:r>
              <w:rPr/>
              <w:t xml:space="preserve"> </w:t>
            </w:r>
          </w:p>
        </w:tc>
        <w:tc>
          <w:tcPr>
            <w:tcW w:w="109" w:type="dxa"/>
            <w:tcBorders>
              <w:bottom w:val="single" w:sz="6" w:space="0" w:color="CCCCCC"/>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7" descr=""/>
                          <pic:cNvPicPr>
                            <a:picLocks noChangeAspect="1" noChangeArrowheads="1"/>
                          </pic:cNvPicPr>
                        </pic:nvPicPr>
                        <pic:blipFill>
                          <a:blip r:embed="rId18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78" descr=""/>
                          <pic:cNvPicPr>
                            <a:picLocks noChangeAspect="1" noChangeArrowheads="1"/>
                          </pic:cNvPicPr>
                        </pic:nvPicPr>
                        <pic:blipFill>
                          <a:blip r:embed="rId18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79" descr=""/>
                          <pic:cNvPicPr>
                            <a:picLocks noChangeAspect="1" noChangeArrowheads="1"/>
                          </pic:cNvPicPr>
                        </pic:nvPicPr>
                        <pic:blipFill>
                          <a:blip r:embed="rId19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8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0" descr=""/>
                          <pic:cNvPicPr>
                            <a:picLocks noChangeAspect="1" noChangeArrowheads="1"/>
                          </pic:cNvPicPr>
                        </pic:nvPicPr>
                        <pic:blipFill>
                          <a:blip r:embed="rId19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1" descr=""/>
                          <pic:cNvPicPr>
                            <a:picLocks noChangeAspect="1" noChangeArrowheads="1"/>
                          </pic:cNvPicPr>
                        </pic:nvPicPr>
                        <pic:blipFill>
                          <a:blip r:embed="rId19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2" descr=""/>
                          <pic:cNvPicPr>
                            <a:picLocks noChangeAspect="1" noChangeArrowheads="1"/>
                          </pic:cNvPicPr>
                        </pic:nvPicPr>
                        <pic:blipFill>
                          <a:blip r:embed="rId193"/>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3" descr=""/>
                          <pic:cNvPicPr>
                            <a:picLocks noChangeAspect="1" noChangeArrowheads="1"/>
                          </pic:cNvPicPr>
                        </pic:nvPicPr>
                        <pic:blipFill>
                          <a:blip r:embed="rId194"/>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84" descr=""/>
                          <pic:cNvPicPr>
                            <a:picLocks noChangeAspect="1" noChangeArrowheads="1"/>
                          </pic:cNvPicPr>
                        </pic:nvPicPr>
                        <pic:blipFill>
                          <a:blip r:embed="rId19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85" descr=""/>
                          <pic:cNvPicPr>
                            <a:picLocks noChangeAspect="1" noChangeArrowheads="1"/>
                          </pic:cNvPicPr>
                        </pic:nvPicPr>
                        <pic:blipFill>
                          <a:blip r:embed="rId19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195" w:type="dxa"/>
            <w:tcBorders>
              <w:bottom w:val="single" w:sz="6" w:space="0" w:color="CCCCCC"/>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86" descr=""/>
                          <pic:cNvPicPr>
                            <a:picLocks noChangeAspect="1" noChangeArrowheads="1"/>
                          </pic:cNvPicPr>
                        </pic:nvPicPr>
                        <pic:blipFill>
                          <a:blip r:embed="rId197"/>
                          <a:stretch>
                            <a:fillRect/>
                          </a:stretch>
                        </pic:blipFill>
                        <pic:spPr bwMode="auto">
                          <a:xfrm>
                            <a:off x="0" y="0"/>
                            <a:ext cx="180975" cy="180975"/>
                          </a:xfrm>
                          <a:prstGeom prst="rect">
                            <a:avLst/>
                          </a:prstGeom>
                        </pic:spPr>
                      </pic:pic>
                    </a:graphicData>
                  </a:graphic>
                </wp:inline>
              </w:drawing>
            </w:r>
            <w:r>
              <w:rPr/>
              <w:t xml:space="preserve"> </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shd w:fill="71B1C8" w:val="clear"/>
            <w:tcMar>
              <w:bottom w:w="28" w:type="dxa"/>
            </w:tcMar>
            <w:vAlign w:val="center"/>
          </w:tcPr>
          <w:p>
            <w:pPr>
              <w:pStyle w:val="TableContents"/>
              <w:bidi w:val="0"/>
              <w:spacing w:before="0" w:after="283"/>
              <w:jc w:val="left"/>
              <w:rPr/>
            </w:pPr>
            <w:r>
              <w:rPr/>
              <w:t>​</w:t>
            </w:r>
          </w:p>
        </w:tc>
        <w:tc>
          <w:tcPr>
            <w:tcW w:w="686" w:type="dxa"/>
            <w:tcBorders>
              <w:bottom w:val="single" w:sz="12" w:space="0" w:color="71B1C8"/>
            </w:tcBorders>
            <w:shd w:fill="71B1C8" w:val="clear"/>
            <w:tcMar>
              <w:bottom w:w="28" w:type="dxa"/>
            </w:tcMar>
            <w:vAlign w:val="center"/>
          </w:tcPr>
          <w:p>
            <w:pPr>
              <w:pStyle w:val="TableContents"/>
              <w:bidi w:val="0"/>
              <w:spacing w:before="0" w:after="0"/>
              <w:jc w:val="center"/>
              <w:rPr/>
            </w:pPr>
            <w:r>
              <w:rPr/>
              <w:drawing>
                <wp:inline distT="0" distB="0" distL="0" distR="0">
                  <wp:extent cx="323850" cy="295275"/>
                  <wp:effectExtent l="0" t="0" r="0" b="0"/>
                  <wp:docPr id="29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7" descr=""/>
                          <pic:cNvPicPr>
                            <a:picLocks noChangeAspect="1" noChangeArrowheads="1"/>
                          </pic:cNvPicPr>
                        </pic:nvPicPr>
                        <pic:blipFill>
                          <a:blip r:embed="rId198"/>
                          <a:stretch>
                            <a:fillRect/>
                          </a:stretch>
                        </pic:blipFill>
                        <pic:spPr bwMode="auto">
                          <a:xfrm>
                            <a:off x="0" y="0"/>
                            <a:ext cx="323850" cy="295275"/>
                          </a:xfrm>
                          <a:prstGeom prst="rect">
                            <a:avLst/>
                          </a:prstGeom>
                        </pic:spPr>
                      </pic:pic>
                    </a:graphicData>
                  </a:graphic>
                </wp:inline>
              </w:drawing>
            </w:r>
            <w:r>
              <w:rPr/>
              <w:t xml:space="preserve"> </w:t>
            </w:r>
          </w:p>
        </w:tc>
        <w:tc>
          <w:tcPr>
            <w:tcW w:w="109" w:type="dxa"/>
            <w:tcBorders>
              <w:bottom w:val="single" w:sz="1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shd w:fill="EAF3F7" w:val="clear"/>
            <w:tcMar>
              <w:bottom w:w="28" w:type="dxa"/>
            </w:tcMar>
            <w:vAlign w:val="center"/>
          </w:tcPr>
          <w:p>
            <w:pPr>
              <w:pStyle w:val="TableContents"/>
              <w:bidi w:val="0"/>
              <w:spacing w:before="0" w:after="283"/>
              <w:jc w:val="left"/>
              <w:rPr/>
            </w:pPr>
            <w:r>
              <w:rPr/>
              <w:t>​</w:t>
            </w:r>
          </w:p>
        </w:tc>
        <w:tc>
          <w:tcPr>
            <w:tcW w:w="2051" w:type="dxa"/>
            <w:tcBorders>
              <w:bottom w:val="single" w:sz="12" w:space="0" w:color="71B1C8"/>
            </w:tcBorders>
            <w:shd w:fill="EAF3F7" w:val="clear"/>
            <w:tcMar>
              <w:bottom w:w="28" w:type="dxa"/>
            </w:tcMar>
            <w:vAlign w:val="center"/>
          </w:tcPr>
          <w:p>
            <w:pPr>
              <w:pStyle w:val="TableContents"/>
              <w:bidi w:val="0"/>
              <w:spacing w:lineRule="atLeast" w:line="190" w:before="0" w:after="0"/>
              <w:jc w:val="left"/>
              <w:rPr/>
            </w:pPr>
            <w:r>
              <w:rPr>
                <w:spacing w:val="-10"/>
              </w:rPr>
              <w:t>ENTERPRISE IT/</w:t>
            </w:r>
            <w:r>
              <w:rPr/>
              <w:t>​</w:t>
              <w:br/>
            </w:r>
            <w:r>
              <w:rPr>
                <w:spacing w:val="-10"/>
              </w:rPr>
              <w:t xml:space="preserve">CYBERSECURITY </w:t>
              <w:br/>
              <w:t>EXPERTISE</w:t>
            </w:r>
          </w:p>
        </w:tc>
        <w:tc>
          <w:tcPr>
            <w:tcW w:w="109" w:type="dxa"/>
            <w:tcBorders>
              <w:bottom w:val="single" w:sz="12" w:space="0" w:color="71B1C8"/>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88" descr=""/>
                          <pic:cNvPicPr>
                            <a:picLocks noChangeAspect="1" noChangeArrowheads="1"/>
                          </pic:cNvPicPr>
                        </pic:nvPicPr>
                        <pic:blipFill>
                          <a:blip r:embed="rId19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89" descr=""/>
                          <pic:cNvPicPr>
                            <a:picLocks noChangeAspect="1" noChangeArrowheads="1"/>
                          </pic:cNvPicPr>
                        </pic:nvPicPr>
                        <pic:blipFill>
                          <a:blip r:embed="rId20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29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90" descr=""/>
                          <pic:cNvPicPr>
                            <a:picLocks noChangeAspect="1" noChangeArrowheads="1"/>
                          </pic:cNvPicPr>
                        </pic:nvPicPr>
                        <pic:blipFill>
                          <a:blip r:embed="rId201"/>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0"/>
              <w:jc w:val="left"/>
              <w:rPr/>
            </w:pPr>
            <w:r>
              <w:rPr/>
              <w:drawing>
                <wp:inline distT="0" distB="0" distL="0" distR="0">
                  <wp:extent cx="180975" cy="180975"/>
                  <wp:effectExtent l="0" t="0" r="0" b="0"/>
                  <wp:docPr id="30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1" descr=""/>
                          <pic:cNvPicPr>
                            <a:picLocks noChangeAspect="1" noChangeArrowheads="1"/>
                          </pic:cNvPicPr>
                        </pic:nvPicPr>
                        <pic:blipFill>
                          <a:blip r:embed="rId202"/>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95"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280" w:after="283"/>
        <w:ind w:left="10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Included in each Director and nominee’s biography below is a description of key qualifications and experience of such Director or nominee based on the qualifications described above. The Board believes that the combination of the various qualifications and experiences of the 2026 Director nominees would contribute to an effective and well-functioning Board.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10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NF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THE BOARD OF DIRECTORS</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 NOMINEES FOR TERMS EXPIRING IN 2029</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6699" w:type="dxa"/>
        <w:jc w:val="left"/>
        <w:tblInd w:w="1020" w:type="dxa"/>
        <w:tblLayout w:type="fixed"/>
        <w:tblCellMar>
          <w:top w:w="0" w:type="dxa"/>
          <w:left w:w="0" w:type="dxa"/>
          <w:bottom w:w="0" w:type="dxa"/>
          <w:right w:w="0" w:type="dxa"/>
        </w:tblCellMar>
      </w:tblPr>
      <w:tblGrid>
        <w:gridCol w:w="124"/>
        <w:gridCol w:w="2722"/>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2722"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JOSEPH C. BREUNIG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Independent </w:t>
            </w:r>
            <w:r>
              <w:rPr>
                <w:color w:val="71B1C8"/>
                <w:spacing w:val="-2"/>
              </w:rPr>
              <w:t>|</w:t>
            </w:r>
            <w:r>
              <w:rPr>
                <w:spacing w:val="0"/>
              </w:rPr>
              <w:t> Director since 2014</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903"/>
        <w:gridCol w:w="109"/>
        <w:gridCol w:w="109"/>
        <w:gridCol w:w="109"/>
        <w:gridCol w:w="3705"/>
        <w:gridCol w:w="109"/>
        <w:gridCol w:w="109"/>
        <w:gridCol w:w="2753"/>
        <w:gridCol w:w="155"/>
      </w:tblGrid>
      <w:tr>
        <w:trPr/>
        <w:tc>
          <w:tcPr>
            <w:tcW w:w="124" w:type="dxa"/>
            <w:tcBorders/>
            <w:vAlign w:val="center"/>
          </w:tcPr>
          <w:p>
            <w:pPr>
              <w:pStyle w:val="TableContents"/>
              <w:bidi w:val="0"/>
              <w:spacing w:before="0" w:after="283"/>
              <w:jc w:val="left"/>
              <w:rPr/>
            </w:pPr>
            <w:r>
              <w:rPr/>
              <w:t>​</w:t>
            </w:r>
          </w:p>
        </w:tc>
        <w:tc>
          <w:tcPr>
            <w:tcW w:w="1903" w:type="dxa"/>
            <w:tcBorders/>
            <w:vAlign w:val="center"/>
          </w:tcPr>
          <w:p>
            <w:pPr>
              <w:pStyle w:val="TableContents"/>
              <w:bidi w:val="0"/>
              <w:spacing w:before="0" w:after="0"/>
              <w:jc w:val="left"/>
              <w:rPr/>
            </w:pPr>
            <w:r>
              <w:rPr/>
              <w:drawing>
                <wp:inline distT="0" distB="0" distL="0" distR="0">
                  <wp:extent cx="1095375" cy="1371600"/>
                  <wp:effectExtent l="0" t="0" r="0" b="0"/>
                  <wp:docPr id="30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2" descr=""/>
                          <pic:cNvPicPr>
                            <a:picLocks noChangeAspect="1" noChangeArrowheads="1"/>
                          </pic:cNvPicPr>
                        </pic:nvPicPr>
                        <pic:blipFill>
                          <a:blip r:embed="rId203"/>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64</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pPr>
            <w:r>
              <w:rPr>
                <w:spacing w:val="-1"/>
              </w:rPr>
              <w:t>Compensation</w:t>
            </w:r>
            <w:r>
              <w:rPr/>
              <w:t xml:space="preserve"> </w:t>
            </w:r>
            <w:r>
              <mc:AlternateContent>
                <mc:Choice Requires="wps">
                  <w:drawing>
                    <wp:anchor behindDoc="0" distT="38100" distB="0" distL="0" distR="0" simplePos="0" locked="0" layoutInCell="1" allowOverlap="1" relativeHeight="406">
                      <wp:simplePos x="0" y="0"/>
                      <wp:positionH relativeFrom="column">
                        <wp:align>left</wp:align>
                      </wp:positionH>
                      <wp:positionV relativeFrom="line">
                        <wp:align>top</wp:align>
                      </wp:positionV>
                      <wp:extent cx="107950" cy="350520"/>
                      <wp:effectExtent l="0" t="0" r="0" b="0"/>
                      <wp:wrapSquare wrapText="right"/>
                      <wp:docPr id="302" name="Frame10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spacing w:val="-1"/>
              </w:rPr>
            </w:pPr>
            <w:r>
              <w:rPr>
                <w:spacing w:val="-1"/>
              </w:rPr>
              <w:t xml:space="preserve">Corporate Governance and Nominating (Chair) </w:t>
            </w:r>
            <w:r>
              <mc:AlternateContent>
                <mc:Choice Requires="wps">
                  <w:drawing>
                    <wp:anchor behindDoc="0" distT="38100" distB="0" distL="0" distR="0" simplePos="0" locked="0" layoutInCell="1" allowOverlap="1" relativeHeight="407">
                      <wp:simplePos x="0" y="0"/>
                      <wp:positionH relativeFrom="column">
                        <wp:align>left</wp:align>
                      </wp:positionH>
                      <wp:positionV relativeFrom="line">
                        <wp:align>top</wp:align>
                      </wp:positionV>
                      <wp:extent cx="107950" cy="350520"/>
                      <wp:effectExtent l="0" t="0" r="0" b="0"/>
                      <wp:wrapSquare wrapText="right"/>
                      <wp:docPr id="303" name="Frame10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5"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Currently serves as the President of OrthoLite Cirql, LLC since 2023. Former Chief Operating Officer of OrthoLite, LLC from 2019 to 2023. Former Executive Vice President, Chemicals at Axiall Corporation from 2010 to 2016. Executive Vice President and Chief Operating Officer, BASF Corporation and President, Market and Business Development, North America, BASF SE, from 2005 to 2010. Increasing positions of responsibility since joining BASF Corporation in 1986 as a process engineer, including Global Marketing Director, Fiber Products Division, from 1998 to 2000; Director, Global Technology, Functional Polymers from 2000 to 2001; and Group Vice President, Functional Polymers from 2001 to 2005.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53"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INDUSTRY AND TECHNOLOGY EXPERIENCE.</w:t>
            </w:r>
            <w:r>
              <w:rPr>
                <w:spacing w:val="-1"/>
              </w:rPr>
              <w:t xml:space="preserve"> Former Vice President, Chemicals at Axiall Corporation and Former Executive Vice President and Chief Operating Officer at BASF Corporation.</w:t>
            </w:r>
            <w:r>
              <w:rPr/>
              <w:t xml:space="preserve"> </w:t>
            </w:r>
            <w:r>
              <mc:AlternateContent>
                <mc:Choice Requires="wps">
                  <w:drawing>
                    <wp:anchor behindDoc="0" distT="38100" distB="0" distL="0" distR="0" simplePos="0" locked="0" layoutInCell="1" allowOverlap="1" relativeHeight="408">
                      <wp:simplePos x="0" y="0"/>
                      <wp:positionH relativeFrom="column">
                        <wp:align>left</wp:align>
                      </wp:positionH>
                      <wp:positionV relativeFrom="line">
                        <wp:align>top</wp:align>
                      </wp:positionV>
                      <wp:extent cx="107950" cy="350520"/>
                      <wp:effectExtent l="0" t="0" r="0" b="0"/>
                      <wp:wrapSquare wrapText="right"/>
                      <wp:docPr id="304" name="Frame10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OPERATIONAL EXPERIENCE.</w:t>
            </w:r>
            <w:r>
              <w:rPr>
                <w:spacing w:val="-1"/>
              </w:rPr>
              <w:t xml:space="preserve"> Extensive experience in engineering, management, marketing, and operations.</w:t>
            </w:r>
            <w:r>
              <w:rPr/>
              <w:t xml:space="preserve"> </w:t>
            </w:r>
            <w:r>
              <mc:AlternateContent>
                <mc:Choice Requires="wps">
                  <w:drawing>
                    <wp:anchor behindDoc="0" distT="38100" distB="0" distL="0" distR="0" simplePos="0" locked="0" layoutInCell="1" allowOverlap="1" relativeHeight="409">
                      <wp:simplePos x="0" y="0"/>
                      <wp:positionH relativeFrom="column">
                        <wp:align>left</wp:align>
                      </wp:positionH>
                      <wp:positionV relativeFrom="line">
                        <wp:align>top</wp:align>
                      </wp:positionV>
                      <wp:extent cx="107950" cy="350520"/>
                      <wp:effectExtent l="0" t="0" r="0" b="0"/>
                      <wp:wrapSquare wrapText="right"/>
                      <wp:docPr id="305" name="Frame10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tbl>
      <w:tblPr>
        <w:tblW w:w="7064" w:type="dxa"/>
        <w:jc w:val="left"/>
        <w:tblInd w:w="1020" w:type="dxa"/>
        <w:tblLayout w:type="fixed"/>
        <w:tblCellMar>
          <w:top w:w="0" w:type="dxa"/>
          <w:left w:w="0" w:type="dxa"/>
          <w:bottom w:w="0" w:type="dxa"/>
          <w:right w:w="0" w:type="dxa"/>
        </w:tblCellMar>
      </w:tblPr>
      <w:tblGrid>
        <w:gridCol w:w="124"/>
        <w:gridCol w:w="3093"/>
        <w:gridCol w:w="109"/>
        <w:gridCol w:w="109"/>
        <w:gridCol w:w="3475"/>
        <w:gridCol w:w="154"/>
      </w:tblGrid>
      <w:tr>
        <w:trPr/>
        <w:tc>
          <w:tcPr>
            <w:tcW w:w="124" w:type="dxa"/>
            <w:tcBorders/>
            <w:shd w:fill="002F56" w:val="clear"/>
            <w:vAlign w:val="center"/>
          </w:tcPr>
          <w:p>
            <w:pPr>
              <w:pStyle w:val="TableContents"/>
              <w:bidi w:val="0"/>
              <w:spacing w:before="0" w:after="283"/>
              <w:jc w:val="left"/>
              <w:rPr/>
            </w:pPr>
            <w:r>
              <w:rPr/>
              <w:t>​</w:t>
            </w:r>
          </w:p>
        </w:tc>
        <w:tc>
          <w:tcPr>
            <w:tcW w:w="3093"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KRISTINA M. JOHNSON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75"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w:t>
            </w:r>
            <w:r>
              <w:rPr>
                <w:color w:val="71B1C8"/>
                <w:spacing w:val="-2"/>
              </w:rPr>
              <w:t> |</w:t>
            </w:r>
            <w:r>
              <w:rPr>
                <w:spacing w:val="0"/>
              </w:rPr>
              <w:t xml:space="preserve"> Director since </w:t>
            </w:r>
            <w:r>
              <w:rPr>
                <w:spacing w:val="-2"/>
              </w:rPr>
              <w:t>2024</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70"/>
        <w:gridCol w:w="109"/>
        <w:gridCol w:w="109"/>
        <w:gridCol w:w="109"/>
        <w:gridCol w:w="3998"/>
        <w:gridCol w:w="109"/>
        <w:gridCol w:w="109"/>
        <w:gridCol w:w="2492"/>
        <w:gridCol w:w="156"/>
      </w:tblGrid>
      <w:tr>
        <w:trPr/>
        <w:tc>
          <w:tcPr>
            <w:tcW w:w="124" w:type="dxa"/>
            <w:tcBorders/>
            <w:vAlign w:val="center"/>
          </w:tcPr>
          <w:p>
            <w:pPr>
              <w:pStyle w:val="TableContents"/>
              <w:bidi w:val="0"/>
              <w:spacing w:before="0" w:after="283"/>
              <w:jc w:val="left"/>
              <w:rPr/>
            </w:pPr>
            <w:r>
              <w:rPr/>
              <w:t>​</w:t>
            </w:r>
          </w:p>
        </w:tc>
        <w:tc>
          <w:tcPr>
            <w:tcW w:w="1870" w:type="dxa"/>
            <w:tcBorders/>
            <w:vAlign w:val="center"/>
          </w:tcPr>
          <w:p>
            <w:pPr>
              <w:pStyle w:val="TableContents"/>
              <w:bidi w:val="0"/>
              <w:spacing w:before="0" w:after="0"/>
              <w:jc w:val="left"/>
              <w:rPr/>
            </w:pPr>
            <w:r>
              <w:rPr/>
              <w:drawing>
                <wp:inline distT="0" distB="0" distL="0" distR="0">
                  <wp:extent cx="1114425" cy="1390650"/>
                  <wp:effectExtent l="0" t="0" r="0" b="0"/>
                  <wp:docPr id="30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93" descr=""/>
                          <pic:cNvPicPr>
                            <a:picLocks noChangeAspect="1" noChangeArrowheads="1"/>
                          </pic:cNvPicPr>
                        </pic:nvPicPr>
                        <pic:blipFill>
                          <a:blip r:embed="rId204"/>
                          <a:stretch>
                            <a:fillRect/>
                          </a:stretch>
                        </pic:blipFill>
                        <pic:spPr bwMode="auto">
                          <a:xfrm>
                            <a:off x="0" y="0"/>
                            <a:ext cx="1114425" cy="139065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68</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pPr>
            <w:r>
              <w:rPr>
                <w:spacing w:val="-1"/>
              </w:rPr>
              <w:t>Audit</w:t>
            </w:r>
            <w:r>
              <w:rPr/>
              <w:t xml:space="preserve"> </w:t>
            </w:r>
            <w:r>
              <mc:AlternateContent>
                <mc:Choice Requires="wps">
                  <w:drawing>
                    <wp:anchor behindDoc="0" distT="38100" distB="0" distL="0" distR="0" simplePos="0" locked="0" layoutInCell="1" allowOverlap="1" relativeHeight="410">
                      <wp:simplePos x="0" y="0"/>
                      <wp:positionH relativeFrom="column">
                        <wp:align>left</wp:align>
                      </wp:positionH>
                      <wp:positionV relativeFrom="line">
                        <wp:align>top</wp:align>
                      </wp:positionV>
                      <wp:extent cx="107950" cy="350520"/>
                      <wp:effectExtent l="0" t="0" r="0" b="0"/>
                      <wp:wrapSquare wrapText="right"/>
                      <wp:docPr id="307" name="Frame10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spacing w:val="-1"/>
              </w:rPr>
            </w:pPr>
            <w:r>
              <w:rPr>
                <w:spacing w:val="-1"/>
              </w:rPr>
              <w:t xml:space="preserve">Corporate Governance and Nominating </w:t>
            </w:r>
            <w:r>
              <mc:AlternateContent>
                <mc:Choice Requires="wps">
                  <w:drawing>
                    <wp:anchor behindDoc="0" distT="38100" distB="0" distL="0" distR="0" simplePos="0" locked="0" layoutInCell="1" allowOverlap="1" relativeHeight="411">
                      <wp:simplePos x="0" y="0"/>
                      <wp:positionH relativeFrom="column">
                        <wp:align>left</wp:align>
                      </wp:positionH>
                      <wp:positionV relativeFrom="line">
                        <wp:align>top</wp:align>
                      </wp:positionV>
                      <wp:extent cx="107950" cy="350520"/>
                      <wp:effectExtent l="0" t="0" r="0" b="0"/>
                      <wp:wrapSquare wrapText="right"/>
                      <wp:docPr id="308" name="Frame10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98"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80" w:before="40" w:after="283"/>
              <w:jc w:val="left"/>
              <w:rPr>
                <w:spacing w:val="-1"/>
              </w:rPr>
            </w:pPr>
            <w:r>
              <w:rPr>
                <w:spacing w:val="-1"/>
              </w:rPr>
              <w:t xml:space="preserve">Managing Partner of Catalyzer Ventures, investors in deep-tech including energy, infrastructure and industrial systems, since May 2025 and CEO of Johnson Energy Holdings, LLC since May 2024. Prior to that, Dr. Johnson was President of the Ohio State University from September 2020 to May 2023 and Chancellor of the State University of New York from September 2017 to August 2020. She was co-founder and CEO of hydropower companies Enduring Hydro, LLC and Cube Hydro Partners, LLC from 2011 to 2017; Undersecretary of Energy at the U.S. Department of Energy from May 2009 to October 2010; Senior Vice President and Provost at the Johns Hopkins University from 2007 to 2009; and Dean of Engineering at Duke University from 1999 to 2007. Dr. Johnson was on the faculty of the University of Colorado at Boulder from 1985-1999 as a professor of electrical and computer engineering. Dr. Johnson earned a Bachelor of Science, Master of Science, and Ph.D. in electrical engineering from Stanford University. Dr. Johnson was inducted into the National Inventors Hall of Fame in 2015 and she is also a member of the National Academy of Engineering and the National Academy of Inventors. In 2008, she was awarded the John Fritz Medal, widely considered the highest award given in the engineering profession. Dr. Johnson currently serves as Director of Cisco Systems, Inc. since 2012 and Director of DuPont de Nemours, Inc. since 2022. She previously served as a Director of the AES Corporation until 2019 and was a Director of the Company from 2000 to 2009. Dr. Johnson currently serves as a Trustee of Society for Science (2024-present) and is Co-Chair of the National Advisory Council on Innovation and Entrepreneurship (NACIE) within the Department of Commerce (2022-2025).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2"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RELEVANT LEADERSHIP EXPERIENCE.</w:t>
            </w:r>
            <w:r>
              <w:rPr>
                <w:spacing w:val="-1"/>
              </w:rPr>
              <w:t xml:space="preserve"> President, Chancellor, Provost, and Dean of nationally recognized academic institutions. Also was co-founder and CEO of private hydropower companies.</w:t>
            </w:r>
            <w:r>
              <w:rPr/>
              <w:t xml:space="preserve"> </w:t>
            </w:r>
            <w:r>
              <mc:AlternateContent>
                <mc:Choice Requires="wps">
                  <w:drawing>
                    <wp:anchor behindDoc="0" distT="38100" distB="0" distL="0" distR="0" simplePos="0" locked="0" layoutInCell="1" allowOverlap="1" relativeHeight="412">
                      <wp:simplePos x="0" y="0"/>
                      <wp:positionH relativeFrom="column">
                        <wp:align>left</wp:align>
                      </wp:positionH>
                      <wp:positionV relativeFrom="line">
                        <wp:align>top</wp:align>
                      </wp:positionV>
                      <wp:extent cx="107950" cy="350520"/>
                      <wp:effectExtent l="0" t="0" r="0" b="0"/>
                      <wp:wrapSquare wrapText="right"/>
                      <wp:docPr id="309" name="Frame1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TECHNOLOGY AND ENGINEERING EXPERTISE.</w:t>
            </w:r>
            <w:r>
              <w:rPr>
                <w:spacing w:val="-1"/>
              </w:rPr>
              <w:t xml:space="preserve"> Dr. Johnson has an engineering background with expertise in science and technology, recently awarded the National Medal of Technology and Innovation by President Biden.</w:t>
            </w:r>
            <w:r>
              <w:rPr/>
              <w:t xml:space="preserve"> </w:t>
            </w:r>
            <w:r>
              <mc:AlternateContent>
                <mc:Choice Requires="wps">
                  <w:drawing>
                    <wp:anchor behindDoc="0" distT="38100" distB="0" distL="0" distR="0" simplePos="0" locked="0" layoutInCell="1" allowOverlap="1" relativeHeight="413">
                      <wp:simplePos x="0" y="0"/>
                      <wp:positionH relativeFrom="column">
                        <wp:align>left</wp:align>
                      </wp:positionH>
                      <wp:positionV relativeFrom="line">
                        <wp:align>top</wp:align>
                      </wp:positionV>
                      <wp:extent cx="107950" cy="350520"/>
                      <wp:effectExtent l="0" t="0" r="0" b="0"/>
                      <wp:wrapSquare wrapText="right"/>
                      <wp:docPr id="310" name="Frame1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GOVERNMENTAL EXPERIENCE.</w:t>
            </w:r>
            <w:r>
              <w:rPr>
                <w:spacing w:val="-1"/>
              </w:rPr>
              <w:t xml:space="preserve"> Experience as the Undersecretary of Energy at the U.S. Department of Energy and leading state universities.</w:t>
            </w:r>
            <w:r>
              <w:rPr/>
              <w:t xml:space="preserve"> </w:t>
            </w:r>
            <w:r>
              <mc:AlternateContent>
                <mc:Choice Requires="wps">
                  <w:drawing>
                    <wp:anchor behindDoc="0" distT="38100" distB="0" distL="0" distR="0" simplePos="0" locked="0" layoutInCell="1" allowOverlap="1" relativeHeight="414">
                      <wp:simplePos x="0" y="0"/>
                      <wp:positionH relativeFrom="column">
                        <wp:align>left</wp:align>
                      </wp:positionH>
                      <wp:positionV relativeFrom="line">
                        <wp:align>top</wp:align>
                      </wp:positionV>
                      <wp:extent cx="107950" cy="350520"/>
                      <wp:effectExtent l="0" t="0" r="0" b="0"/>
                      <wp:wrapSquare wrapText="right"/>
                      <wp:docPr id="311" name="Frame1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BOARD EXPERIENCE.</w:t>
            </w:r>
            <w:r>
              <w:rPr>
                <w:spacing w:val="-1"/>
              </w:rPr>
              <w:t xml:space="preserve"> Currently serves on the Boards of Directors of Cisco Systems, Inc. and DuPont de Nemours, Inc., and previously was on the Company’s Board as well as the Boards of Directors of other public companies.</w:t>
            </w:r>
            <w:r>
              <w:rPr/>
              <w:t xml:space="preserve"> </w:t>
            </w:r>
            <w:r>
              <mc:AlternateContent>
                <mc:Choice Requires="wps">
                  <w:drawing>
                    <wp:anchor behindDoc="0" distT="38100" distB="0" distL="0" distR="0" simplePos="0" locked="0" layoutInCell="1" allowOverlap="1" relativeHeight="415">
                      <wp:simplePos x="0" y="0"/>
                      <wp:positionH relativeFrom="column">
                        <wp:align>left</wp:align>
                      </wp:positionH>
                      <wp:positionV relativeFrom="line">
                        <wp:align>top</wp:align>
                      </wp:positionV>
                      <wp:extent cx="107950" cy="350520"/>
                      <wp:effectExtent l="0" t="0" r="0" b="0"/>
                      <wp:wrapSquare wrapText="right"/>
                      <wp:docPr id="312" name="Frame1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11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WTE"/>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THE BOARD OF DIRECTORS</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DIRECTORS WHOSE TERMS EXPIRE IN 2027</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6508" w:type="dxa"/>
        <w:jc w:val="left"/>
        <w:tblInd w:w="1020" w:type="dxa"/>
        <w:tblLayout w:type="fixed"/>
        <w:tblCellMar>
          <w:top w:w="0" w:type="dxa"/>
          <w:left w:w="0" w:type="dxa"/>
          <w:bottom w:w="0" w:type="dxa"/>
          <w:right w:w="0" w:type="dxa"/>
        </w:tblCellMar>
      </w:tblPr>
      <w:tblGrid>
        <w:gridCol w:w="124"/>
        <w:gridCol w:w="2531"/>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2531"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JOHN J. CARMOLA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w:t>
            </w:r>
            <w:r>
              <w:rPr>
                <w:color w:val="71B1C8"/>
                <w:spacing w:val="-2"/>
              </w:rPr>
              <w:t> |</w:t>
            </w:r>
            <w:r>
              <w:rPr>
                <w:spacing w:val="0"/>
              </w:rPr>
              <w:t> Director since 2013</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32"/>
        <w:gridCol w:w="109"/>
        <w:gridCol w:w="109"/>
        <w:gridCol w:w="109"/>
        <w:gridCol w:w="3715"/>
        <w:gridCol w:w="109"/>
        <w:gridCol w:w="109"/>
        <w:gridCol w:w="2813"/>
        <w:gridCol w:w="156"/>
      </w:tblGrid>
      <w:tr>
        <w:trPr/>
        <w:tc>
          <w:tcPr>
            <w:tcW w:w="124" w:type="dxa"/>
            <w:tcBorders/>
            <w:vAlign w:val="center"/>
          </w:tcPr>
          <w:p>
            <w:pPr>
              <w:pStyle w:val="TableContents"/>
              <w:bidi w:val="0"/>
              <w:spacing w:before="0" w:after="283"/>
              <w:jc w:val="left"/>
              <w:rPr/>
            </w:pPr>
            <w:r>
              <w:rPr/>
              <w:t>​</w:t>
            </w:r>
          </w:p>
        </w:tc>
        <w:tc>
          <w:tcPr>
            <w:tcW w:w="1832" w:type="dxa"/>
            <w:tcBorders/>
            <w:vAlign w:val="center"/>
          </w:tcPr>
          <w:p>
            <w:pPr>
              <w:pStyle w:val="TableContents"/>
              <w:bidi w:val="0"/>
              <w:spacing w:before="0" w:after="0"/>
              <w:jc w:val="left"/>
              <w:rPr/>
            </w:pPr>
            <w:r>
              <w:rPr/>
              <w:drawing>
                <wp:inline distT="0" distB="0" distL="0" distR="0">
                  <wp:extent cx="1095375" cy="1371600"/>
                  <wp:effectExtent l="0" t="0" r="0" b="0"/>
                  <wp:docPr id="31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94" descr=""/>
                          <pic:cNvPicPr>
                            <a:picLocks noChangeAspect="1" noChangeArrowheads="1"/>
                          </pic:cNvPicPr>
                        </pic:nvPicPr>
                        <pic:blipFill>
                          <a:blip r:embed="rId205"/>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70</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pPr>
            <w:r>
              <w:rPr>
                <w:spacing w:val="-1"/>
              </w:rPr>
              <w:t>Audit</w:t>
            </w:r>
            <w:r>
              <w:rPr/>
              <w:t xml:space="preserve"> </w:t>
            </w:r>
            <w:r>
              <mc:AlternateContent>
                <mc:Choice Requires="wps">
                  <w:drawing>
                    <wp:anchor behindDoc="0" distT="38100" distB="0" distL="0" distR="0" simplePos="0" locked="0" layoutInCell="1" allowOverlap="1" relativeHeight="417">
                      <wp:simplePos x="0" y="0"/>
                      <wp:positionH relativeFrom="column">
                        <wp:align>left</wp:align>
                      </wp:positionH>
                      <wp:positionV relativeFrom="line">
                        <wp:align>top</wp:align>
                      </wp:positionV>
                      <wp:extent cx="107950" cy="350520"/>
                      <wp:effectExtent l="0" t="0" r="0" b="0"/>
                      <wp:wrapSquare wrapText="right"/>
                      <wp:docPr id="314" name="Frame1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spacing w:val="-1"/>
              </w:rPr>
            </w:pPr>
            <w:r>
              <w:rPr>
                <w:spacing w:val="-1"/>
              </w:rPr>
              <w:t xml:space="preserve">Compensation (Chair) </w:t>
            </w:r>
            <w:r>
              <mc:AlternateContent>
                <mc:Choice Requires="wps">
                  <w:drawing>
                    <wp:anchor behindDoc="0" distT="38100" distB="0" distL="0" distR="0" simplePos="0" locked="0" layoutInCell="1" allowOverlap="1" relativeHeight="416">
                      <wp:simplePos x="0" y="0"/>
                      <wp:positionH relativeFrom="column">
                        <wp:align>left</wp:align>
                      </wp:positionH>
                      <wp:positionV relativeFrom="line">
                        <wp:align>top</wp:align>
                      </wp:positionV>
                      <wp:extent cx="107950" cy="350520"/>
                      <wp:effectExtent l="0" t="0" r="0" b="0"/>
                      <wp:wrapSquare wrapText="right"/>
                      <wp:docPr id="315" name="Frame1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5"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Former Segment President at Goodrich Corporation, which was purchased by United Technologies. Previously, President, Aerospace Customers and Business Development of United Technologies in 2012. From 1996 to 2012, held several positions of increasing responsibility at Goodrich, including Segment President for Actuation and Landing Systems and Segment President of Engine Systems and Group President for Engine/Safety/Electronic Systems. From 1977 to 1996, held various engineering and general management positions at General Electric, including Manager of the M&amp;I Engines Division’s Product Delivery Operation.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3"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RELEVANT PRESIDENT EXPERIENCE.</w:t>
            </w:r>
            <w:r>
              <w:rPr>
                <w:spacing w:val="-1"/>
              </w:rPr>
              <w:t xml:space="preserve"> Former Segment President at Goodrich Corporation and former President, Aerospace Customers and Business Development of United Technologies.</w:t>
            </w:r>
            <w:r>
              <w:rPr/>
              <w:t xml:space="preserve"> </w:t>
            </w:r>
            <w:r>
              <mc:AlternateContent>
                <mc:Choice Requires="wps">
                  <w:drawing>
                    <wp:anchor behindDoc="0" distT="38100" distB="0" distL="0" distR="0" simplePos="0" locked="0" layoutInCell="1" allowOverlap="1" relativeHeight="418">
                      <wp:simplePos x="0" y="0"/>
                      <wp:positionH relativeFrom="column">
                        <wp:align>left</wp:align>
                      </wp:positionH>
                      <wp:positionV relativeFrom="line">
                        <wp:align>top</wp:align>
                      </wp:positionV>
                      <wp:extent cx="107950" cy="350520"/>
                      <wp:effectExtent l="0" t="0" r="0" b="0"/>
                      <wp:wrapSquare wrapText="right"/>
                      <wp:docPr id="316" name="Frame1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OPERATIONAL AND ENGINEERING EXPERIENCE.</w:t>
            </w:r>
            <w:r>
              <w:rPr>
                <w:spacing w:val="-1"/>
              </w:rPr>
              <w:t xml:space="preserve"> Extensive experience in engineering, management, product delivery, and operations.</w:t>
            </w:r>
            <w:r>
              <w:rPr/>
              <w:t xml:space="preserve"> </w:t>
            </w:r>
            <w:r>
              <mc:AlternateContent>
                <mc:Choice Requires="wps">
                  <w:drawing>
                    <wp:anchor behindDoc="0" distT="38100" distB="0" distL="0" distR="0" simplePos="0" locked="0" layoutInCell="1" allowOverlap="1" relativeHeight="419">
                      <wp:simplePos x="0" y="0"/>
                      <wp:positionH relativeFrom="column">
                        <wp:align>left</wp:align>
                      </wp:positionH>
                      <wp:positionV relativeFrom="line">
                        <wp:align>top</wp:align>
                      </wp:positionV>
                      <wp:extent cx="107950" cy="350520"/>
                      <wp:effectExtent l="0" t="0" r="0" b="0"/>
                      <wp:wrapSquare wrapText="right"/>
                      <wp:docPr id="317" name="Frame1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2458"/>
        <w:gridCol w:w="109"/>
        <w:gridCol w:w="109"/>
        <w:gridCol w:w="6230"/>
        <w:gridCol w:w="155"/>
      </w:tblGrid>
      <w:tr>
        <w:trPr/>
        <w:tc>
          <w:tcPr>
            <w:tcW w:w="124" w:type="dxa"/>
            <w:tcBorders/>
            <w:shd w:fill="002F56" w:val="clear"/>
            <w:vAlign w:val="center"/>
          </w:tcPr>
          <w:p>
            <w:pPr>
              <w:pStyle w:val="TableContents"/>
              <w:bidi w:val="0"/>
              <w:spacing w:before="0" w:after="283"/>
              <w:jc w:val="left"/>
              <w:rPr/>
            </w:pPr>
            <w:r>
              <w:rPr/>
              <w:t>​</w:t>
            </w:r>
          </w:p>
        </w:tc>
        <w:tc>
          <w:tcPr>
            <w:tcW w:w="2458"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ROBERT L. CLARK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6230"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Lead Independent Director since March 2021</w:t>
            </w:r>
            <w:r>
              <w:rPr>
                <w:color w:val="71B1C8"/>
                <w:spacing w:val="-2"/>
              </w:rPr>
              <w:t> |</w:t>
            </w:r>
            <w:r>
              <w:rPr>
                <w:spacing w:val="0"/>
              </w:rPr>
              <w:t> Director since 2010</w:t>
            </w:r>
            <w:r>
              <w:rPr/>
              <w:t xml:space="preserve"> </w:t>
            </w:r>
          </w:p>
        </w:tc>
        <w:tc>
          <w:tcPr>
            <w:tcW w:w="155"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11"/>
        <w:gridCol w:w="109"/>
        <w:gridCol w:w="109"/>
        <w:gridCol w:w="109"/>
        <w:gridCol w:w="3944"/>
        <w:gridCol w:w="109"/>
        <w:gridCol w:w="109"/>
        <w:gridCol w:w="2606"/>
        <w:gridCol w:w="155"/>
      </w:tblGrid>
      <w:tr>
        <w:trPr/>
        <w:tc>
          <w:tcPr>
            <w:tcW w:w="124" w:type="dxa"/>
            <w:tcBorders/>
            <w:vAlign w:val="center"/>
          </w:tcPr>
          <w:p>
            <w:pPr>
              <w:pStyle w:val="TableContents"/>
              <w:bidi w:val="0"/>
              <w:spacing w:before="0" w:after="283"/>
              <w:jc w:val="left"/>
              <w:rPr/>
            </w:pPr>
            <w:r>
              <w:rPr/>
              <w:t>​</w:t>
            </w:r>
          </w:p>
        </w:tc>
        <w:tc>
          <w:tcPr>
            <w:tcW w:w="1811" w:type="dxa"/>
            <w:tcBorders/>
            <w:vAlign w:val="center"/>
          </w:tcPr>
          <w:p>
            <w:pPr>
              <w:pStyle w:val="TableContents"/>
              <w:bidi w:val="0"/>
              <w:spacing w:before="0" w:after="0"/>
              <w:jc w:val="left"/>
              <w:rPr/>
            </w:pPr>
            <w:r>
              <w:rPr/>
              <w:drawing>
                <wp:inline distT="0" distB="0" distL="0" distR="0">
                  <wp:extent cx="1095375" cy="1371600"/>
                  <wp:effectExtent l="0" t="0" r="0" b="0"/>
                  <wp:docPr id="31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95" descr=""/>
                          <pic:cNvPicPr>
                            <a:picLocks noChangeAspect="1" noChangeArrowheads="1"/>
                          </pic:cNvPicPr>
                        </pic:nvPicPr>
                        <pic:blipFill>
                          <a:blip r:embed="rId206"/>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62</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spacing w:val="-1"/>
              </w:rPr>
            </w:pPr>
            <w:r>
              <w:rPr>
                <w:spacing w:val="-1"/>
              </w:rPr>
              <w:t xml:space="preserve">None </w:t>
            </w:r>
            <w:r>
              <mc:AlternateContent>
                <mc:Choice Requires="wps">
                  <w:drawing>
                    <wp:anchor behindDoc="0" distT="38100" distB="0" distL="0" distR="0" simplePos="0" locked="0" layoutInCell="1" allowOverlap="1" relativeHeight="420">
                      <wp:simplePos x="0" y="0"/>
                      <wp:positionH relativeFrom="column">
                        <wp:align>left</wp:align>
                      </wp:positionH>
                      <wp:positionV relativeFrom="line">
                        <wp:align>top</wp:align>
                      </wp:positionV>
                      <wp:extent cx="107950" cy="350520"/>
                      <wp:effectExtent l="0" t="0" r="0" b="0"/>
                      <wp:wrapSquare wrapText="right"/>
                      <wp:docPr id="319" name="Frame1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44"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Lead Independent Director of the Company since March 2021. Venture Partner at Breakthrough Energies Ventures since 2022. Former Provost and Senior Vice President for Research, University of Rochester from 2016 to 2021. Dr. Clark earned his doctorate in mechanical engineering from the Virginia Polytechnic Institute and State University and joined Duke University’s Department of Mechanical Engineering and Materials Science in 1992. He founded Duke’s Center for Biologically Inspired Materials and Material Systems, creating a multimillion-dollar program involving more than two dozen faculty members. He also held the Thomas Lord Professorship of Engineering and served as Dean of the Pratt School of Engineering before joining the University of Rochester as Dean of the Hajim School in 2008. Dr. Clark was named Senior Vice President for Research, University of Rochester, in March 2013 and was appointed Provost and Senior Vice President for Research in July 2016. Dr. Clark is an expert in the science of acoustics, dynamic systems, applied control, and bio-nanomanufacturing. His work in these areas has led to more than 140 journal publications and earned him numerous awards. He is a member of the National Academy of Engineering and is a fellow of the American Society of Mechanical Engineers, the Acoustical Society of America, and the American Association for the Advancement of Science. He served as Chair of the Strategic Research Advisory Board of the Austrian Institute of Technology (2013-2017).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06"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INDUSTRY AND TECHNOLOGY EXPERIENCE.</w:t>
            </w:r>
            <w:r>
              <w:rPr>
                <w:spacing w:val="-1"/>
              </w:rPr>
              <w:t xml:space="preserve"> Venture Partner at Breakthrough Energies Ventures and member of Breakthrough Energy Catalyst team responsible for technical diligence on companies building first of a kind deployments. Extensive academic experience in the materials science field at the University of Rochester and Duke University.</w:t>
            </w:r>
            <w:r>
              <w:rPr/>
              <w:t xml:space="preserve"> </w:t>
            </w:r>
            <w:r>
              <mc:AlternateContent>
                <mc:Choice Requires="wps">
                  <w:drawing>
                    <wp:anchor behindDoc="0" distT="38100" distB="0" distL="0" distR="0" simplePos="0" locked="0" layoutInCell="1" allowOverlap="1" relativeHeight="421">
                      <wp:simplePos x="0" y="0"/>
                      <wp:positionH relativeFrom="column">
                        <wp:align>left</wp:align>
                      </wp:positionH>
                      <wp:positionV relativeFrom="line">
                        <wp:align>top</wp:align>
                      </wp:positionV>
                      <wp:extent cx="107950" cy="350520"/>
                      <wp:effectExtent l="0" t="0" r="0" b="0"/>
                      <wp:wrapSquare wrapText="right"/>
                      <wp:docPr id="320" name="Frame11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RESEARCH AND DEVELOPMENT EXPERTISE.</w:t>
            </w:r>
            <w:r>
              <w:rPr>
                <w:spacing w:val="-1"/>
              </w:rPr>
              <w:t xml:space="preserve"> Extensive research and development experience through various roles, including as Senior Vice President for Research, University of Rochester, Senior Associate Dean for Research, Pratt School of Engineering, Duke University, and Vice President and Senior Research Scientist for Adaptive Technologies Incorporated.</w:t>
            </w:r>
            <w:r>
              <w:rPr/>
              <w:t xml:space="preserve"> </w:t>
            </w:r>
            <w:r>
              <mc:AlternateContent>
                <mc:Choice Requires="wps">
                  <w:drawing>
                    <wp:anchor behindDoc="0" distT="38100" distB="0" distL="0" distR="0" simplePos="0" locked="0" layoutInCell="1" allowOverlap="1" relativeHeight="422">
                      <wp:simplePos x="0" y="0"/>
                      <wp:positionH relativeFrom="column">
                        <wp:align>left</wp:align>
                      </wp:positionH>
                      <wp:positionV relativeFrom="line">
                        <wp:align>top</wp:align>
                      </wp:positionV>
                      <wp:extent cx="107950" cy="350520"/>
                      <wp:effectExtent l="0" t="0" r="0" b="0"/>
                      <wp:wrapSquare wrapText="right"/>
                      <wp:docPr id="321" name="Frame11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INTELLECTUAL PROPERTY MANAGEMENT EXPERIENCE.</w:t>
            </w:r>
            <w:r>
              <w:rPr>
                <w:spacing w:val="-1"/>
              </w:rPr>
              <w:t xml:space="preserve"> Founder of the intellectual property company and oversaw UR Ventures at the University of Rochester.</w:t>
            </w:r>
            <w:r>
              <w:rPr/>
              <w:t xml:space="preserve"> </w:t>
            </w:r>
            <w:r>
              <mc:AlternateContent>
                <mc:Choice Requires="wps">
                  <w:drawing>
                    <wp:anchor behindDoc="0" distT="38100" distB="0" distL="0" distR="0" simplePos="0" locked="0" layoutInCell="1" allowOverlap="1" relativeHeight="423">
                      <wp:simplePos x="0" y="0"/>
                      <wp:positionH relativeFrom="column">
                        <wp:align>left</wp:align>
                      </wp:positionH>
                      <wp:positionV relativeFrom="line">
                        <wp:align>top</wp:align>
                      </wp:positionV>
                      <wp:extent cx="107950" cy="350520"/>
                      <wp:effectExtent l="0" t="0" r="0" b="0"/>
                      <wp:wrapSquare wrapText="right"/>
                      <wp:docPr id="322" name="Frame1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PROCESS MANUFACTURING EXPERTISE.</w:t>
            </w:r>
            <w:r>
              <w:rPr>
                <w:spacing w:val="-1"/>
              </w:rPr>
              <w:t xml:space="preserve"> Holds a Ph.D. in Mechanical Engineering from Virginia Polytechnic Institute and State University and research in this field.</w:t>
            </w:r>
            <w:r>
              <w:rPr/>
              <w:t xml:space="preserve"> </w:t>
            </w:r>
            <w:r>
              <mc:AlternateContent>
                <mc:Choice Requires="wps">
                  <w:drawing>
                    <wp:anchor behindDoc="0" distT="38100" distB="0" distL="0" distR="0" simplePos="0" locked="0" layoutInCell="1" allowOverlap="1" relativeHeight="424">
                      <wp:simplePos x="0" y="0"/>
                      <wp:positionH relativeFrom="column">
                        <wp:align>left</wp:align>
                      </wp:positionH>
                      <wp:positionV relativeFrom="line">
                        <wp:align>top</wp:align>
                      </wp:positionV>
                      <wp:extent cx="107950" cy="350520"/>
                      <wp:effectExtent l="0" t="0" r="0" b="0"/>
                      <wp:wrapSquare wrapText="right"/>
                      <wp:docPr id="323" name="Frame1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GOVERNMENT CONTRACTING EXPERTISE.</w:t>
            </w:r>
            <w:r>
              <w:rPr>
                <w:spacing w:val="-1"/>
              </w:rPr>
              <w:t xml:space="preserve"> Headed numerous research programs funded by government agencies, including the National Aeronautics and Space Administration, the Department of Defense, and the National Science Foundation.</w:t>
            </w:r>
            <w:r>
              <w:rPr/>
              <w:t xml:space="preserve"> </w:t>
            </w:r>
            <w:r>
              <mc:AlternateContent>
                <mc:Choice Requires="wps">
                  <w:drawing>
                    <wp:anchor behindDoc="0" distT="38100" distB="0" distL="0" distR="0" simplePos="0" locked="0" layoutInCell="1" allowOverlap="1" relativeHeight="425">
                      <wp:simplePos x="0" y="0"/>
                      <wp:positionH relativeFrom="column">
                        <wp:align>left</wp:align>
                      </wp:positionH>
                      <wp:positionV relativeFrom="line">
                        <wp:align>top</wp:align>
                      </wp:positionV>
                      <wp:extent cx="107950" cy="350520"/>
                      <wp:effectExtent l="0" t="0" r="0" b="0"/>
                      <wp:wrapSquare wrapText="right"/>
                      <wp:docPr id="324" name="Frame1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GLOBAL EXPERTISE.</w:t>
            </w:r>
            <w:r>
              <w:rPr>
                <w:spacing w:val="-1"/>
              </w:rPr>
              <w:t xml:space="preserve"> Extensive global experience in research, development, and innovation.</w:t>
            </w:r>
            <w:r>
              <w:rPr/>
              <w:t xml:space="preserve"> </w:t>
            </w:r>
            <w:r>
              <mc:AlternateContent>
                <mc:Choice Requires="wps">
                  <w:drawing>
                    <wp:anchor behindDoc="0" distT="38100" distB="0" distL="0" distR="0" simplePos="0" locked="0" layoutInCell="1" allowOverlap="1" relativeHeight="426">
                      <wp:simplePos x="0" y="0"/>
                      <wp:positionH relativeFrom="column">
                        <wp:align>left</wp:align>
                      </wp:positionH>
                      <wp:positionV relativeFrom="line">
                        <wp:align>top</wp:align>
                      </wp:positionV>
                      <wp:extent cx="107950" cy="350520"/>
                      <wp:effectExtent l="0" t="0" r="0" b="0"/>
                      <wp:wrapSquare wrapText="right"/>
                      <wp:docPr id="325" name="Frame1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12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WTE1"/>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THE BOARD OF DIRECTORS</w:t>
      </w:r>
      <w:r>
        <w:rPr>
          <w:rFonts w:ascii="Arial;Helvetica;sans-serif" w:hAnsi="Arial;Helvetica;sans-serif"/>
          <w:b w:val="false"/>
          <w:i w:val="false"/>
          <w:caps w:val="false"/>
          <w:smallCaps w:val="false"/>
          <w:color w:val="002F56"/>
          <w:sz w:val="22"/>
        </w:rPr>
        <w:t xml:space="preserve"> </w:t>
      </w:r>
    </w:p>
    <w:tbl>
      <w:tblPr>
        <w:tblW w:w="6716" w:type="dxa"/>
        <w:jc w:val="left"/>
        <w:tblInd w:w="1020" w:type="dxa"/>
        <w:tblLayout w:type="fixed"/>
        <w:tblCellMar>
          <w:top w:w="0" w:type="dxa"/>
          <w:left w:w="0" w:type="dxa"/>
          <w:bottom w:w="0" w:type="dxa"/>
          <w:right w:w="0" w:type="dxa"/>
        </w:tblCellMar>
      </w:tblPr>
      <w:tblGrid>
        <w:gridCol w:w="124"/>
        <w:gridCol w:w="2739"/>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2739"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MARC E. ROBINSON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w:t>
            </w:r>
            <w:r>
              <w:rPr>
                <w:color w:val="71B1C8"/>
                <w:spacing w:val="-2"/>
              </w:rPr>
              <w:t> |</w:t>
            </w:r>
            <w:r>
              <w:rPr>
                <w:spacing w:val="0"/>
              </w:rPr>
              <w:t> Director since 2012</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70"/>
        <w:gridCol w:w="109"/>
        <w:gridCol w:w="109"/>
        <w:gridCol w:w="109"/>
        <w:gridCol w:w="3568"/>
        <w:gridCol w:w="109"/>
        <w:gridCol w:w="109"/>
        <w:gridCol w:w="2923"/>
        <w:gridCol w:w="155"/>
      </w:tblGrid>
      <w:tr>
        <w:trPr/>
        <w:tc>
          <w:tcPr>
            <w:tcW w:w="124" w:type="dxa"/>
            <w:tcBorders/>
            <w:vAlign w:val="center"/>
          </w:tcPr>
          <w:p>
            <w:pPr>
              <w:pStyle w:val="TableContents"/>
              <w:bidi w:val="0"/>
              <w:spacing w:before="0" w:after="283"/>
              <w:jc w:val="left"/>
              <w:rPr/>
            </w:pPr>
            <w:r>
              <w:rPr/>
              <w:t>​</w:t>
            </w:r>
          </w:p>
        </w:tc>
        <w:tc>
          <w:tcPr>
            <w:tcW w:w="1870" w:type="dxa"/>
            <w:tcBorders/>
            <w:vAlign w:val="center"/>
          </w:tcPr>
          <w:p>
            <w:pPr>
              <w:pStyle w:val="TableContents"/>
              <w:bidi w:val="0"/>
              <w:spacing w:before="0" w:after="0"/>
              <w:jc w:val="left"/>
              <w:rPr/>
            </w:pPr>
            <w:r>
              <w:rPr/>
              <w:drawing>
                <wp:inline distT="0" distB="0" distL="0" distR="0">
                  <wp:extent cx="1095375" cy="1371600"/>
                  <wp:effectExtent l="0" t="0" r="0" b="0"/>
                  <wp:docPr id="32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96" descr=""/>
                          <pic:cNvPicPr>
                            <a:picLocks noChangeAspect="1" noChangeArrowheads="1"/>
                          </pic:cNvPicPr>
                        </pic:nvPicPr>
                        <pic:blipFill>
                          <a:blip r:embed="rId207"/>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65</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pPr>
            <w:r>
              <w:rPr>
                <w:spacing w:val="-1"/>
              </w:rPr>
              <w:t>Audit (Chair)</w:t>
            </w:r>
            <w:r>
              <w:rPr/>
              <w:t xml:space="preserve"> </w:t>
            </w:r>
            <w:r>
              <mc:AlternateContent>
                <mc:Choice Requires="wps">
                  <w:drawing>
                    <wp:anchor behindDoc="0" distT="38100" distB="0" distL="0" distR="0" simplePos="0" locked="0" layoutInCell="1" allowOverlap="1" relativeHeight="428">
                      <wp:simplePos x="0" y="0"/>
                      <wp:positionH relativeFrom="column">
                        <wp:align>left</wp:align>
                      </wp:positionH>
                      <wp:positionV relativeFrom="line">
                        <wp:align>top</wp:align>
                      </wp:positionV>
                      <wp:extent cx="107950" cy="350520"/>
                      <wp:effectExtent l="0" t="0" r="0" b="0"/>
                      <wp:wrapSquare wrapText="right"/>
                      <wp:docPr id="327" name="Frame1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spacing w:val="-1"/>
              </w:rPr>
            </w:pPr>
            <w:r>
              <w:rPr>
                <w:spacing w:val="-1"/>
              </w:rPr>
              <w:t xml:space="preserve">Corporate Governance and Nominating </w:t>
            </w:r>
            <w:r>
              <mc:AlternateContent>
                <mc:Choice Requires="wps">
                  <w:drawing>
                    <wp:anchor behindDoc="0" distT="38100" distB="0" distL="0" distR="0" simplePos="0" locked="0" layoutInCell="1" allowOverlap="1" relativeHeight="427">
                      <wp:simplePos x="0" y="0"/>
                      <wp:positionH relativeFrom="column">
                        <wp:align>left</wp:align>
                      </wp:positionH>
                      <wp:positionV relativeFrom="line">
                        <wp:align>top</wp:align>
                      </wp:positionV>
                      <wp:extent cx="107950" cy="350520"/>
                      <wp:effectExtent l="0" t="0" r="0" b="0"/>
                      <wp:wrapSquare wrapText="right"/>
                      <wp:docPr id="328" name="Frame1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8"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Former Senior Vice President, Enterprise Strategy at CVS Health and Aetna from 2017-2020. Previously, Managing Director at PwC Strategy from 2015 to 2017, Senior Executive Advisor at Booz &amp; Company from 2011 to 2015, Company Group Chairman at Johnson &amp; Johnson from 2007 to 2011, Global President Consumer Healthcare Division at Pfizer from 2003 to 2006, North American President Consumer Healthcare Division at Pfizer from 2000 to 2002, Regional President of Australia and New Zealand at the Warner-Lambert Company from 1999 to 2000, and General Manager European Business Process Improvement at the Warner-Lambert Company from 1996 to 1998. Member of the Capsugel Scientific and Business Advisory Board from May 2012 to July 2017.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3"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HIGH LEVEL OF FINANCIAL LITERACY.</w:t>
            </w:r>
            <w:r>
              <w:rPr>
                <w:spacing w:val="-1"/>
              </w:rPr>
              <w:t xml:space="preserve"> Extensive experience in managing global and regional business units for Johnson &amp; Johnson, Pfizer Inc., and Warner-Lambert Company.</w:t>
            </w:r>
            <w:r>
              <w:rPr/>
              <w:t xml:space="preserve"> </w:t>
            </w:r>
            <w:r>
              <mc:AlternateContent>
                <mc:Choice Requires="wps">
                  <w:drawing>
                    <wp:anchor behindDoc="0" distT="38100" distB="0" distL="0" distR="0" simplePos="0" locked="0" layoutInCell="1" allowOverlap="1" relativeHeight="432">
                      <wp:simplePos x="0" y="0"/>
                      <wp:positionH relativeFrom="column">
                        <wp:align>left</wp:align>
                      </wp:positionH>
                      <wp:positionV relativeFrom="line">
                        <wp:align>top</wp:align>
                      </wp:positionV>
                      <wp:extent cx="107950" cy="350520"/>
                      <wp:effectExtent l="0" t="0" r="0" b="0"/>
                      <wp:wrapSquare wrapText="right"/>
                      <wp:docPr id="329" name="Frame1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INDUSTRY AND TECHNOLOGY EXPERIENCE.</w:t>
            </w:r>
            <w:r>
              <w:rPr>
                <w:spacing w:val="-1"/>
              </w:rPr>
              <w:t xml:space="preserve"> Extensive strategic and operational experience in the consumer health care industry, with special focus in marketing, sales, research and development, finance, and human resources at Johnson &amp; Johnson, Pfizer Inc., and Warner-Lambert Company.</w:t>
            </w:r>
            <w:r>
              <w:rPr/>
              <w:t xml:space="preserve"> </w:t>
            </w:r>
            <w:r>
              <mc:AlternateContent>
                <mc:Choice Requires="wps">
                  <w:drawing>
                    <wp:anchor behindDoc="0" distT="38100" distB="0" distL="0" distR="0" simplePos="0" locked="0" layoutInCell="1" allowOverlap="1" relativeHeight="431">
                      <wp:simplePos x="0" y="0"/>
                      <wp:positionH relativeFrom="column">
                        <wp:align>left</wp:align>
                      </wp:positionH>
                      <wp:positionV relativeFrom="line">
                        <wp:align>top</wp:align>
                      </wp:positionV>
                      <wp:extent cx="107950" cy="350520"/>
                      <wp:effectExtent l="0" t="0" r="0" b="0"/>
                      <wp:wrapSquare wrapText="right"/>
                      <wp:docPr id="330" name="Frame1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OPERATIONAL EXPERIENCE.</w:t>
            </w:r>
            <w:r>
              <w:rPr>
                <w:spacing w:val="-1"/>
              </w:rPr>
              <w:t xml:space="preserve"> Extensive experience in innovation, human capital development, mergers and acquisitions, and global marketing.</w:t>
            </w:r>
            <w:r>
              <w:rPr/>
              <w:t xml:space="preserve"> </w:t>
            </w:r>
            <w:r>
              <mc:AlternateContent>
                <mc:Choice Requires="wps">
                  <w:drawing>
                    <wp:anchor behindDoc="0" distT="38100" distB="0" distL="0" distR="0" simplePos="0" locked="0" layoutInCell="1" allowOverlap="1" relativeHeight="430">
                      <wp:simplePos x="0" y="0"/>
                      <wp:positionH relativeFrom="column">
                        <wp:align>left</wp:align>
                      </wp:positionH>
                      <wp:positionV relativeFrom="line">
                        <wp:align>top</wp:align>
                      </wp:positionV>
                      <wp:extent cx="107950" cy="350520"/>
                      <wp:effectExtent l="0" t="0" r="0" b="0"/>
                      <wp:wrapSquare wrapText="right"/>
                      <wp:docPr id="331" name="Frame1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GLOBAL EXPERTISE.</w:t>
            </w:r>
            <w:r>
              <w:rPr>
                <w:spacing w:val="-1"/>
              </w:rPr>
              <w:t xml:space="preserve"> Extensive global experience managing large multi-functional businesses in emerging and developed markets in North America, Europe, Asia-Pacific, and Latin America.</w:t>
            </w:r>
            <w:r>
              <w:rPr/>
              <w:t xml:space="preserve"> </w:t>
            </w:r>
            <w:r>
              <mc:AlternateContent>
                <mc:Choice Requires="wps">
                  <w:drawing>
                    <wp:anchor behindDoc="0" distT="38100" distB="0" distL="0" distR="0" simplePos="0" locked="0" layoutInCell="1" allowOverlap="1" relativeHeight="429">
                      <wp:simplePos x="0" y="0"/>
                      <wp:positionH relativeFrom="column">
                        <wp:align>left</wp:align>
                      </wp:positionH>
                      <wp:positionV relativeFrom="line">
                        <wp:align>top</wp:align>
                      </wp:positionV>
                      <wp:extent cx="107950" cy="350520"/>
                      <wp:effectExtent l="0" t="0" r="0" b="0"/>
                      <wp:wrapSquare wrapText="right"/>
                      <wp:docPr id="332" name="Frame1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380" w:before="52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DIRECTORS WHOSE TERMS EXPIRE IN 2028</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9155" w:type="dxa"/>
        <w:jc w:val="left"/>
        <w:tblInd w:w="1020" w:type="dxa"/>
        <w:tblLayout w:type="fixed"/>
        <w:tblCellMar>
          <w:top w:w="0" w:type="dxa"/>
          <w:left w:w="0" w:type="dxa"/>
          <w:bottom w:w="0" w:type="dxa"/>
          <w:right w:w="0" w:type="dxa"/>
        </w:tblCellMar>
      </w:tblPr>
      <w:tblGrid>
        <w:gridCol w:w="124"/>
        <w:gridCol w:w="3093"/>
        <w:gridCol w:w="109"/>
        <w:gridCol w:w="109"/>
        <w:gridCol w:w="5566"/>
        <w:gridCol w:w="154"/>
      </w:tblGrid>
      <w:tr>
        <w:trPr/>
        <w:tc>
          <w:tcPr>
            <w:tcW w:w="124" w:type="dxa"/>
            <w:tcBorders/>
            <w:shd w:fill="002F56" w:val="clear"/>
            <w:vAlign w:val="center"/>
          </w:tcPr>
          <w:p>
            <w:pPr>
              <w:pStyle w:val="TableContents"/>
              <w:bidi w:val="0"/>
              <w:spacing w:before="0" w:after="283"/>
              <w:jc w:val="left"/>
              <w:rPr/>
            </w:pPr>
            <w:r>
              <w:rPr/>
              <w:t>​</w:t>
            </w:r>
          </w:p>
        </w:tc>
        <w:tc>
          <w:tcPr>
            <w:tcW w:w="3093"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DOUGLAS T. DIETRICH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5566"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Chairman of the Board since 2021 </w:t>
            </w:r>
            <w:r>
              <w:rPr>
                <w:color w:val="71B1C8"/>
                <w:spacing w:val="-2"/>
              </w:rPr>
              <w:t>|</w:t>
            </w:r>
            <w:r>
              <w:rPr>
                <w:spacing w:val="0"/>
              </w:rPr>
              <w:t> Director since 2016</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12"/>
        <w:gridCol w:w="109"/>
        <w:gridCol w:w="109"/>
        <w:gridCol w:w="109"/>
        <w:gridCol w:w="3854"/>
        <w:gridCol w:w="109"/>
        <w:gridCol w:w="109"/>
        <w:gridCol w:w="2695"/>
        <w:gridCol w:w="155"/>
      </w:tblGrid>
      <w:tr>
        <w:trPr/>
        <w:tc>
          <w:tcPr>
            <w:tcW w:w="124"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left"/>
              <w:rPr/>
            </w:pPr>
            <w:r>
              <w:rPr/>
              <w:drawing>
                <wp:inline distT="0" distB="0" distL="0" distR="0">
                  <wp:extent cx="1095375" cy="1371600"/>
                  <wp:effectExtent l="0" t="0" r="0" b="0"/>
                  <wp:docPr id="33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97" descr=""/>
                          <pic:cNvPicPr>
                            <a:picLocks noChangeAspect="1" noChangeArrowheads="1"/>
                          </pic:cNvPicPr>
                        </pic:nvPicPr>
                        <pic:blipFill>
                          <a:blip r:embed="rId208"/>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57</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spacing w:val="-1"/>
              </w:rPr>
            </w:pPr>
            <w:r>
              <w:rPr>
                <w:spacing w:val="-1"/>
              </w:rPr>
              <w:t xml:space="preserve">None </w:t>
            </w:r>
            <w:r>
              <mc:AlternateContent>
                <mc:Choice Requires="wps">
                  <w:drawing>
                    <wp:anchor behindDoc="0" distT="38100" distB="0" distL="0" distR="0" simplePos="0" locked="0" layoutInCell="1" allowOverlap="1" relativeHeight="433">
                      <wp:simplePos x="0" y="0"/>
                      <wp:positionH relativeFrom="column">
                        <wp:align>left</wp:align>
                      </wp:positionH>
                      <wp:positionV relativeFrom="line">
                        <wp:align>top</wp:align>
                      </wp:positionV>
                      <wp:extent cx="107950" cy="350520"/>
                      <wp:effectExtent l="0" t="0" r="0" b="0"/>
                      <wp:wrapSquare wrapText="right"/>
                      <wp:docPr id="334" name="Frame1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4"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Chief Executive Officer of Minerals Technologies Inc. since December 2016 and Chairman of the Board since March 2021. Served as Senior Vice President-Finance and Chief Financial Officer for Minerals Technologies Inc. since January 1, 2011 after serving three years as Vice President, Corporate Development and Treasury. Prior to joining Minerals Technologies Inc., Mr. Dietrich held positions at Alcoa Inc., including Vice President, Alcoa Wheel Products — Automotive Wheels and President, Alcoa Latin America Extrusions. Mr. Dietrich is the chairman of the Penn Cultural Heritage Center of the University of Pennsylvania Museum of Archaeology and Anthropology. He is also a member of the Director’s Council of the Penn Museum at the University of Pennsylvania and in 2025 was elected as a Director on the Board of Kennametal Inc. (NYSE: KMT).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95"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color w:val="002F56"/>
              </w:rPr>
            </w:pPr>
            <w:r>
              <w:rPr>
                <w:b/>
                <w:color w:val="002F56"/>
                <w:spacing w:val="-10"/>
              </w:rPr>
              <w:t>RELEVANT CHIEF EXECUTIVE OFFICER/</w:t>
            </w:r>
            <w:r>
              <w:rPr>
                <w:color w:val="002F56"/>
              </w:rPr>
              <w:t>​</w:t>
            </w:r>
            <w:r>
              <w:rPr>
                <w:b/>
                <w:color w:val="002F56"/>
                <w:spacing w:val="-10"/>
              </w:rPr>
              <w:t>PRESIDENT EXPERIENCE.</w:t>
            </w:r>
            <w:r>
              <w:rPr>
                <w:color w:val="000000"/>
                <w:spacing w:val="-1"/>
              </w:rPr>
              <w:t xml:space="preserve"> Chief Executive Officer of the Company effective 2016.</w:t>
            </w:r>
            <w:r>
              <mc:AlternateContent>
                <mc:Choice Requires="wps">
                  <w:drawing>
                    <wp:anchor behindDoc="0" distT="38100" distB="0" distL="0" distR="0" simplePos="0" locked="0" layoutInCell="1" allowOverlap="1" relativeHeight="434">
                      <wp:simplePos x="0" y="0"/>
                      <wp:positionH relativeFrom="column">
                        <wp:align>left</wp:align>
                      </wp:positionH>
                      <wp:positionV relativeFrom="line">
                        <wp:align>top</wp:align>
                      </wp:positionV>
                      <wp:extent cx="107950" cy="350520"/>
                      <wp:effectExtent l="0" t="0" r="0" b="0"/>
                      <wp:wrapSquare wrapText="right"/>
                      <wp:docPr id="335" name="Frame1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color w:val="002F56"/>
                                    </w:rPr>
                                  </w:pPr>
                                  <w:r>
                                    <w:rPr>
                                      <w:color w:val="002F56"/>
                                      <w:spacing w:val="5"/>
                                    </w:rPr>
                                    <w:t>•</w:t>
                                  </w:r>
                                  <w:r>
                                    <w:rPr>
                                      <w:color w:val="002F56"/>
                                    </w:rPr>
                                    <w:t xml:space="preserve"> </w:t>
                                  </w:r>
                                  <w:r>
                                    <w:rPr>
                                      <w:color w:val="002F56"/>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color w:val="002F56"/>
                              </w:rPr>
                            </w:pPr>
                            <w:r>
                              <w:rPr>
                                <w:color w:val="002F56"/>
                                <w:spacing w:val="5"/>
                              </w:rPr>
                              <w:t>•</w:t>
                            </w:r>
                            <w:r>
                              <w:rPr>
                                <w:color w:val="002F56"/>
                              </w:rPr>
                              <w:t xml:space="preserve"> </w:t>
                            </w:r>
                            <w:r>
                              <w:rPr>
                                <w:color w:val="002F56"/>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OPERATIONAL AND ENGINEERING EXPERIENCE.</w:t>
            </w:r>
            <w:r>
              <w:rPr>
                <w:spacing w:val="-1"/>
              </w:rPr>
              <w:t xml:space="preserve"> Extensive experience in engineering, management, product delivery, and operations.</w:t>
            </w:r>
            <w:r>
              <w:rPr/>
              <w:t xml:space="preserve"> </w:t>
            </w:r>
            <w:r>
              <mc:AlternateContent>
                <mc:Choice Requires="wps">
                  <w:drawing>
                    <wp:anchor behindDoc="0" distT="38100" distB="0" distL="0" distR="0" simplePos="0" locked="0" layoutInCell="1" allowOverlap="1" relativeHeight="438">
                      <wp:simplePos x="0" y="0"/>
                      <wp:positionH relativeFrom="column">
                        <wp:align>left</wp:align>
                      </wp:positionH>
                      <wp:positionV relativeFrom="line">
                        <wp:align>top</wp:align>
                      </wp:positionV>
                      <wp:extent cx="107950" cy="350520"/>
                      <wp:effectExtent l="0" t="0" r="0" b="0"/>
                      <wp:wrapSquare wrapText="right"/>
                      <wp:docPr id="336" name="Frame1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HIGH LEVEL OF FINANCIAL LITERACY.</w:t>
            </w:r>
            <w:r>
              <w:rPr>
                <w:spacing w:val="-1"/>
              </w:rPr>
              <w:t xml:space="preserve"> Extensive financial oversight experience in senior management roles with the Company, including as Chief Financial Officer from 2011 to 2016, and with Alcoa Inc.</w:t>
            </w:r>
            <w:r>
              <w:rPr/>
              <w:t xml:space="preserve"> </w:t>
            </w:r>
            <w:r>
              <mc:AlternateContent>
                <mc:Choice Requires="wps">
                  <w:drawing>
                    <wp:anchor behindDoc="0" distT="38100" distB="0" distL="0" distR="0" simplePos="0" locked="0" layoutInCell="1" allowOverlap="1" relativeHeight="437">
                      <wp:simplePos x="0" y="0"/>
                      <wp:positionH relativeFrom="column">
                        <wp:align>left</wp:align>
                      </wp:positionH>
                      <wp:positionV relativeFrom="line">
                        <wp:align>top</wp:align>
                      </wp:positionV>
                      <wp:extent cx="107950" cy="350520"/>
                      <wp:effectExtent l="0" t="0" r="0" b="0"/>
                      <wp:wrapSquare wrapText="right"/>
                      <wp:docPr id="337" name="Frame1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INDUSTRY AND TECHNOLOGY EXPERIENCE.</w:t>
            </w:r>
            <w:r>
              <w:rPr>
                <w:spacing w:val="-1"/>
              </w:rPr>
              <w:t xml:space="preserve"> Extensive experience in the industrial goods, mining, and metals manufacturing field.</w:t>
            </w:r>
            <w:r>
              <w:rPr/>
              <w:t xml:space="preserve"> </w:t>
            </w:r>
            <w:r>
              <mc:AlternateContent>
                <mc:Choice Requires="wps">
                  <w:drawing>
                    <wp:anchor behindDoc="0" distT="38100" distB="0" distL="0" distR="0" simplePos="0" locked="0" layoutInCell="1" allowOverlap="1" relativeHeight="436">
                      <wp:simplePos x="0" y="0"/>
                      <wp:positionH relativeFrom="column">
                        <wp:align>left</wp:align>
                      </wp:positionH>
                      <wp:positionV relativeFrom="line">
                        <wp:align>top</wp:align>
                      </wp:positionV>
                      <wp:extent cx="107950" cy="350520"/>
                      <wp:effectExtent l="0" t="0" r="0" b="0"/>
                      <wp:wrapSquare wrapText="right"/>
                      <wp:docPr id="338" name="Frame1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EXTENSIVE INTERNATIONAL EXPERIENCE.</w:t>
            </w:r>
            <w:r>
              <w:rPr>
                <w:spacing w:val="-1"/>
              </w:rPr>
              <w:t xml:space="preserve"> Experience from leadership positions with several international divisions of Alcoa Inc.</w:t>
            </w:r>
            <w:r>
              <w:rPr/>
              <w:t xml:space="preserve"> </w:t>
            </w:r>
            <w:r>
              <mc:AlternateContent>
                <mc:Choice Requires="wps">
                  <w:drawing>
                    <wp:anchor behindDoc="0" distT="38100" distB="0" distL="0" distR="0" simplePos="0" locked="0" layoutInCell="1" allowOverlap="1" relativeHeight="435">
                      <wp:simplePos x="0" y="0"/>
                      <wp:positionH relativeFrom="column">
                        <wp:align>left</wp:align>
                      </wp:positionH>
                      <wp:positionV relativeFrom="line">
                        <wp:align>top</wp:align>
                      </wp:positionV>
                      <wp:extent cx="107950" cy="350520"/>
                      <wp:effectExtent l="0" t="0" r="0" b="0"/>
                      <wp:wrapSquare wrapText="right"/>
                      <wp:docPr id="339" name="Frame1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13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THE BOARD OF DIRECTORS</w:t>
      </w:r>
      <w:r>
        <w:rPr>
          <w:rFonts w:ascii="Arial;Helvetica;sans-serif" w:hAnsi="Arial;Helvetica;sans-serif"/>
          <w:b w:val="false"/>
          <w:i w:val="false"/>
          <w:caps w:val="false"/>
          <w:smallCaps w:val="false"/>
          <w:color w:val="002F56"/>
          <w:sz w:val="22"/>
        </w:rPr>
        <w:t xml:space="preserve"> </w:t>
      </w:r>
    </w:p>
    <w:tbl>
      <w:tblPr>
        <w:tblW w:w="6508" w:type="dxa"/>
        <w:jc w:val="left"/>
        <w:tblInd w:w="1020" w:type="dxa"/>
        <w:tblLayout w:type="fixed"/>
        <w:tblCellMar>
          <w:top w:w="0" w:type="dxa"/>
          <w:left w:w="0" w:type="dxa"/>
          <w:bottom w:w="0" w:type="dxa"/>
          <w:right w:w="0" w:type="dxa"/>
        </w:tblCellMar>
      </w:tblPr>
      <w:tblGrid>
        <w:gridCol w:w="124"/>
        <w:gridCol w:w="2531"/>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2531"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z w:val="28"/>
              </w:rPr>
            </w:pPr>
            <w:r>
              <w:rPr>
                <w:color w:val="71B1C8"/>
                <w:spacing w:val="-17"/>
                <w:sz w:val="28"/>
              </w:rPr>
              <w:t>ROCKY MOTWANI</w:t>
            </w:r>
            <w:r>
              <w:rPr>
                <w:color w:val="71B1C8"/>
                <w:sz w:val="28"/>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Independent </w:t>
            </w:r>
            <w:r>
              <w:rPr>
                <w:color w:val="71B1C8"/>
                <w:spacing w:val="-2"/>
              </w:rPr>
              <w:t>|</w:t>
            </w:r>
            <w:r>
              <w:rPr>
                <w:spacing w:val="0"/>
              </w:rPr>
              <w:t> Director since 2022</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12"/>
        <w:gridCol w:w="109"/>
        <w:gridCol w:w="109"/>
        <w:gridCol w:w="109"/>
        <w:gridCol w:w="3568"/>
        <w:gridCol w:w="109"/>
        <w:gridCol w:w="109"/>
        <w:gridCol w:w="2981"/>
        <w:gridCol w:w="155"/>
      </w:tblGrid>
      <w:tr>
        <w:trPr/>
        <w:tc>
          <w:tcPr>
            <w:tcW w:w="124"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left"/>
              <w:rPr/>
            </w:pPr>
            <w:r>
              <w:rPr/>
              <w:drawing>
                <wp:inline distT="0" distB="0" distL="0" distR="0">
                  <wp:extent cx="1095375" cy="1371600"/>
                  <wp:effectExtent l="0" t="0" r="0" b="0"/>
                  <wp:docPr id="340"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98" descr=""/>
                          <pic:cNvPicPr>
                            <a:picLocks noChangeAspect="1" noChangeArrowheads="1"/>
                          </pic:cNvPicPr>
                        </pic:nvPicPr>
                        <pic:blipFill>
                          <a:blip r:embed="rId209"/>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52</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pPr>
            <w:r>
              <w:rPr>
                <w:spacing w:val="-1"/>
              </w:rPr>
              <w:t>Audit</w:t>
            </w:r>
            <w:r>
              <w:rPr/>
              <w:t xml:space="preserve"> </w:t>
            </w:r>
            <w:r>
              <mc:AlternateContent>
                <mc:Choice Requires="wps">
                  <w:drawing>
                    <wp:anchor behindDoc="0" distT="38100" distB="0" distL="0" distR="0" simplePos="0" locked="0" layoutInCell="1" allowOverlap="1" relativeHeight="440">
                      <wp:simplePos x="0" y="0"/>
                      <wp:positionH relativeFrom="column">
                        <wp:align>left</wp:align>
                      </wp:positionH>
                      <wp:positionV relativeFrom="line">
                        <wp:align>top</wp:align>
                      </wp:positionV>
                      <wp:extent cx="107950" cy="350520"/>
                      <wp:effectExtent l="0" t="0" r="0" b="0"/>
                      <wp:wrapSquare wrapText="right"/>
                      <wp:docPr id="341" name="Frame1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60" w:after="0"/>
              <w:ind w:left="170" w:right="0" w:hanging="0"/>
              <w:jc w:val="left"/>
              <w:rPr>
                <w:spacing w:val="-1"/>
              </w:rPr>
            </w:pPr>
            <w:r>
              <w:rPr>
                <w:spacing w:val="-1"/>
              </w:rPr>
              <w:t xml:space="preserve">Compensation </w:t>
            </w:r>
            <w:r>
              <mc:AlternateContent>
                <mc:Choice Requires="wps">
                  <w:drawing>
                    <wp:anchor behindDoc="0" distT="38100" distB="0" distL="0" distR="0" simplePos="0" locked="0" layoutInCell="1" allowOverlap="1" relativeHeight="439">
                      <wp:simplePos x="0" y="0"/>
                      <wp:positionH relativeFrom="column">
                        <wp:align>left</wp:align>
                      </wp:positionH>
                      <wp:positionV relativeFrom="line">
                        <wp:align>top</wp:align>
                      </wp:positionV>
                      <wp:extent cx="107950" cy="350520"/>
                      <wp:effectExtent l="0" t="0" r="0" b="0"/>
                      <wp:wrapSquare wrapText="right"/>
                      <wp:docPr id="342" name="Frame1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8"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Chief Executive Officer of Cyphlens, a cybersecurity company, since January 2022. Prior to Cyphlens, Mr. Motwani was Co-Founder, CFO, and a Board member of Jiko Group, a technology-based bank holding company, from July 2015 to December 2021. He was also a Board member of Mid-Central National Bank from 2020 to 2021. Prior to that, he held positions of increasing responsibility at J.P. Morgan from 2005 to 2014, including Managing Director in the company’s Transaction Services franchise. He also co-led the technology modernization and automation of J.P. Morgan’s global corporate FX payments business, as well as managed its escrow payments business. Mr. Motwani began his career at Jones Lang Lasalle, a firm that specializes in real estate and investment management, and later moved to McKinsey &amp; Company, serving the technology sector in Silicon Valley.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HIGH LEVEL OF FINANCIAL LITERACY.</w:t>
            </w:r>
            <w:r>
              <w:rPr>
                <w:spacing w:val="-1"/>
              </w:rPr>
              <w:t xml:space="preserve"> Extensive financial oversight experience in senior management roles with J.P. Morgan and Jiko Group.</w:t>
            </w:r>
            <w:r>
              <w:rPr/>
              <w:t xml:space="preserve"> </w:t>
            </w:r>
            <w:r>
              <mc:AlternateContent>
                <mc:Choice Requires="wps">
                  <w:drawing>
                    <wp:anchor behindDoc="0" distT="38100" distB="0" distL="0" distR="0" simplePos="0" locked="0" layoutInCell="1" allowOverlap="1" relativeHeight="444">
                      <wp:simplePos x="0" y="0"/>
                      <wp:positionH relativeFrom="column">
                        <wp:align>left</wp:align>
                      </wp:positionH>
                      <wp:positionV relativeFrom="line">
                        <wp:align>top</wp:align>
                      </wp:positionV>
                      <wp:extent cx="107950" cy="350520"/>
                      <wp:effectExtent l="0" t="0" r="0" b="0"/>
                      <wp:wrapSquare wrapText="right"/>
                      <wp:docPr id="343" name="Frame1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TECHNOLOGY EXPERIENCE.</w:t>
            </w:r>
            <w:r>
              <w:rPr>
                <w:spacing w:val="-1"/>
              </w:rPr>
              <w:t xml:space="preserve"> Extensive experience with technology-based companies, as Chief Executive Officer of Cyphlens, a cybersecurity company, as co-founder of Jiko Group, which invests in and runs technology companies, as well as with J.P. Morgan, where he led the technology modernization and automation of J.P. Morgan’s global corporate FX payments business.</w:t>
            </w:r>
            <w:r>
              <w:rPr/>
              <w:t xml:space="preserve"> </w:t>
            </w:r>
            <w:r>
              <mc:AlternateContent>
                <mc:Choice Requires="wps">
                  <w:drawing>
                    <wp:anchor behindDoc="0" distT="38100" distB="0" distL="0" distR="0" simplePos="0" locked="0" layoutInCell="1" allowOverlap="1" relativeHeight="443">
                      <wp:simplePos x="0" y="0"/>
                      <wp:positionH relativeFrom="column">
                        <wp:align>left</wp:align>
                      </wp:positionH>
                      <wp:positionV relativeFrom="line">
                        <wp:align>top</wp:align>
                      </wp:positionV>
                      <wp:extent cx="107950" cy="350520"/>
                      <wp:effectExtent l="0" t="0" r="0" b="0"/>
                      <wp:wrapSquare wrapText="right"/>
                      <wp:docPr id="344" name="Frame1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CYBER EXPERIENCE.</w:t>
            </w:r>
            <w:r>
              <w:rPr>
                <w:spacing w:val="-1"/>
              </w:rPr>
              <w:t xml:space="preserve"> Chief Executive Officer of Cyphlens, a cybersecurity company. Also a Board-certified cybersecurity expert.</w:t>
            </w:r>
            <w:r>
              <w:rPr/>
              <w:t xml:space="preserve"> </w:t>
            </w:r>
            <w:r>
              <mc:AlternateContent>
                <mc:Choice Requires="wps">
                  <w:drawing>
                    <wp:anchor behindDoc="0" distT="38100" distB="0" distL="0" distR="0" simplePos="0" locked="0" layoutInCell="1" allowOverlap="1" relativeHeight="442">
                      <wp:simplePos x="0" y="0"/>
                      <wp:positionH relativeFrom="column">
                        <wp:align>left</wp:align>
                      </wp:positionH>
                      <wp:positionV relativeFrom="line">
                        <wp:align>top</wp:align>
                      </wp:positionV>
                      <wp:extent cx="107950" cy="350520"/>
                      <wp:effectExtent l="0" t="0" r="0" b="0"/>
                      <wp:wrapSquare wrapText="right"/>
                      <wp:docPr id="345" name="Frame1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FINANCIAL INDUSTRY EXPERIENCE.</w:t>
            </w:r>
            <w:r>
              <w:rPr>
                <w:spacing w:val="-1"/>
              </w:rPr>
              <w:t xml:space="preserve"> Extensive experience in the financial industry with Jiko Group and J.P. Morgan.</w:t>
            </w:r>
            <w:r>
              <w:rPr/>
              <w:t xml:space="preserve"> </w:t>
            </w:r>
            <w:r>
              <mc:AlternateContent>
                <mc:Choice Requires="wps">
                  <w:drawing>
                    <wp:anchor behindDoc="0" distT="38100" distB="0" distL="0" distR="0" simplePos="0" locked="0" layoutInCell="1" allowOverlap="1" relativeHeight="441">
                      <wp:simplePos x="0" y="0"/>
                      <wp:positionH relativeFrom="column">
                        <wp:align>left</wp:align>
                      </wp:positionH>
                      <wp:positionV relativeFrom="line">
                        <wp:align>top</wp:align>
                      </wp:positionV>
                      <wp:extent cx="107950" cy="350520"/>
                      <wp:effectExtent l="0" t="0" r="0" b="0"/>
                      <wp:wrapSquare wrapText="right"/>
                      <wp:docPr id="346" name="Frame1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tbl>
      <w:tblPr>
        <w:tblW w:w="7072" w:type="dxa"/>
        <w:jc w:val="left"/>
        <w:tblInd w:w="1020" w:type="dxa"/>
        <w:tblLayout w:type="fixed"/>
        <w:tblCellMar>
          <w:top w:w="0" w:type="dxa"/>
          <w:left w:w="0" w:type="dxa"/>
          <w:bottom w:w="0" w:type="dxa"/>
          <w:right w:w="0" w:type="dxa"/>
        </w:tblCellMar>
      </w:tblPr>
      <w:tblGrid>
        <w:gridCol w:w="124"/>
        <w:gridCol w:w="3095"/>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3095"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pacing w:val="-17"/>
                <w:sz w:val="28"/>
              </w:rPr>
            </w:pPr>
            <w:r>
              <w:rPr>
                <w:color w:val="71B1C8"/>
                <w:spacing w:val="-17"/>
                <w:sz w:val="28"/>
              </w:rPr>
              <w:t xml:space="preserve">CAROLYN K. PITTMAN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Independent </w:t>
            </w:r>
            <w:r>
              <w:rPr>
                <w:color w:val="71B1C8"/>
                <w:spacing w:val="-2"/>
              </w:rPr>
              <w:t>|</w:t>
            </w:r>
            <w:r>
              <w:rPr>
                <w:spacing w:val="0"/>
              </w:rPr>
              <w:t> Director since 2017</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72"/>
        <w:gridCol w:w="109"/>
        <w:gridCol w:w="109"/>
        <w:gridCol w:w="109"/>
        <w:gridCol w:w="3793"/>
        <w:gridCol w:w="109"/>
        <w:gridCol w:w="109"/>
        <w:gridCol w:w="2695"/>
        <w:gridCol w:w="156"/>
      </w:tblGrid>
      <w:tr>
        <w:trPr/>
        <w:tc>
          <w:tcPr>
            <w:tcW w:w="124" w:type="dxa"/>
            <w:tcBorders/>
            <w:vAlign w:val="center"/>
          </w:tcPr>
          <w:p>
            <w:pPr>
              <w:pStyle w:val="TableContents"/>
              <w:bidi w:val="0"/>
              <w:spacing w:before="0" w:after="283"/>
              <w:jc w:val="left"/>
              <w:rPr/>
            </w:pPr>
            <w:r>
              <w:rPr/>
              <w:t>​</w:t>
            </w:r>
          </w:p>
        </w:tc>
        <w:tc>
          <w:tcPr>
            <w:tcW w:w="1872" w:type="dxa"/>
            <w:tcBorders/>
            <w:vAlign w:val="center"/>
          </w:tcPr>
          <w:p>
            <w:pPr>
              <w:pStyle w:val="TableContents"/>
              <w:bidi w:val="0"/>
              <w:spacing w:before="0" w:after="0"/>
              <w:jc w:val="left"/>
              <w:rPr/>
            </w:pPr>
            <w:r>
              <w:rPr/>
              <w:drawing>
                <wp:inline distT="0" distB="0" distL="0" distR="0">
                  <wp:extent cx="1095375" cy="1371600"/>
                  <wp:effectExtent l="0" t="0" r="0" b="0"/>
                  <wp:docPr id="34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99" descr=""/>
                          <pic:cNvPicPr>
                            <a:picLocks noChangeAspect="1" noChangeArrowheads="1"/>
                          </pic:cNvPicPr>
                        </pic:nvPicPr>
                        <pic:blipFill>
                          <a:blip r:embed="rId210"/>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xml:space="preserve"> 62</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90" w:before="60" w:after="0"/>
              <w:ind w:left="170" w:right="0" w:hanging="0"/>
              <w:jc w:val="left"/>
              <w:rPr/>
            </w:pPr>
            <w:r>
              <w:rPr>
                <w:spacing w:val="-1"/>
              </w:rPr>
              <w:t>Audit (Audit Committee Financial Expert)</w:t>
            </w:r>
            <w:r>
              <w:rPr/>
              <w:t xml:space="preserve"> </w:t>
            </w:r>
            <w:r>
              <mc:AlternateContent>
                <mc:Choice Requires="wps">
                  <w:drawing>
                    <wp:anchor behindDoc="0" distT="38100" distB="0" distL="0" distR="0" simplePos="0" locked="0" layoutInCell="1" allowOverlap="1" relativeHeight="445">
                      <wp:simplePos x="0" y="0"/>
                      <wp:positionH relativeFrom="column">
                        <wp:align>left</wp:align>
                      </wp:positionH>
                      <wp:positionV relativeFrom="line">
                        <wp:align>top</wp:align>
                      </wp:positionV>
                      <wp:extent cx="107950" cy="350520"/>
                      <wp:effectExtent l="0" t="0" r="0" b="0"/>
                      <wp:wrapSquare wrapText="right"/>
                      <wp:docPr id="348" name="Frame1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spacing w:val="-1"/>
              </w:rPr>
            </w:pPr>
            <w:r>
              <w:rPr>
                <w:spacing w:val="-1"/>
              </w:rPr>
              <w:t xml:space="preserve">Corporate Governance and Nominating </w:t>
            </w:r>
            <w:r>
              <mc:AlternateContent>
                <mc:Choice Requires="wps">
                  <w:drawing>
                    <wp:anchor behindDoc="0" distT="38100" distB="0" distL="0" distR="0" simplePos="0" locked="0" layoutInCell="1" allowOverlap="1" relativeHeight="446">
                      <wp:simplePos x="0" y="0"/>
                      <wp:positionH relativeFrom="column">
                        <wp:align>left</wp:align>
                      </wp:positionH>
                      <wp:positionV relativeFrom="line">
                        <wp:align>top</wp:align>
                      </wp:positionV>
                      <wp:extent cx="107950" cy="350520"/>
                      <wp:effectExtent l="0" t="0" r="0" b="0"/>
                      <wp:wrapSquare wrapText="right"/>
                      <wp:docPr id="349" name="Frame1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3"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spacing w:val="-1"/>
              </w:rPr>
            </w:pPr>
            <w:r>
              <w:rPr>
                <w:spacing w:val="-1"/>
              </w:rPr>
              <w:t xml:space="preserve">Former Senior Vice President and Chief Accounting Officer of Maxar Technologies from July 2019 to September 2023. Prior to Maxar, Ms. Pittman was Vice President-Finance and Controller for Huntington Ingalls Newport News Shipbuilding from 2011 to 2018. Ms. Pittman was Vice President and Chief Financial Officer, Enterprise Shared Services and Information Technology, at Northrop Grumman from 2008 to 2011. She joined Northrop Grumman as a manager in 1995 and attained positions of increasing responsibility, including Vice President — Sector Controller, Vice President — Internal Audit, and Chief Audit Executive. Ms. Pittman began her career with Ernst &amp; Young LLP, where she held positions within audit and assurance services from 1985 to 1995.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95"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HIGH LEVEL OF FINANCIAL LITERACY.</w:t>
            </w:r>
            <w:r>
              <w:rPr>
                <w:spacing w:val="-1"/>
              </w:rPr>
              <w:t xml:space="preserve"> Extensive financial oversight experience in senior management roles with Maxar Technologies, Huntington Ingalls Newport News Shipbuilding, and Northrop Grumman.</w:t>
            </w:r>
            <w:r>
              <w:rPr/>
              <w:t xml:space="preserve"> </w:t>
            </w:r>
            <w:r>
              <mc:AlternateContent>
                <mc:Choice Requires="wps">
                  <w:drawing>
                    <wp:anchor behindDoc="0" distT="38100" distB="0" distL="0" distR="0" simplePos="0" locked="0" layoutInCell="1" allowOverlap="1" relativeHeight="447">
                      <wp:simplePos x="0" y="0"/>
                      <wp:positionH relativeFrom="column">
                        <wp:align>left</wp:align>
                      </wp:positionH>
                      <wp:positionV relativeFrom="line">
                        <wp:align>top</wp:align>
                      </wp:positionV>
                      <wp:extent cx="107950" cy="350520"/>
                      <wp:effectExtent l="0" t="0" r="0" b="0"/>
                      <wp:wrapSquare wrapText="right"/>
                      <wp:docPr id="350" name="Frame1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OPERATIONAL EXPERIENCE.</w:t>
            </w:r>
            <w:r>
              <w:rPr>
                <w:spacing w:val="-1"/>
              </w:rPr>
              <w:t xml:space="preserve"> Extensive experience in enterprise shared services, information technology, and audit roles with Northrop Grumman.</w:t>
            </w:r>
            <w:r>
              <w:rPr/>
              <w:t xml:space="preserve"> </w:t>
            </w:r>
            <w:r>
              <mc:AlternateContent>
                <mc:Choice Requires="wps">
                  <w:drawing>
                    <wp:anchor behindDoc="0" distT="38100" distB="0" distL="0" distR="0" simplePos="0" locked="0" layoutInCell="1" allowOverlap="1" relativeHeight="448">
                      <wp:simplePos x="0" y="0"/>
                      <wp:positionH relativeFrom="column">
                        <wp:align>left</wp:align>
                      </wp:positionH>
                      <wp:positionV relativeFrom="line">
                        <wp:align>top</wp:align>
                      </wp:positionV>
                      <wp:extent cx="107950" cy="350520"/>
                      <wp:effectExtent l="0" t="0" r="0" b="0"/>
                      <wp:wrapSquare wrapText="right"/>
                      <wp:docPr id="351" name="Frame1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RISK MANAGEMENT EXPERIENCE.</w:t>
            </w:r>
            <w:r>
              <w:rPr>
                <w:spacing w:val="-1"/>
              </w:rPr>
              <w:t xml:space="preserve"> Extensive experience with Enterprise Risk Management evaluation, Sarbanes-Oxley Risk and Control Matrices, and business continuity planning.</w:t>
            </w:r>
            <w:r>
              <w:rPr/>
              <w:t xml:space="preserve"> </w:t>
            </w:r>
            <w:r>
              <mc:AlternateContent>
                <mc:Choice Requires="wps">
                  <w:drawing>
                    <wp:anchor behindDoc="0" distT="38100" distB="0" distL="0" distR="0" simplePos="0" locked="0" layoutInCell="1" allowOverlap="1" relativeHeight="449">
                      <wp:simplePos x="0" y="0"/>
                      <wp:positionH relativeFrom="column">
                        <wp:align>left</wp:align>
                      </wp:positionH>
                      <wp:positionV relativeFrom="line">
                        <wp:align>top</wp:align>
                      </wp:positionV>
                      <wp:extent cx="107950" cy="350520"/>
                      <wp:effectExtent l="0" t="0" r="0" b="0"/>
                      <wp:wrapSquare wrapText="right"/>
                      <wp:docPr id="352" name="Frame14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INDUSTRY AND TECHNOLOGY EXPERIENCE.</w:t>
            </w:r>
            <w:r>
              <w:rPr>
                <w:spacing w:val="-1"/>
              </w:rPr>
              <w:t xml:space="preserve"> Extensive experience with project management of large ERP conversions, governance, risk and control systems, and IT controls. Certified Information Systems auditor.</w:t>
            </w:r>
            <w:r>
              <w:rPr/>
              <w:t xml:space="preserve"> </w:t>
            </w:r>
            <w:r>
              <mc:AlternateContent>
                <mc:Choice Requires="wps">
                  <w:drawing>
                    <wp:anchor behindDoc="0" distT="38100" distB="0" distL="0" distR="0" simplePos="0" locked="0" layoutInCell="1" allowOverlap="1" relativeHeight="450">
                      <wp:simplePos x="0" y="0"/>
                      <wp:positionH relativeFrom="column">
                        <wp:align>left</wp:align>
                      </wp:positionH>
                      <wp:positionV relativeFrom="line">
                        <wp:align>top</wp:align>
                      </wp:positionV>
                      <wp:extent cx="107950" cy="350520"/>
                      <wp:effectExtent l="0" t="0" r="0" b="0"/>
                      <wp:wrapSquare wrapText="right"/>
                      <wp:docPr id="353" name="Frame14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14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WTE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THE BOARD OF DIRECTORS</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DIRECTORS WHOSE TERM EXPIRES AT THE 2026 ANNUAL MEETING</w:t>
      </w:r>
      <w:r>
        <w:rPr>
          <w:rFonts w:ascii="Arial;Helvetica;sans-serif" w:hAnsi="Arial;Helvetica;sans-serif"/>
          <w:b w:val="false"/>
          <w:i w:val="false"/>
          <w:caps w:val="false"/>
          <w:smallCaps w:val="false"/>
          <w:color w:val="000000"/>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6463" w:type="dxa"/>
        <w:jc w:val="left"/>
        <w:tblInd w:w="1020" w:type="dxa"/>
        <w:tblLayout w:type="fixed"/>
        <w:tblCellMar>
          <w:top w:w="0" w:type="dxa"/>
          <w:left w:w="0" w:type="dxa"/>
          <w:bottom w:w="0" w:type="dxa"/>
          <w:right w:w="0" w:type="dxa"/>
        </w:tblCellMar>
      </w:tblPr>
      <w:tblGrid>
        <w:gridCol w:w="124"/>
        <w:gridCol w:w="2486"/>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2486"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z w:val="28"/>
              </w:rPr>
            </w:pPr>
            <w:r>
              <w:rPr>
                <w:color w:val="71B1C8"/>
                <w:spacing w:val="-17"/>
                <w:sz w:val="28"/>
              </w:rPr>
              <w:t>ALISON A. DEANS</w:t>
            </w:r>
            <w:r>
              <w:rPr>
                <w:color w:val="71B1C8"/>
                <w:sz w:val="28"/>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w:t>
            </w:r>
            <w:r>
              <w:rPr>
                <w:color w:val="71B1C8"/>
                <w:spacing w:val="-2"/>
              </w:rPr>
              <w:t> |</w:t>
            </w:r>
            <w:r>
              <w:rPr>
                <w:spacing w:val="-2"/>
              </w:rPr>
              <w:t> </w:t>
            </w:r>
            <w:r>
              <w:rPr>
                <w:spacing w:val="0"/>
              </w:rPr>
              <w:t>Director since 2019</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72"/>
        <w:gridCol w:w="109"/>
        <w:gridCol w:w="109"/>
        <w:gridCol w:w="109"/>
        <w:gridCol w:w="3792"/>
        <w:gridCol w:w="109"/>
        <w:gridCol w:w="109"/>
        <w:gridCol w:w="2697"/>
        <w:gridCol w:w="155"/>
      </w:tblGrid>
      <w:tr>
        <w:trPr/>
        <w:tc>
          <w:tcPr>
            <w:tcW w:w="124" w:type="dxa"/>
            <w:tcBorders/>
            <w:vAlign w:val="center"/>
          </w:tcPr>
          <w:p>
            <w:pPr>
              <w:pStyle w:val="TableContents"/>
              <w:bidi w:val="0"/>
              <w:spacing w:before="0" w:after="283"/>
              <w:jc w:val="left"/>
              <w:rPr/>
            </w:pPr>
            <w:r>
              <w:rPr/>
              <w:t>​</w:t>
            </w:r>
          </w:p>
        </w:tc>
        <w:tc>
          <w:tcPr>
            <w:tcW w:w="1872" w:type="dxa"/>
            <w:tcBorders/>
            <w:vAlign w:val="center"/>
          </w:tcPr>
          <w:p>
            <w:pPr>
              <w:pStyle w:val="TableContents"/>
              <w:bidi w:val="0"/>
              <w:spacing w:before="0" w:after="0"/>
              <w:jc w:val="left"/>
              <w:rPr/>
            </w:pPr>
            <w:r>
              <w:rPr/>
              <w:drawing>
                <wp:inline distT="0" distB="0" distL="0" distR="0">
                  <wp:extent cx="1095375" cy="1371600"/>
                  <wp:effectExtent l="0" t="0" r="0" b="0"/>
                  <wp:docPr id="35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00" descr=""/>
                          <pic:cNvPicPr>
                            <a:picLocks noChangeAspect="1" noChangeArrowheads="1"/>
                          </pic:cNvPicPr>
                        </pic:nvPicPr>
                        <pic:blipFill>
                          <a:blip r:embed="rId211"/>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64</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70" w:before="60" w:after="0"/>
              <w:ind w:left="170" w:right="0" w:hanging="0"/>
              <w:jc w:val="left"/>
              <w:rPr/>
            </w:pPr>
            <w:r>
              <w:rPr>
                <w:spacing w:val="-1"/>
              </w:rPr>
              <w:t>Compensation</w:t>
            </w:r>
            <w:r>
              <w:rPr/>
              <w:t xml:space="preserve"> </w:t>
            </w:r>
            <w:r>
              <mc:AlternateContent>
                <mc:Choice Requires="wps">
                  <w:drawing>
                    <wp:anchor behindDoc="0" distT="38100" distB="0" distL="0" distR="0" simplePos="0" locked="0" layoutInCell="1" allowOverlap="1" relativeHeight="451">
                      <wp:simplePos x="0" y="0"/>
                      <wp:positionH relativeFrom="column">
                        <wp:align>left</wp:align>
                      </wp:positionH>
                      <wp:positionV relativeFrom="line">
                        <wp:align>top</wp:align>
                      </wp:positionV>
                      <wp:extent cx="107950" cy="350520"/>
                      <wp:effectExtent l="0" t="0" r="0" b="0"/>
                      <wp:wrapSquare wrapText="right"/>
                      <wp:docPr id="355" name="Frame14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spacing w:val="-1"/>
              </w:rPr>
              <w:t>Corporate Governance and Nominating</w:t>
            </w:r>
            <w:r>
              <w:rPr/>
              <w:t xml:space="preserve"> </w:t>
            </w:r>
            <w:r>
              <mc:AlternateContent>
                <mc:Choice Requires="wps">
                  <w:drawing>
                    <wp:anchor behindDoc="0" distT="38100" distB="0" distL="0" distR="0" simplePos="0" locked="0" layoutInCell="1" allowOverlap="1" relativeHeight="452">
                      <wp:simplePos x="0" y="0"/>
                      <wp:positionH relativeFrom="column">
                        <wp:align>left</wp:align>
                      </wp:positionH>
                      <wp:positionV relativeFrom="line">
                        <wp:align>top</wp:align>
                      </wp:positionV>
                      <wp:extent cx="107950" cy="350520"/>
                      <wp:effectExtent l="0" t="0" r="0" b="0"/>
                      <wp:wrapSquare wrapText="right"/>
                      <wp:docPr id="356" name="Frame14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2"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pPr>
            <w:r>
              <w:rPr>
                <w:spacing w:val="-1"/>
              </w:rPr>
              <w:t>Currently an independent consultant focusing on the investment advisory and diversified financial services industry. Ms. Deans was Chief Investment Officer at CRT, a diversified financial services business, from 2014 to 2015. Previously, Ms. Deans worked at Lehman Brothers/</w:t>
            </w:r>
            <w:r>
              <w:rPr/>
              <w:t>​</w:t>
            </w:r>
            <w:r>
              <w:rPr>
                <w:spacing w:val="-1"/>
              </w:rPr>
              <w:t xml:space="preserve"> Neuberger Berman from 2004 to July 2009. Her last positions there were Head of Equities and Private Asset Management. She also served as Chief Investment Officer overseeing the policy, risk, and performance measurement groups for both fixed income and equities as well as the Equity Research Department. Prior to Lehman Brothers, she was Chief Financial Officer of Commercial Banking for BankOne from 2000 to 2003. Prior to BankOne, Ms. Deans spent nine years at Travelers/Citigroup, where, from 1999 to 2000, she was Director of Development at Citigroup.</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97"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HIGH LEVEL OF FINANCIAL LITERACY.</w:t>
            </w:r>
            <w:r>
              <w:rPr>
                <w:spacing w:val="-1"/>
              </w:rPr>
              <w:t xml:space="preserve"> Extensive financial oversight experience in senior management roles with CRT, Lehman Brothers/Neuberger Berman, BankOne, and Travelers/Citigroup.</w:t>
            </w:r>
            <w:r>
              <w:rPr/>
              <w:t xml:space="preserve"> </w:t>
            </w:r>
            <w:r>
              <mc:AlternateContent>
                <mc:Choice Requires="wps">
                  <w:drawing>
                    <wp:anchor behindDoc="0" distT="38100" distB="0" distL="0" distR="0" simplePos="0" locked="0" layoutInCell="1" allowOverlap="1" relativeHeight="453">
                      <wp:simplePos x="0" y="0"/>
                      <wp:positionH relativeFrom="column">
                        <wp:align>left</wp:align>
                      </wp:positionH>
                      <wp:positionV relativeFrom="line">
                        <wp:align>top</wp:align>
                      </wp:positionV>
                      <wp:extent cx="107950" cy="350520"/>
                      <wp:effectExtent l="0" t="0" r="0" b="0"/>
                      <wp:wrapSquare wrapText="right"/>
                      <wp:docPr id="357" name="Frame14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MARKET EXPERIENCE.</w:t>
            </w:r>
            <w:r>
              <w:rPr>
                <w:spacing w:val="-1"/>
              </w:rPr>
              <w:t xml:space="preserve"> Extensive experience in financial markets as Chief Investment Officer at CRT and Lehman Brothers/Neuberger Berman.</w:t>
            </w:r>
            <w:r>
              <w:rPr/>
              <w:t xml:space="preserve"> </w:t>
            </w:r>
            <w:r>
              <mc:AlternateContent>
                <mc:Choice Requires="wps">
                  <w:drawing>
                    <wp:anchor behindDoc="0" distT="38100" distB="0" distL="0" distR="0" simplePos="0" locked="0" layoutInCell="1" allowOverlap="1" relativeHeight="454">
                      <wp:simplePos x="0" y="0"/>
                      <wp:positionH relativeFrom="column">
                        <wp:align>left</wp:align>
                      </wp:positionH>
                      <wp:positionV relativeFrom="line">
                        <wp:align>top</wp:align>
                      </wp:positionV>
                      <wp:extent cx="107950" cy="350520"/>
                      <wp:effectExtent l="0" t="0" r="0" b="0"/>
                      <wp:wrapSquare wrapText="right"/>
                      <wp:docPr id="358" name="Frame14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tbl>
      <w:tblPr>
        <w:tblW w:w="6759" w:type="dxa"/>
        <w:jc w:val="left"/>
        <w:tblInd w:w="1020" w:type="dxa"/>
        <w:tblLayout w:type="fixed"/>
        <w:tblCellMar>
          <w:top w:w="0" w:type="dxa"/>
          <w:left w:w="0" w:type="dxa"/>
          <w:bottom w:w="0" w:type="dxa"/>
          <w:right w:w="0" w:type="dxa"/>
        </w:tblCellMar>
      </w:tblPr>
      <w:tblGrid>
        <w:gridCol w:w="124"/>
        <w:gridCol w:w="2782"/>
        <w:gridCol w:w="109"/>
        <w:gridCol w:w="109"/>
        <w:gridCol w:w="3481"/>
        <w:gridCol w:w="154"/>
      </w:tblGrid>
      <w:tr>
        <w:trPr/>
        <w:tc>
          <w:tcPr>
            <w:tcW w:w="124" w:type="dxa"/>
            <w:tcBorders/>
            <w:shd w:fill="002F56" w:val="clear"/>
            <w:vAlign w:val="center"/>
          </w:tcPr>
          <w:p>
            <w:pPr>
              <w:pStyle w:val="TableContents"/>
              <w:bidi w:val="0"/>
              <w:spacing w:before="0" w:after="283"/>
              <w:jc w:val="left"/>
              <w:rPr/>
            </w:pPr>
            <w:r>
              <w:rPr/>
              <w:t>​</w:t>
            </w:r>
          </w:p>
        </w:tc>
        <w:tc>
          <w:tcPr>
            <w:tcW w:w="2782" w:type="dxa"/>
            <w:tcBorders/>
            <w:shd w:fill="002F56" w:val="clear"/>
            <w:tcMar>
              <w:top w:w="28" w:type="dxa"/>
              <w:left w:w="28" w:type="dxa"/>
              <w:bottom w:w="28" w:type="dxa"/>
              <w:right w:w="28" w:type="dxa"/>
            </w:tcMar>
            <w:vAlign w:val="center"/>
          </w:tcPr>
          <w:p>
            <w:pPr>
              <w:pStyle w:val="TableContents"/>
              <w:bidi w:val="0"/>
              <w:spacing w:lineRule="atLeast" w:line="320" w:before="0" w:after="0"/>
              <w:jc w:val="left"/>
              <w:rPr>
                <w:color w:val="71B1C8"/>
                <w:sz w:val="28"/>
              </w:rPr>
            </w:pPr>
            <w:r>
              <w:rPr>
                <w:color w:val="71B1C8"/>
                <w:spacing w:val="-17"/>
                <w:sz w:val="28"/>
              </w:rPr>
              <w:t>FRANKLIN L. FEDER</w:t>
            </w:r>
            <w:r>
              <w:rPr>
                <w:color w:val="71B1C8"/>
                <w:sz w:val="28"/>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481" w:type="dxa"/>
            <w:tcBorders/>
            <w:shd w:fill="002F56" w:val="clear"/>
            <w:tcMar>
              <w:top w:w="28" w:type="dxa"/>
              <w:left w:w="28" w:type="dxa"/>
              <w:bottom w:w="28" w:type="dxa"/>
              <w:right w:w="28" w:type="dxa"/>
            </w:tcMar>
            <w:vAlign w:val="center"/>
          </w:tcPr>
          <w:p>
            <w:pPr>
              <w:pStyle w:val="TableContents"/>
              <w:bidi w:val="0"/>
              <w:spacing w:lineRule="atLeast" w:line="210" w:before="0" w:after="0"/>
              <w:jc w:val="right"/>
              <w:rPr/>
            </w:pPr>
            <w:r>
              <w:rPr>
                <w:spacing w:val="0"/>
              </w:rPr>
              <w:t>Independent</w:t>
            </w:r>
            <w:r>
              <w:rPr>
                <w:color w:val="71B1C8"/>
                <w:spacing w:val="-2"/>
              </w:rPr>
              <w:t> |</w:t>
            </w:r>
            <w:r>
              <w:rPr>
                <w:spacing w:val="-2"/>
              </w:rPr>
              <w:t> </w:t>
            </w:r>
            <w:r>
              <w:rPr>
                <w:spacing w:val="0"/>
              </w:rPr>
              <w:t>Director since 2017</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869"/>
        <w:gridCol w:w="109"/>
        <w:gridCol w:w="109"/>
        <w:gridCol w:w="109"/>
        <w:gridCol w:w="3877"/>
        <w:gridCol w:w="109"/>
        <w:gridCol w:w="109"/>
        <w:gridCol w:w="2614"/>
        <w:gridCol w:w="156"/>
      </w:tblGrid>
      <w:tr>
        <w:trPr/>
        <w:tc>
          <w:tcPr>
            <w:tcW w:w="124" w:type="dxa"/>
            <w:tcBorders/>
            <w:vAlign w:val="center"/>
          </w:tcPr>
          <w:p>
            <w:pPr>
              <w:pStyle w:val="TableContents"/>
              <w:bidi w:val="0"/>
              <w:spacing w:before="0" w:after="283"/>
              <w:jc w:val="left"/>
              <w:rPr/>
            </w:pPr>
            <w:r>
              <w:rPr/>
              <w:t>​</w:t>
            </w:r>
          </w:p>
        </w:tc>
        <w:tc>
          <w:tcPr>
            <w:tcW w:w="1869" w:type="dxa"/>
            <w:tcBorders/>
            <w:vAlign w:val="center"/>
          </w:tcPr>
          <w:p>
            <w:pPr>
              <w:pStyle w:val="TableContents"/>
              <w:bidi w:val="0"/>
              <w:spacing w:before="0" w:after="0"/>
              <w:jc w:val="left"/>
              <w:rPr/>
            </w:pPr>
            <w:r>
              <w:rPr/>
              <w:drawing>
                <wp:inline distT="0" distB="0" distL="0" distR="0">
                  <wp:extent cx="1095375" cy="1371600"/>
                  <wp:effectExtent l="0" t="0" r="0" b="0"/>
                  <wp:docPr id="35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01" descr=""/>
                          <pic:cNvPicPr>
                            <a:picLocks noChangeAspect="1" noChangeArrowheads="1"/>
                          </pic:cNvPicPr>
                        </pic:nvPicPr>
                        <pic:blipFill>
                          <a:blip r:embed="rId212"/>
                          <a:stretch>
                            <a:fillRect/>
                          </a:stretch>
                        </pic:blipFill>
                        <pic:spPr bwMode="auto">
                          <a:xfrm>
                            <a:off x="0" y="0"/>
                            <a:ext cx="1095375" cy="1371600"/>
                          </a:xfrm>
                          <a:prstGeom prst="rect">
                            <a:avLst/>
                          </a:prstGeom>
                        </pic:spPr>
                      </pic:pic>
                    </a:graphicData>
                  </a:graphic>
                </wp:inline>
              </w:drawing>
            </w:r>
            <w:r>
              <w:rPr/>
              <w:t xml:space="preserve"> </w:t>
            </w:r>
          </w:p>
          <w:p>
            <w:pPr>
              <w:pStyle w:val="TableContents"/>
              <w:bidi w:val="0"/>
              <w:spacing w:lineRule="atLeast" w:line="170" w:before="190" w:after="283"/>
              <w:jc w:val="left"/>
              <w:rPr/>
            </w:pPr>
            <w:r>
              <w:rPr>
                <w:b/>
                <w:color w:val="71B1C8"/>
                <w:spacing w:val="-2"/>
              </w:rPr>
              <w:t>AGE</w:t>
            </w:r>
            <w:r>
              <w:rPr>
                <w:spacing w:val="-1"/>
              </w:rPr>
              <w:t> 75</w:t>
            </w:r>
            <w:r>
              <w:rPr/>
              <w:t xml:space="preserve"> </w:t>
            </w:r>
          </w:p>
          <w:p>
            <w:pPr>
              <w:pStyle w:val="TableContents"/>
              <w:bidi w:val="0"/>
              <w:spacing w:lineRule="atLeast" w:line="170" w:before="140" w:after="283"/>
              <w:jc w:val="left"/>
              <w:rPr>
                <w:b/>
                <w:color w:val="71B1C8"/>
              </w:rPr>
            </w:pPr>
            <w:r>
              <w:rPr>
                <w:b/>
                <w:color w:val="71B1C8"/>
                <w:spacing w:val="-2"/>
              </w:rPr>
              <w:t>COMMITTEES</w:t>
            </w:r>
            <w:r>
              <w:rPr>
                <w:b/>
                <w:color w:val="71B1C8"/>
              </w:rPr>
              <w:t xml:space="preserve"> </w:t>
            </w:r>
          </w:p>
          <w:p>
            <w:pPr>
              <w:pStyle w:val="TableContents"/>
              <w:bidi w:val="0"/>
              <w:spacing w:lineRule="atLeast" w:line="190" w:before="60" w:after="0"/>
              <w:ind w:left="170" w:right="0" w:hanging="0"/>
              <w:jc w:val="left"/>
              <w:rPr/>
            </w:pPr>
            <w:r>
              <w:rPr>
                <w:spacing w:val="-1"/>
              </w:rPr>
              <w:t>Audit (Audit Committee Financial Expert)</w:t>
            </w:r>
            <w:r>
              <w:rPr/>
              <w:t xml:space="preserve"> </w:t>
            </w:r>
            <w:r>
              <mc:AlternateContent>
                <mc:Choice Requires="wps">
                  <w:drawing>
                    <wp:anchor behindDoc="0" distT="38100" distB="0" distL="0" distR="0" simplePos="0" locked="0" layoutInCell="1" allowOverlap="1" relativeHeight="455">
                      <wp:simplePos x="0" y="0"/>
                      <wp:positionH relativeFrom="column">
                        <wp:align>left</wp:align>
                      </wp:positionH>
                      <wp:positionV relativeFrom="line">
                        <wp:align>top</wp:align>
                      </wp:positionV>
                      <wp:extent cx="107950" cy="350520"/>
                      <wp:effectExtent l="0" t="0" r="0" b="0"/>
                      <wp:wrapSquare wrapText="right"/>
                      <wp:docPr id="360" name="Frame14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60" w:after="0"/>
              <w:ind w:left="170" w:right="0" w:hanging="0"/>
              <w:jc w:val="left"/>
              <w:rPr/>
            </w:pPr>
            <w:r>
              <w:rPr>
                <w:spacing w:val="-1"/>
              </w:rPr>
              <w:t>Compensation</w:t>
            </w:r>
            <w:r>
              <w:rPr/>
              <w:t xml:space="preserve"> </w:t>
            </w:r>
            <w:r>
              <mc:AlternateContent>
                <mc:Choice Requires="wps">
                  <w:drawing>
                    <wp:anchor behindDoc="0" distT="38100" distB="0" distL="0" distR="0" simplePos="0" locked="0" layoutInCell="1" allowOverlap="1" relativeHeight="456">
                      <wp:simplePos x="0" y="0"/>
                      <wp:positionH relativeFrom="column">
                        <wp:align>left</wp:align>
                      </wp:positionH>
                      <wp:positionV relativeFrom="line">
                        <wp:align>top</wp:align>
                      </wp:positionV>
                      <wp:extent cx="107950" cy="350520"/>
                      <wp:effectExtent l="0" t="0" r="0" b="0"/>
                      <wp:wrapSquare wrapText="right"/>
                      <wp:docPr id="361" name="Frame15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77" w:type="dxa"/>
            <w:tcBorders/>
            <w:vAlign w:val="center"/>
          </w:tcPr>
          <w:p>
            <w:pPr>
              <w:pStyle w:val="TableContents"/>
              <w:bidi w:val="0"/>
              <w:spacing w:lineRule="atLeast" w:line="190" w:before="0" w:after="0"/>
              <w:jc w:val="left"/>
              <w:rPr>
                <w:b/>
                <w:color w:val="71B1C8"/>
              </w:rPr>
            </w:pPr>
            <w:r>
              <w:rPr>
                <w:b/>
                <w:color w:val="71B1C8"/>
                <w:spacing w:val="-2"/>
              </w:rPr>
              <w:t>CAREER HIGHLIGHTS</w:t>
            </w:r>
            <w:r>
              <w:rPr>
                <w:b/>
                <w:color w:val="71B1C8"/>
              </w:rPr>
              <w:t xml:space="preserve"> </w:t>
            </w:r>
          </w:p>
          <w:p>
            <w:pPr>
              <w:pStyle w:val="TableContents"/>
              <w:bidi w:val="0"/>
              <w:spacing w:lineRule="atLeast" w:line="190" w:before="40" w:after="283"/>
              <w:jc w:val="left"/>
              <w:rPr/>
            </w:pPr>
            <w:r>
              <w:rPr>
                <w:spacing w:val="-1"/>
              </w:rPr>
              <w:t>Former Regional Chief Executive Officer for Latin America and Caribbean, Alcoa Inc., from 2004 to 2014. Prior to that, Mr. Feder was Vice President and Director — Corporate Development, Alcoa from 1999 to 2004 and Chief Financial Officer, Alcoa Latin America and Director — Planning from 1990 to 1999. Prior to joining Alcoa, Mr. Feder was Partner with the then Booz, Allen &amp; Hamilton management consulting organization. He served on the Board of Directors of PACCAR, Inc. from 2018 to 2024, and was the CEO and Chairman of Intercement, a leading cement producer in Brazil, Argentina, Portugal, and South Africa. He currently serves on the Boards of Directors of three Brazilian companies, Vale S.A. (publicly traded), Companhia Brasileira de Aluminio (publicly traded) and Prumo Logistica S.A., as well as on the Advisory Board of Prada, a multi-family investment company. Mr. Feder also serves on the Boards of Directors of corporate social responsibility and environmental organizations in Brazil.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14" w:type="dxa"/>
            <w:tcBorders/>
            <w:vAlign w:val="center"/>
          </w:tcPr>
          <w:p>
            <w:pPr>
              <w:pStyle w:val="TableContents"/>
              <w:bidi w:val="0"/>
              <w:spacing w:lineRule="atLeast" w:line="190" w:before="0" w:after="0"/>
              <w:jc w:val="left"/>
              <w:rPr>
                <w:b/>
                <w:color w:val="71B1C8"/>
              </w:rPr>
            </w:pPr>
            <w:r>
              <w:rPr>
                <w:b/>
                <w:color w:val="71B1C8"/>
                <w:spacing w:val="-2"/>
              </w:rPr>
              <w:t>KEY QUALIFICATIONS AND EXPERIENCE</w:t>
            </w:r>
            <w:r>
              <w:rPr>
                <w:b/>
                <w:color w:val="71B1C8"/>
              </w:rPr>
              <w:t xml:space="preserve"> </w:t>
            </w:r>
          </w:p>
          <w:p>
            <w:pPr>
              <w:pStyle w:val="TableContents"/>
              <w:bidi w:val="0"/>
              <w:spacing w:lineRule="atLeast" w:line="190" w:before="60" w:after="0"/>
              <w:ind w:left="170" w:right="0" w:hanging="0"/>
              <w:jc w:val="left"/>
              <w:rPr/>
            </w:pPr>
            <w:r>
              <w:rPr>
                <w:b/>
                <w:color w:val="002F56"/>
                <w:spacing w:val="-10"/>
              </w:rPr>
              <w:t>EXTENSIVE INTERNATIONAL EXPERIENCE.</w:t>
            </w:r>
            <w:r>
              <w:rPr>
                <w:spacing w:val="-1"/>
              </w:rPr>
              <w:t xml:space="preserve"> Experience from leadership positions with Alcoa Inc., including as Regional Chief Executive Officer for Latin America &amp; the Caribbean.</w:t>
            </w:r>
            <w:r>
              <w:rPr/>
              <w:t xml:space="preserve"> </w:t>
            </w:r>
            <w:r>
              <mc:AlternateContent>
                <mc:Choice Requires="wps">
                  <w:drawing>
                    <wp:anchor behindDoc="0" distT="38100" distB="0" distL="0" distR="0" simplePos="0" locked="0" layoutInCell="1" allowOverlap="1" relativeHeight="457">
                      <wp:simplePos x="0" y="0"/>
                      <wp:positionH relativeFrom="column">
                        <wp:align>left</wp:align>
                      </wp:positionH>
                      <wp:positionV relativeFrom="line">
                        <wp:align>top</wp:align>
                      </wp:positionV>
                      <wp:extent cx="107950" cy="350520"/>
                      <wp:effectExtent l="0" t="0" r="0" b="0"/>
                      <wp:wrapSquare wrapText="right"/>
                      <wp:docPr id="362" name="Frame15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HIGH LEVEL OF FINANCIAL LITERACY.</w:t>
            </w:r>
            <w:r>
              <w:rPr>
                <w:spacing w:val="-1"/>
              </w:rPr>
              <w:t xml:space="preserve"> Extensive financial oversight experience in senior management roles with Alcoa Inc.</w:t>
            </w:r>
            <w:r>
              <w:rPr/>
              <w:t xml:space="preserve"> </w:t>
            </w:r>
            <w:r>
              <mc:AlternateContent>
                <mc:Choice Requires="wps">
                  <w:drawing>
                    <wp:anchor behindDoc="0" distT="38100" distB="0" distL="0" distR="0" simplePos="0" locked="0" layoutInCell="1" allowOverlap="1" relativeHeight="458">
                      <wp:simplePos x="0" y="0"/>
                      <wp:positionH relativeFrom="column">
                        <wp:align>left</wp:align>
                      </wp:positionH>
                      <wp:positionV relativeFrom="line">
                        <wp:align>top</wp:align>
                      </wp:positionV>
                      <wp:extent cx="107950" cy="350520"/>
                      <wp:effectExtent l="0" t="0" r="0" b="0"/>
                      <wp:wrapSquare wrapText="right"/>
                      <wp:docPr id="363" name="Frame15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BOARD EXPERIENCE.</w:t>
            </w:r>
            <w:r>
              <w:rPr>
                <w:spacing w:val="-1"/>
              </w:rPr>
              <w:t xml:space="preserve"> Service on the Company’s Board, as well as on the boards of PACCAR, Inc., a U.S. public company, and several public and private companies in Brazil and Argentina.</w:t>
            </w:r>
            <w:r>
              <w:rPr/>
              <w:t xml:space="preserve"> </w:t>
            </w:r>
            <w:r>
              <mc:AlternateContent>
                <mc:Choice Requires="wps">
                  <w:drawing>
                    <wp:anchor behindDoc="0" distT="38100" distB="0" distL="0" distR="0" simplePos="0" locked="0" layoutInCell="1" allowOverlap="1" relativeHeight="459">
                      <wp:simplePos x="0" y="0"/>
                      <wp:positionH relativeFrom="column">
                        <wp:align>left</wp:align>
                      </wp:positionH>
                      <wp:positionV relativeFrom="line">
                        <wp:align>top</wp:align>
                      </wp:positionV>
                      <wp:extent cx="107950" cy="350520"/>
                      <wp:effectExtent l="0" t="0" r="0" b="0"/>
                      <wp:wrapSquare wrapText="right"/>
                      <wp:docPr id="364" name="Frame15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60" w:after="0"/>
              <w:ind w:left="170" w:right="0" w:hanging="0"/>
              <w:jc w:val="left"/>
              <w:rPr/>
            </w:pPr>
            <w:r>
              <w:rPr>
                <w:b/>
                <w:color w:val="002F56"/>
                <w:spacing w:val="-10"/>
              </w:rPr>
              <w:t>INDUSTRY AND TECHNOLOGY EXPERIENCE.</w:t>
            </w:r>
            <w:r>
              <w:rPr>
                <w:spacing w:val="-1"/>
              </w:rPr>
              <w:t xml:space="preserve"> Extensive experience in the manufacturing field with Alcoa Inc.</w:t>
            </w:r>
            <w:r>
              <w:rPr/>
              <w:t xml:space="preserve"> </w:t>
            </w:r>
            <w:r>
              <mc:AlternateContent>
                <mc:Choice Requires="wps">
                  <w:drawing>
                    <wp:anchor behindDoc="0" distT="38100" distB="0" distL="0" distR="0" simplePos="0" locked="0" layoutInCell="1" allowOverlap="1" relativeHeight="460">
                      <wp:simplePos x="0" y="0"/>
                      <wp:positionH relativeFrom="column">
                        <wp:align>left</wp:align>
                      </wp:positionH>
                      <wp:positionV relativeFrom="line">
                        <wp:align>top</wp:align>
                      </wp:positionV>
                      <wp:extent cx="107950" cy="350520"/>
                      <wp:effectExtent l="0" t="0" r="0" b="0"/>
                      <wp:wrapSquare wrapText="right"/>
                      <wp:docPr id="365" name="Frame15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15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GTB"/>
      <w:bookmarkEnd w:id="17"/>
      <w:r>
        <w:rPr>
          <w:rFonts w:ascii="calibri;arial;sans-serif" w:hAnsi="calibri;arial;sans-serif"/>
          <w:b w:val="false"/>
          <w:i w:val="false"/>
          <w:caps w:val="false"/>
          <w:smallCaps w:val="false"/>
          <w:color w:val="000000"/>
          <w:sz w:val="16"/>
        </w:rPr>
        <w:t>​</w:t>
      </w:r>
      <w:bookmarkStart w:id="18" w:name="tOBO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CORPORATE GOVERNANCE</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210" w:before="2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of Directors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7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oversees the activities of our management in the handling of the business and affairs of our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795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36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reviews and approves fundamental financial and business strategies,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36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assesses major risks facing the Company,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36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assures that the long-term interests of shareholders are being served.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36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part of the Board’s oversight responsibility, it monitors developments in the area of corporate governance. The Board has adopted a number of policies with respect to our corporate governance, including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8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set of guidelines setting forth the operation of our Board and related governance matters, entitled “</w:t>
      </w:r>
      <w:r>
        <w:rPr>
          <w:rFonts w:ascii="Arial;Helvetica;sans-serif" w:hAnsi="Arial;Helvetica;sans-serif"/>
          <w:b w:val="false"/>
          <w:i/>
          <w:caps w:val="false"/>
          <w:smallCaps w:val="false"/>
          <w:color w:val="000000"/>
          <w:sz w:val="18"/>
        </w:rPr>
        <w:t>Corporate Governance Guidelines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37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code of ethics for the Company’s Chief Executive Officer, Chief Financial Officer, and Chief Accounting Officer, entitled “</w:t>
      </w:r>
      <w:r>
        <w:rPr>
          <w:rFonts w:ascii="Arial;Helvetica;sans-serif" w:hAnsi="Arial;Helvetica;sans-serif"/>
          <w:b w:val="false"/>
          <w:i/>
          <w:caps w:val="false"/>
          <w:smallCaps w:val="false"/>
          <w:color w:val="000000"/>
          <w:sz w:val="18"/>
        </w:rPr>
        <w:t>Code of Ethics for Senior Financial Officers</w:t>
      </w:r>
      <w:r>
        <w:rPr>
          <w:rFonts w:ascii="Arial;Helvetica;sans-serif" w:hAnsi="Arial;Helvetica;sans-serif"/>
          <w:b w:val="false"/>
          <w:i w:val="false"/>
          <w:caps w:val="false"/>
          <w:smallCaps w:val="false"/>
          <w:color w:val="000000"/>
          <w:spacing w:val="-1"/>
          <w:sz w:val="18"/>
        </w:rPr>
        <w: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6">
                <wp:simplePos x="0" y="0"/>
                <wp:positionH relativeFrom="column">
                  <wp:align>left</wp:align>
                </wp:positionH>
                <wp:positionV relativeFrom="line">
                  <wp:align>top</wp:align>
                </wp:positionV>
                <wp:extent cx="254000" cy="350520"/>
                <wp:effectExtent l="0" t="0" r="0" b="0"/>
                <wp:wrapSquare wrapText="right"/>
                <wp:docPr id="37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code of business conduct and ethics for directors, officers, and employees of the Company entitled “</w:t>
      </w:r>
      <w:r>
        <w:rPr>
          <w:rFonts w:ascii="Arial;Helvetica;sans-serif" w:hAnsi="Arial;Helvetica;sans-serif"/>
          <w:b w:val="false"/>
          <w:i/>
          <w:caps w:val="false"/>
          <w:smallCaps w:val="false"/>
          <w:color w:val="000000"/>
          <w:sz w:val="18"/>
        </w:rPr>
        <w:t>Summary of Policies on Business Conduct</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7">
                <wp:simplePos x="0" y="0"/>
                <wp:positionH relativeFrom="column">
                  <wp:align>left</wp:align>
                </wp:positionH>
                <wp:positionV relativeFrom="line">
                  <wp:align>top</wp:align>
                </wp:positionV>
                <wp:extent cx="254000" cy="525780"/>
                <wp:effectExtent l="0" t="0" r="0" b="0"/>
                <wp:wrapSquare wrapText="right"/>
                <wp:docPr id="372" name="Frame1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0" w:before="0" w:after="283"/>
                              <w:jc w:val="left"/>
                              <w:rPr/>
                            </w:pPr>
                            <w:r>
                              <w:rPr>
                                <w:spacing w:val="-1"/>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annually reviews and amends, as appropriate, our governance policies and procedures.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Corporate Governance Guidelines, the Code of Ethics for Senior Financial Officers, and the Summary of Policies on Business Conduct are posted on our website and are available in print at no charge to any shareholder who requests them in writing, at the following locations: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653"/>
        <w:gridCol w:w="109"/>
        <w:gridCol w:w="109"/>
        <w:gridCol w:w="109"/>
        <w:gridCol w:w="3448"/>
        <w:gridCol w:w="109"/>
        <w:gridCol w:w="109"/>
        <w:gridCol w:w="788"/>
        <w:gridCol w:w="109"/>
        <w:gridCol w:w="109"/>
        <w:gridCol w:w="109"/>
        <w:gridCol w:w="3143"/>
        <w:gridCol w:w="157"/>
      </w:tblGrid>
      <w:tr>
        <w:trPr/>
        <w:tc>
          <w:tcPr>
            <w:tcW w:w="124" w:type="dxa"/>
            <w:tcBorders/>
            <w:vAlign w:val="center"/>
          </w:tcPr>
          <w:p>
            <w:pPr>
              <w:pStyle w:val="TableContents"/>
              <w:bidi w:val="0"/>
              <w:spacing w:before="0" w:after="283"/>
              <w:jc w:val="left"/>
              <w:rPr/>
            </w:pPr>
            <w:r>
              <w:rPr/>
              <w:t>​</w:t>
            </w:r>
          </w:p>
        </w:tc>
        <w:tc>
          <w:tcPr>
            <w:tcW w:w="653"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23850" cy="323850"/>
                  <wp:effectExtent l="0" t="0" r="0" b="0"/>
                  <wp:docPr id="37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02" descr=""/>
                          <pic:cNvPicPr>
                            <a:picLocks noChangeAspect="1" noChangeArrowheads="1"/>
                          </pic:cNvPicPr>
                        </pic:nvPicPr>
                        <pic:blipFill>
                          <a:blip r:embed="rId213"/>
                          <a:stretch>
                            <a:fillRect/>
                          </a:stretch>
                        </pic:blipFill>
                        <pic:spPr bwMode="auto">
                          <a:xfrm>
                            <a:off x="0" y="0"/>
                            <a:ext cx="323850" cy="3238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48" w:type="dxa"/>
            <w:tcBorders/>
            <w:tcMar>
              <w:top w:w="28" w:type="dxa"/>
              <w:left w:w="28" w:type="dxa"/>
              <w:bottom w:w="28" w:type="dxa"/>
              <w:right w:w="28" w:type="dxa"/>
            </w:tcMar>
            <w:vAlign w:val="center"/>
          </w:tcPr>
          <w:p>
            <w:pPr>
              <w:pStyle w:val="TableContents"/>
              <w:bidi w:val="0"/>
              <w:spacing w:lineRule="atLeast" w:line="200" w:before="0" w:after="0"/>
              <w:jc w:val="left"/>
              <w:rPr>
                <w:spacing w:val="-1"/>
              </w:rPr>
            </w:pPr>
            <w:r>
              <w:rPr>
                <w:spacing w:val="-1"/>
              </w:rPr>
              <w:t xml:space="preserve">Minerals Technologies Inc. </w:t>
              <w:br/>
              <w:t xml:space="preserve">Attention: Secretary </w:t>
              <w:br/>
              <w:t xml:space="preserve">622 Third Avenue, 38th Floor </w:t>
              <w:br/>
              <w:t xml:space="preserve">New York, New York 10017-6707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8"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409575" cy="247650"/>
                  <wp:effectExtent l="0" t="0" r="0" b="0"/>
                  <wp:docPr id="37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03" descr=""/>
                          <pic:cNvPicPr>
                            <a:picLocks noChangeAspect="1" noChangeArrowheads="1"/>
                          </pic:cNvPicPr>
                        </pic:nvPicPr>
                        <pic:blipFill>
                          <a:blip r:embed="rId214"/>
                          <a:stretch>
                            <a:fillRect/>
                          </a:stretch>
                        </pic:blipFill>
                        <pic:spPr bwMode="auto">
                          <a:xfrm>
                            <a:off x="0" y="0"/>
                            <a:ext cx="409575" cy="2476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3" w:type="dxa"/>
            <w:tcBorders/>
            <w:tcMar>
              <w:top w:w="28" w:type="dxa"/>
              <w:left w:w="28" w:type="dxa"/>
              <w:bottom w:w="28" w:type="dxa"/>
              <w:right w:w="28" w:type="dxa"/>
            </w:tcMar>
            <w:vAlign w:val="center"/>
          </w:tcPr>
          <w:p>
            <w:pPr>
              <w:pStyle w:val="TableContents"/>
              <w:bidi w:val="0"/>
              <w:spacing w:lineRule="atLeast" w:line="200" w:before="0" w:after="0"/>
              <w:jc w:val="left"/>
              <w:rPr>
                <w:color w:val="002F56"/>
              </w:rPr>
            </w:pPr>
            <w:r>
              <w:rPr>
                <w:color w:val="002F56"/>
                <w:spacing w:val="-1"/>
              </w:rPr>
              <w:t>www.mineralstech.com/policies</w:t>
            </w:r>
            <w:r>
              <w:rPr>
                <w:color w:val="002F56"/>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OUR BOARD OF DIRECTORS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is elected by our shareholders to oversee our business and affairs. The Board advises and counsels management regarding the long-term interests of the Company, our shareholders, and other stakeholders regarding a broad range of subjects. The Board and its Committees also perform a number of specific functions, such as: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2215"/>
        <w:gridCol w:w="109"/>
        <w:gridCol w:w="109"/>
        <w:gridCol w:w="3519"/>
        <w:gridCol w:w="109"/>
        <w:gridCol w:w="109"/>
        <w:gridCol w:w="2735"/>
        <w:gridCol w:w="156"/>
      </w:tblGrid>
      <w:tr>
        <w:trPr/>
        <w:tc>
          <w:tcPr>
            <w:tcW w:w="124" w:type="dxa"/>
            <w:tcBorders/>
            <w:shd w:fill="002F56" w:val="clear"/>
            <w:vAlign w:val="center"/>
          </w:tcPr>
          <w:p>
            <w:pPr>
              <w:pStyle w:val="TableContents"/>
              <w:bidi w:val="0"/>
              <w:spacing w:before="0" w:after="283"/>
              <w:jc w:val="left"/>
              <w:rPr/>
            </w:pPr>
            <w:r>
              <w:rPr/>
              <w:t>​</w:t>
            </w:r>
          </w:p>
        </w:tc>
        <w:tc>
          <w:tcPr>
            <w:tcW w:w="2215" w:type="dxa"/>
            <w:tcBorders/>
            <w:shd w:fill="002F56" w:val="clear"/>
            <w:vAlign w:val="center"/>
          </w:tcPr>
          <w:p>
            <w:pPr>
              <w:pStyle w:val="TableContents"/>
              <w:bidi w:val="0"/>
              <w:spacing w:before="0" w:after="0"/>
              <w:jc w:val="left"/>
              <w:rPr/>
            </w:pPr>
            <w:r>
              <w:rPr/>
              <w:drawing>
                <wp:inline distT="0" distB="0" distL="0" distR="0">
                  <wp:extent cx="409575" cy="409575"/>
                  <wp:effectExtent l="0" t="0" r="0" b="0"/>
                  <wp:docPr id="375"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04" descr=""/>
                          <pic:cNvPicPr>
                            <a:picLocks noChangeAspect="1" noChangeArrowheads="1"/>
                          </pic:cNvPicPr>
                        </pic:nvPicPr>
                        <pic:blipFill>
                          <a:blip r:embed="rId215"/>
                          <a:stretch>
                            <a:fillRect/>
                          </a:stretch>
                        </pic:blipFill>
                        <pic:spPr bwMode="auto">
                          <a:xfrm>
                            <a:off x="0" y="0"/>
                            <a:ext cx="409575" cy="409575"/>
                          </a:xfrm>
                          <a:prstGeom prst="rect">
                            <a:avLst/>
                          </a:prstGeom>
                        </pic:spPr>
                      </pic:pic>
                    </a:graphicData>
                  </a:graphic>
                </wp:inline>
              </w:drawing>
            </w:r>
            <w:r>
              <w:rPr/>
              <w:t xml:space="preserve"> </w:t>
            </w:r>
          </w:p>
          <w:p>
            <w:pPr>
              <w:pStyle w:val="TableContents"/>
              <w:bidi w:val="0"/>
              <w:spacing w:lineRule="atLeast" w:line="250" w:before="246" w:after="283"/>
              <w:jc w:val="left"/>
              <w:rPr>
                <w:b/>
                <w:color w:val="71B1C8"/>
                <w:sz w:val="21"/>
              </w:rPr>
            </w:pPr>
            <w:r>
              <w:rPr>
                <w:b/>
                <w:color w:val="71B1C8"/>
                <w:spacing w:val="-13"/>
                <w:sz w:val="21"/>
              </w:rPr>
              <w:t>BOARD OF DIRECTOR AND COMMITTEEE RESPONSIBILITIES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19" w:type="dxa"/>
            <w:tcBorders/>
            <w:vAlign w:val="center"/>
          </w:tcPr>
          <w:p>
            <w:pPr>
              <w:pStyle w:val="TableContents"/>
              <w:bidi w:val="0"/>
              <w:spacing w:lineRule="atLeast" w:line="220" w:before="0" w:after="0"/>
              <w:ind w:left="180" w:right="0" w:hanging="0"/>
              <w:jc w:val="left"/>
              <w:rPr/>
            </w:pPr>
            <w:r>
              <w:rPr>
                <w:spacing w:val="-1"/>
              </w:rPr>
              <w:t>Selecting, evaluating performance of, and compensating the Chief Executive Officer, overseeing Chief Executive Officer succession planning, and providing counsel and oversight on the selection, evaluation, development, and compensation of senior management;</w:t>
            </w:r>
            <w:r>
              <w:rPr/>
              <w:t xml:space="preserve"> </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114300" cy="350520"/>
                      <wp:effectExtent l="0" t="0" r="0" b="0"/>
                      <wp:wrapSquare wrapText="right"/>
                      <wp:docPr id="376" name="Frame1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Reviewing, approving, and monitoring fundamental financial and business strategies, including: </w:t>
            </w:r>
            <w:r>
              <mc:AlternateContent>
                <mc:Choice Requires="wps">
                  <w:drawing>
                    <wp:anchor behindDoc="0" distT="50800" distB="0" distL="0" distR="0" simplePos="0" locked="0" layoutInCell="1" allowOverlap="1" relativeHeight="469">
                      <wp:simplePos x="0" y="0"/>
                      <wp:positionH relativeFrom="column">
                        <wp:align>left</wp:align>
                      </wp:positionH>
                      <wp:positionV relativeFrom="line">
                        <wp:align>top</wp:align>
                      </wp:positionV>
                      <wp:extent cx="114300" cy="350520"/>
                      <wp:effectExtent l="0" t="0" r="0" b="0"/>
                      <wp:wrapSquare wrapText="right"/>
                      <wp:docPr id="377" name="Frame1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1"/>
              </w:rPr>
            </w:pPr>
            <w:r>
              <w:rPr>
                <w:spacing w:val="-1"/>
              </w:rPr>
              <w:t xml:space="preserve">our annual plan and longer-term strategic plans, </w:t>
            </w:r>
            <w:r>
              <mc:AlternateContent>
                <mc:Choice Requires="wps">
                  <w:drawing>
                    <wp:anchor behindDoc="0" distT="50800" distB="0" distL="114300" distR="0" simplePos="0" locked="0" layoutInCell="1" allowOverlap="1" relativeHeight="470">
                      <wp:simplePos x="0" y="0"/>
                      <wp:positionH relativeFrom="column">
                        <wp:align>left</wp:align>
                      </wp:positionH>
                      <wp:positionV relativeFrom="line">
                        <wp:align>top</wp:align>
                      </wp:positionV>
                      <wp:extent cx="114300" cy="350520"/>
                      <wp:effectExtent l="0" t="0" r="0" b="0"/>
                      <wp:wrapSquare wrapText="right"/>
                      <wp:docPr id="378" name="Frame1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1"/>
              </w:rPr>
            </w:pPr>
            <w:r>
              <w:rPr>
                <w:spacing w:val="-1"/>
              </w:rPr>
              <w:t xml:space="preserve">significant capital expenditures and uses of the Company’s funds, and </w:t>
            </w:r>
            <w:r>
              <mc:AlternateContent>
                <mc:Choice Requires="wps">
                  <w:drawing>
                    <wp:anchor behindDoc="0" distT="50800" distB="0" distL="114300" distR="0" simplePos="0" locked="0" layoutInCell="1" allowOverlap="1" relativeHeight="471">
                      <wp:simplePos x="0" y="0"/>
                      <wp:positionH relativeFrom="column">
                        <wp:align>left</wp:align>
                      </wp:positionH>
                      <wp:positionV relativeFrom="line">
                        <wp:align>top</wp:align>
                      </wp:positionV>
                      <wp:extent cx="114300" cy="350520"/>
                      <wp:effectExtent l="0" t="0" r="0" b="0"/>
                      <wp:wrapSquare wrapText="right"/>
                      <wp:docPr id="379" name="Frame1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1"/>
              </w:rPr>
              <w:t>other major corporate actions;</w:t>
            </w:r>
            <w:r>
              <w:rPr/>
              <w:t xml:space="preserve"> </w:t>
            </w:r>
            <w:r>
              <mc:AlternateContent>
                <mc:Choice Requires="wps">
                  <w:drawing>
                    <wp:anchor behindDoc="0" distT="50800" distB="0" distL="114300" distR="0" simplePos="0" locked="0" layoutInCell="1" allowOverlap="1" relativeHeight="472">
                      <wp:simplePos x="0" y="0"/>
                      <wp:positionH relativeFrom="column">
                        <wp:align>left</wp:align>
                      </wp:positionH>
                      <wp:positionV relativeFrom="line">
                        <wp:align>top</wp:align>
                      </wp:positionV>
                      <wp:extent cx="114300" cy="350520"/>
                      <wp:effectExtent l="0" t="0" r="0" b="0"/>
                      <wp:wrapSquare wrapText="right"/>
                      <wp:docPr id="380" name="Frame1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Ensuring processes are in place for maintaining:</w:t>
            </w:r>
            <w:r>
              <w:rPr/>
              <w:t xml:space="preserve"> </w:t>
            </w:r>
            <w:r>
              <mc:AlternateContent>
                <mc:Choice Requires="wps">
                  <w:drawing>
                    <wp:anchor behindDoc="0" distT="50800" distB="0" distL="0" distR="0" simplePos="0" locked="0" layoutInCell="1" allowOverlap="1" relativeHeight="473">
                      <wp:simplePos x="0" y="0"/>
                      <wp:positionH relativeFrom="column">
                        <wp:align>left</wp:align>
                      </wp:positionH>
                      <wp:positionV relativeFrom="line">
                        <wp:align>top</wp:align>
                      </wp:positionV>
                      <wp:extent cx="114300" cy="350520"/>
                      <wp:effectExtent l="0" t="0" r="0" b="0"/>
                      <wp:wrapSquare wrapText="right"/>
                      <wp:docPr id="381" name="Frame1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spacing w:val="-1"/>
              </w:rPr>
            </w:pPr>
            <w:r>
              <w:rPr>
                <w:spacing w:val="-1"/>
              </w:rPr>
              <w:t xml:space="preserve">the integrity of the Company, </w:t>
            </w:r>
            <w:r>
              <mc:AlternateContent>
                <mc:Choice Requires="wps">
                  <w:drawing>
                    <wp:anchor behindDoc="0" distT="50800" distB="0" distL="114300" distR="0" simplePos="0" locked="0" layoutInCell="1" allowOverlap="1" relativeHeight="474">
                      <wp:simplePos x="0" y="0"/>
                      <wp:positionH relativeFrom="column">
                        <wp:align>left</wp:align>
                      </wp:positionH>
                      <wp:positionV relativeFrom="line">
                        <wp:align>top</wp:align>
                      </wp:positionV>
                      <wp:extent cx="114300" cy="350520"/>
                      <wp:effectExtent l="0" t="0" r="0" b="0"/>
                      <wp:wrapSquare wrapText="right"/>
                      <wp:docPr id="382" name="Frame1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spacing w:val="-1"/>
              </w:rPr>
            </w:pPr>
            <w:r>
              <w:rPr>
                <w:spacing w:val="-1"/>
              </w:rPr>
              <w:t xml:space="preserve">the integrity of its financial statements, </w:t>
            </w:r>
            <w:r>
              <mc:AlternateContent>
                <mc:Choice Requires="wps">
                  <w:drawing>
                    <wp:anchor behindDoc="0" distT="50800" distB="0" distL="114300" distR="0" simplePos="0" locked="0" layoutInCell="1" allowOverlap="1" relativeHeight="475">
                      <wp:simplePos x="0" y="0"/>
                      <wp:positionH relativeFrom="column">
                        <wp:align>left</wp:align>
                      </wp:positionH>
                      <wp:positionV relativeFrom="line">
                        <wp:align>top</wp:align>
                      </wp:positionV>
                      <wp:extent cx="114300" cy="350520"/>
                      <wp:effectExtent l="0" t="0" r="0" b="0"/>
                      <wp:wrapSquare wrapText="right"/>
                      <wp:docPr id="383" name="Frame1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1"/>
              </w:rPr>
            </w:pPr>
            <w:r>
              <w:rPr>
                <w:spacing w:val="-1"/>
              </w:rPr>
              <w:t xml:space="preserve">the integrity of its compliance with laws, rules, regulations, and ethics, </w:t>
            </w:r>
            <w:r>
              <mc:AlternateContent>
                <mc:Choice Requires="wps">
                  <w:drawing>
                    <wp:anchor behindDoc="0" distT="50800" distB="0" distL="114300" distR="0" simplePos="0" locked="0" layoutInCell="1" allowOverlap="1" relativeHeight="476">
                      <wp:simplePos x="0" y="0"/>
                      <wp:positionH relativeFrom="column">
                        <wp:align>left</wp:align>
                      </wp:positionH>
                      <wp:positionV relativeFrom="line">
                        <wp:align>top</wp:align>
                      </wp:positionV>
                      <wp:extent cx="114300" cy="350520"/>
                      <wp:effectExtent l="0" t="0" r="0" b="0"/>
                      <wp:wrapSquare wrapText="right"/>
                      <wp:docPr id="384" name="Frame1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lineRule="atLeast" w:line="220" w:before="0" w:after="0"/>
              <w:ind w:left="360" w:right="0" w:hanging="0"/>
              <w:jc w:val="left"/>
              <w:rPr>
                <w:spacing w:val="-1"/>
              </w:rPr>
            </w:pPr>
            <w:r>
              <w:rPr>
                <w:spacing w:val="-1"/>
              </w:rPr>
              <w:t xml:space="preserve">the integrity of its relationships with customers and suppliers, and </w:t>
            </w:r>
            <w:r>
              <mc:AlternateContent>
                <mc:Choice Requires="wps">
                  <w:drawing>
                    <wp:anchor behindDoc="0" distT="0" distB="0" distL="114300" distR="0" simplePos="0" locked="0" layoutInCell="1" allowOverlap="1" relativeHeight="477">
                      <wp:simplePos x="0" y="0"/>
                      <wp:positionH relativeFrom="column">
                        <wp:align>left</wp:align>
                      </wp:positionH>
                      <wp:positionV relativeFrom="line">
                        <wp:posOffset>635</wp:posOffset>
                      </wp:positionV>
                      <wp:extent cx="114300" cy="350520"/>
                      <wp:effectExtent l="0" t="0" r="0" b="0"/>
                      <wp:wrapSquare wrapText="right"/>
                      <wp:docPr id="385" name="Frame1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1"/>
              </w:rPr>
              <w:t>the integrity of its relationships with other stakeholders;</w:t>
            </w:r>
            <w:r>
              <w:rPr/>
              <w:t xml:space="preserve"> </w:t>
            </w:r>
            <w:r>
              <mc:AlternateContent>
                <mc:Choice Requires="wps">
                  <w:drawing>
                    <wp:anchor behindDoc="0" distT="50800" distB="0" distL="114300" distR="0" simplePos="0" locked="0" layoutInCell="1" allowOverlap="1" relativeHeight="478">
                      <wp:simplePos x="0" y="0"/>
                      <wp:positionH relativeFrom="column">
                        <wp:align>left</wp:align>
                      </wp:positionH>
                      <wp:positionV relativeFrom="line">
                        <wp:align>top</wp:align>
                      </wp:positionV>
                      <wp:extent cx="114300" cy="350520"/>
                      <wp:effectExtent l="0" t="0" r="0" b="0"/>
                      <wp:wrapSquare wrapText="right"/>
                      <wp:docPr id="386" name="Frame1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Assessing major risks facing the Company and reviewing options for their management and mitigation;</w:t>
            </w:r>
            <w:r>
              <w:rPr/>
              <w:t xml:space="preserve"> </w:t>
            </w:r>
            <w:r>
              <mc:AlternateContent>
                <mc:Choice Requires="wps">
                  <w:drawing>
                    <wp:anchor behindDoc="0" distT="50800" distB="0" distL="0" distR="0" simplePos="0" locked="0" layoutInCell="1" allowOverlap="1" relativeHeight="479">
                      <wp:simplePos x="0" y="0"/>
                      <wp:positionH relativeFrom="column">
                        <wp:align>left</wp:align>
                      </wp:positionH>
                      <wp:positionV relativeFrom="line">
                        <wp:align>top</wp:align>
                      </wp:positionV>
                      <wp:extent cx="114300" cy="350520"/>
                      <wp:effectExtent l="0" t="0" r="0" b="0"/>
                      <wp:wrapSquare wrapText="right"/>
                      <wp:docPr id="387" name="Frame1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spacing w:val="-1"/>
              </w:rPr>
            </w:pPr>
            <w:r>
              <w:rPr>
                <w:spacing w:val="-1"/>
              </w:rPr>
              <w:t xml:space="preserve">Regularly reviewing the Company’s: </w:t>
            </w:r>
            <w:r>
              <mc:AlternateContent>
                <mc:Choice Requires="wps">
                  <w:drawing>
                    <wp:anchor behindDoc="0" distT="50800" distB="0" distL="0" distR="0" simplePos="0" locked="0" layoutInCell="1" allowOverlap="1" relativeHeight="480">
                      <wp:simplePos x="0" y="0"/>
                      <wp:positionH relativeFrom="column">
                        <wp:align>left</wp:align>
                      </wp:positionH>
                      <wp:positionV relativeFrom="line">
                        <wp:align>top</wp:align>
                      </wp:positionV>
                      <wp:extent cx="114300" cy="350520"/>
                      <wp:effectExtent l="0" t="0" r="0" b="0"/>
                      <wp:wrapSquare wrapText="right"/>
                      <wp:docPr id="388" name="Frame1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spacing w:val="-1"/>
              </w:rPr>
            </w:pPr>
            <w:r>
              <w:rPr>
                <w:spacing w:val="-1"/>
              </w:rPr>
              <w:t xml:space="preserve">safety culture and performance, </w:t>
            </w:r>
            <w:r>
              <mc:AlternateContent>
                <mc:Choice Requires="wps">
                  <w:drawing>
                    <wp:anchor behindDoc="0" distT="50800" distB="0" distL="114300" distR="0" simplePos="0" locked="0" layoutInCell="1" allowOverlap="1" relativeHeight="481">
                      <wp:simplePos x="0" y="0"/>
                      <wp:positionH relativeFrom="column">
                        <wp:align>left</wp:align>
                      </wp:positionH>
                      <wp:positionV relativeFrom="line">
                        <wp:align>top</wp:align>
                      </wp:positionV>
                      <wp:extent cx="114300" cy="350520"/>
                      <wp:effectExtent l="0" t="0" r="0" b="0"/>
                      <wp:wrapSquare wrapText="right"/>
                      <wp:docPr id="389" name="Frame1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spacing w:val="-1"/>
              </w:rPr>
            </w:pPr>
            <w:r>
              <w:rPr>
                <w:spacing w:val="-1"/>
              </w:rPr>
              <w:t xml:space="preserve">environmental compliance, </w:t>
            </w:r>
            <w:r>
              <mc:AlternateContent>
                <mc:Choice Requires="wps">
                  <w:drawing>
                    <wp:anchor behindDoc="0" distT="50800" distB="0" distL="114300" distR="0" simplePos="0" locked="0" layoutInCell="1" allowOverlap="1" relativeHeight="482">
                      <wp:simplePos x="0" y="0"/>
                      <wp:positionH relativeFrom="column">
                        <wp:align>left</wp:align>
                      </wp:positionH>
                      <wp:positionV relativeFrom="line">
                        <wp:align>top</wp:align>
                      </wp:positionV>
                      <wp:extent cx="114300" cy="350520"/>
                      <wp:effectExtent l="0" t="0" r="0" b="0"/>
                      <wp:wrapSquare wrapText="right"/>
                      <wp:docPr id="390" name="Frame1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1"/>
              </w:rPr>
              <w:t>sustainability practices,</w:t>
            </w:r>
            <w:r>
              <w:rPr/>
              <w:t xml:space="preserve"> </w:t>
            </w:r>
            <w:r>
              <mc:AlternateContent>
                <mc:Choice Requires="wps">
                  <w:drawing>
                    <wp:anchor behindDoc="0" distT="50800" distB="0" distL="114300" distR="0" simplePos="0" locked="0" layoutInCell="1" allowOverlap="1" relativeHeight="483">
                      <wp:simplePos x="0" y="0"/>
                      <wp:positionH relativeFrom="column">
                        <wp:align>left</wp:align>
                      </wp:positionH>
                      <wp:positionV relativeFrom="line">
                        <wp:align>top</wp:align>
                      </wp:positionV>
                      <wp:extent cx="114300" cy="350520"/>
                      <wp:effectExtent l="0" t="0" r="0" b="0"/>
                      <wp:wrapSquare wrapText="right"/>
                      <wp:docPr id="391" name="Frame1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spacing w:val="-1"/>
              </w:rPr>
            </w:pPr>
            <w:r>
              <w:rPr>
                <w:spacing w:val="-1"/>
              </w:rPr>
              <w:t xml:space="preserve">diversity and inclusion activities, and </w:t>
            </w:r>
            <w:r>
              <mc:AlternateContent>
                <mc:Choice Requires="wps">
                  <w:drawing>
                    <wp:anchor behindDoc="0" distT="50800" distB="0" distL="114300" distR="0" simplePos="0" locked="0" layoutInCell="1" allowOverlap="1" relativeHeight="484">
                      <wp:simplePos x="0" y="0"/>
                      <wp:positionH relativeFrom="column">
                        <wp:align>left</wp:align>
                      </wp:positionH>
                      <wp:positionV relativeFrom="line">
                        <wp:align>top</wp:align>
                      </wp:positionV>
                      <wp:extent cx="114300" cy="350520"/>
                      <wp:effectExtent l="0" t="0" r="0" b="0"/>
                      <wp:wrapSquare wrapText="right"/>
                      <wp:docPr id="392" name="Frame1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1"/>
              </w:rPr>
              <w:t>social and governance policies; and</w:t>
            </w:r>
            <w:r>
              <w:rPr/>
              <w:t xml:space="preserve"> </w:t>
            </w:r>
            <w:r>
              <mc:AlternateContent>
                <mc:Choice Requires="wps">
                  <w:drawing>
                    <wp:anchor behindDoc="0" distT="50800" distB="0" distL="114300" distR="0" simplePos="0" locked="0" layoutInCell="1" allowOverlap="1" relativeHeight="485">
                      <wp:simplePos x="0" y="0"/>
                      <wp:positionH relativeFrom="column">
                        <wp:align>left</wp:align>
                      </wp:positionH>
                      <wp:positionV relativeFrom="line">
                        <wp:align>top</wp:align>
                      </wp:positionV>
                      <wp:extent cx="114300" cy="350520"/>
                      <wp:effectExtent l="0" t="0" r="0" b="0"/>
                      <wp:wrapSquare wrapText="right"/>
                      <wp:docPr id="393" name="Frame1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Regularly evaluating potential strategic alternatives relating to the Company and our business, including possible acquisitions, divestitures, and business combinations.</w:t>
            </w:r>
            <w:r>
              <w:rPr/>
              <w:t xml:space="preserve"> </w:t>
            </w:r>
            <w:r>
              <mc:AlternateContent>
                <mc:Choice Requires="wps">
                  <w:drawing>
                    <wp:anchor behindDoc="0" distT="50800" distB="0" distL="0" distR="0" simplePos="0" locked="0" layoutInCell="1" allowOverlap="1" relativeHeight="486">
                      <wp:simplePos x="0" y="0"/>
                      <wp:positionH relativeFrom="column">
                        <wp:align>left</wp:align>
                      </wp:positionH>
                      <wp:positionV relativeFrom="line">
                        <wp:align>top</wp:align>
                      </wp:positionV>
                      <wp:extent cx="114300" cy="350520"/>
                      <wp:effectExtent l="0" t="0" r="0" b="0"/>
                      <wp:wrapSquare wrapText="right"/>
                      <wp:docPr id="394" name="Frame1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16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AA"/>
      <w:bookmarkEnd w:id="19"/>
      <w:r>
        <w:rPr>
          <w:rFonts w:ascii="calibri;arial;sans-serif" w:hAnsi="calibri;arial;sans-serif"/>
          <w:b w:val="false"/>
          <w:i w:val="false"/>
          <w:caps w:val="false"/>
          <w:smallCaps w:val="false"/>
          <w:color w:val="000000"/>
          <w:sz w:val="16"/>
        </w:rPr>
        <w:t>​</w:t>
      </w:r>
      <w:bookmarkStart w:id="20" w:name="tDIIN"/>
      <w:bookmarkEnd w:id="20"/>
      <w:r>
        <w:rPr>
          <w:rFonts w:ascii="calibri;arial;sans-serif" w:hAnsi="calibri;arial;sans-serif"/>
          <w:b w:val="false"/>
          <w:i w:val="false"/>
          <w:caps w:val="false"/>
          <w:smallCaps w:val="false"/>
          <w:color w:val="000000"/>
          <w:sz w:val="16"/>
        </w:rPr>
        <w:t>​</w:t>
      </w:r>
      <w:bookmarkStart w:id="21" w:name="tBLS"/>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MEETINGS AND ATTENDANCE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met five times in 2025. Each of the directors attended more than 75% of the meetings of the Board and committees on which he or she served in 2025. At each regular meeting of the Board, the independent (non-management) directors have an opportunity to meet in executive session outside the presence of Mr. Dietrich, the Company’s sole non-independent (management) director, or any other member of management. Dr. Clark, in his role as Lead Independent Director, presides at the executive sessions of the independent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our Corporate Governance Guidelines, all members of the Board are expected to attend the Annual Meeting of Shareholders. All of the members of the Board attended last year’s Annual Meeting of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 INDEPENDENCE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adopted the following categorical standards to guide it in determining whether a member of the Board can be considered “independent” for purposes of Section 303A of the Listed Company Manual of the New York Stock Exchange: a director will not be independent if, within the preceding three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4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director was employed by the Company, or an immediate family member of the director was employed by the Company, as an executive officer;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3980" distB="0" distL="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39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director or an immediate family member of the director received more than $120,000 per year in direct compensation from the Company, other than director and committee fees and pensions or other forms of direct compensation for prior service (provided such compensation is not contingent in any way on continued service);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39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director was employed by or affiliated with the Company’s independent registered public accounting firm or an immediate family member of the director was employed by or affiliated with the Company’s independent registered public accounting firm in a professional capacity;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39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director or an immediate family member was employed as an executive officer of another company where any of the Company’s present executives served on that company’s compensation committee;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39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director was an executive officer or an employee, or had an immediate family member who was an executive officer, of a company that made payments to, or received payments from, the Company for goods or services in an amount which, in any single fiscal year, exceeded the greater of $1,000,000 or 2% of the other company’s consolidated gross revenues.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39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the case of each director who qualifies as independent, the Board is aware of no relationships between the director and the Company and its senior management, other than the director’s membership on the Board of the Company and on committees of the Board. As a result of its application of the categorical standards and the absence of other relationships, the Board has affirmatively determined (with each member abstaining from consideration of his or her own independence) that none of the non-employee members of the Board violates the categorical standards or otherwise has a relationship with the Company and, therefore, each is independent. Specifically, the Board has affirmatively determined that Mr. Joseph C. Breunig, Mr. John J. Carmola, Dr. Robert L. Clark, Jr., Ms. Alison A. Deans, Mr. Franklin L. Feder, Dr. Kristina M. Johnson, Mr. Rocky Motwani, Ms. Carolyn K. Pittman, and Mr. Marc E. Robinson, comprising all of the non-employee directors, are independent.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BOARD LEADERSHIP STRUCTURE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recognizes that one of its key responsibilities is to evaluate and determine its optimal leadership structure to ensure both a highly engaged and high-functioning Board and independent oversight of senior management. The Company’s governance documents provide the Board with flexibility to select the leadership structure that is most appropriate for the Company and its shareholders at any particular time, given the dynamic and competitive environment in which we operate.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the present time, the Board believes a leadership model with a combined Chairman and CEO position and a Lead Independent Director best supports the creation of long-term, sustainable value for our shareholders. The current Chairman of the Board and Chief Executive Officer, Mr. Dietrich, possesses detailed and in-depth knowledge of the issues, opportunities, and challenges facing the Company and its businesses and is thus best positioned to ensure that the Board’s time and attention are focused on the most critical matters facing the Company. The Board also believes that Mr. Dietrich’s combined role ensures clear accountability and enhances the Company’s ability to communicate its message and strategy clearly and consistently.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Board recognizes the benefit of independent leadership with a clearly defined role and set of responsibilities to enhance the effectiveness of the Board’s oversight role. For this reason, the Board adopted a charter for the Company’s Lead Independent Director which provides that, in the event the Chairman of the Board and Chief Executive Officer positions are held by one person, the Company’s independent directors may designate a Lead Independent Director from among the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17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BSAC"/>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independent directors. The designation of the Lead Independent Director is to be made annually, although with the expectation of the Board that the Lead Independent Director will be re-appointed for multiple, consecutive one-year terms. The Charter provides the position a clear mandate, significant authority, and well-defined responsibilities, including the following:</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2163"/>
        <w:gridCol w:w="109"/>
        <w:gridCol w:w="109"/>
        <w:gridCol w:w="3299"/>
        <w:gridCol w:w="109"/>
        <w:gridCol w:w="109"/>
        <w:gridCol w:w="3008"/>
        <w:gridCol w:w="155"/>
      </w:tblGrid>
      <w:tr>
        <w:trPr/>
        <w:tc>
          <w:tcPr>
            <w:tcW w:w="124" w:type="dxa"/>
            <w:tcBorders/>
            <w:shd w:fill="002F56" w:val="clear"/>
            <w:vAlign w:val="center"/>
          </w:tcPr>
          <w:p>
            <w:pPr>
              <w:pStyle w:val="TableContents"/>
              <w:bidi w:val="0"/>
              <w:spacing w:before="0" w:after="283"/>
              <w:jc w:val="left"/>
              <w:rPr/>
            </w:pPr>
            <w:r>
              <w:rPr/>
              <w:t>​</w:t>
            </w:r>
          </w:p>
        </w:tc>
        <w:tc>
          <w:tcPr>
            <w:tcW w:w="2163" w:type="dxa"/>
            <w:tcBorders/>
            <w:shd w:fill="002F56" w:val="clear"/>
            <w:vAlign w:val="center"/>
          </w:tcPr>
          <w:p>
            <w:pPr>
              <w:pStyle w:val="TableContents"/>
              <w:bidi w:val="0"/>
              <w:spacing w:before="0" w:after="0"/>
              <w:jc w:val="left"/>
              <w:rPr/>
            </w:pPr>
            <w:r>
              <w:rPr/>
              <w:drawing>
                <wp:inline distT="0" distB="0" distL="0" distR="0">
                  <wp:extent cx="409575" cy="409575"/>
                  <wp:effectExtent l="0" t="0" r="0" b="0"/>
                  <wp:docPr id="40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05" descr=""/>
                          <pic:cNvPicPr>
                            <a:picLocks noChangeAspect="1" noChangeArrowheads="1"/>
                          </pic:cNvPicPr>
                        </pic:nvPicPr>
                        <pic:blipFill>
                          <a:blip r:embed="rId216"/>
                          <a:stretch>
                            <a:fillRect/>
                          </a:stretch>
                        </pic:blipFill>
                        <pic:spPr bwMode="auto">
                          <a:xfrm>
                            <a:off x="0" y="0"/>
                            <a:ext cx="409575" cy="409575"/>
                          </a:xfrm>
                          <a:prstGeom prst="rect">
                            <a:avLst/>
                          </a:prstGeom>
                        </pic:spPr>
                      </pic:pic>
                    </a:graphicData>
                  </a:graphic>
                </wp:inline>
              </w:drawing>
            </w:r>
            <w:r>
              <w:rPr/>
              <w:t xml:space="preserve"> </w:t>
            </w:r>
          </w:p>
          <w:p>
            <w:pPr>
              <w:pStyle w:val="TableContents"/>
              <w:bidi w:val="0"/>
              <w:spacing w:lineRule="atLeast" w:line="250" w:before="246" w:after="283"/>
              <w:jc w:val="left"/>
              <w:rPr>
                <w:b/>
                <w:color w:val="71B1C8"/>
                <w:sz w:val="21"/>
              </w:rPr>
            </w:pPr>
            <w:r>
              <w:rPr>
                <w:b/>
                <w:color w:val="71B1C8"/>
                <w:spacing w:val="-13"/>
                <w:sz w:val="21"/>
              </w:rPr>
              <w:t>LEAD INDEPENDENT DIRECTOR’S RESPONSIBILITIES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9" w:type="dxa"/>
            <w:tcBorders/>
            <w:vAlign w:val="center"/>
          </w:tcPr>
          <w:p>
            <w:pPr>
              <w:pStyle w:val="TableContents"/>
              <w:bidi w:val="0"/>
              <w:spacing w:lineRule="atLeast" w:line="220" w:before="0" w:after="0"/>
              <w:ind w:left="180" w:right="0" w:hanging="0"/>
              <w:jc w:val="left"/>
              <w:rPr/>
            </w:pPr>
            <w:r>
              <w:rPr>
                <w:spacing w:val="-1"/>
              </w:rPr>
              <w:t>Lead Board meetings when the Chairman is not present;</w:t>
            </w:r>
            <w:r>
              <w:rPr/>
              <w:t xml:space="preserve"> </w:t>
            </w:r>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114300" cy="350520"/>
                      <wp:effectExtent l="0" t="0" r="0" b="0"/>
                      <wp:wrapSquare wrapText="right"/>
                      <wp:docPr id="401" name="Frame1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Lead executive sessions of the independent directors;</w:t>
            </w:r>
            <w:r>
              <w:rPr/>
              <w:t xml:space="preserve"> </w:t>
            </w:r>
            <w:r>
              <mc:AlternateContent>
                <mc:Choice Requires="wps">
                  <w:drawing>
                    <wp:anchor behindDoc="0" distT="50800" distB="0" distL="0" distR="0" simplePos="0" locked="0" layoutInCell="1" allowOverlap="1" relativeHeight="493">
                      <wp:simplePos x="0" y="0"/>
                      <wp:positionH relativeFrom="column">
                        <wp:align>left</wp:align>
                      </wp:positionH>
                      <wp:positionV relativeFrom="line">
                        <wp:align>top</wp:align>
                      </wp:positionV>
                      <wp:extent cx="114300" cy="350520"/>
                      <wp:effectExtent l="0" t="0" r="0" b="0"/>
                      <wp:wrapSquare wrapText="right"/>
                      <wp:docPr id="402" name="Frame1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Serve as an ex-officio member of each Committee and regularly attend meetings of the various Committees;</w:t>
            </w:r>
            <w:r>
              <w:rPr/>
              <w:t xml:space="preserve"> </w:t>
            </w:r>
            <w:r>
              <mc:AlternateContent>
                <mc:Choice Requires="wps">
                  <w:drawing>
                    <wp:anchor behindDoc="0" distT="50800" distB="0" distL="0" distR="0" simplePos="0" locked="0" layoutInCell="1" allowOverlap="1" relativeHeight="494">
                      <wp:simplePos x="0" y="0"/>
                      <wp:positionH relativeFrom="column">
                        <wp:align>left</wp:align>
                      </wp:positionH>
                      <wp:positionV relativeFrom="line">
                        <wp:align>top</wp:align>
                      </wp:positionV>
                      <wp:extent cx="114300" cy="350520"/>
                      <wp:effectExtent l="0" t="0" r="0" b="0"/>
                      <wp:wrapSquare wrapText="right"/>
                      <wp:docPr id="403" name="Frame1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Call meetings of the independent directors;</w:t>
            </w:r>
            <w:r>
              <w:rPr/>
              <w:t xml:space="preserve"> </w:t>
            </w:r>
            <w:r>
              <mc:AlternateContent>
                <mc:Choice Requires="wps">
                  <w:drawing>
                    <wp:anchor behindDoc="0" distT="50800" distB="0" distL="0" distR="0" simplePos="0" locked="0" layoutInCell="1" allowOverlap="1" relativeHeight="495">
                      <wp:simplePos x="0" y="0"/>
                      <wp:positionH relativeFrom="column">
                        <wp:align>left</wp:align>
                      </wp:positionH>
                      <wp:positionV relativeFrom="line">
                        <wp:align>top</wp:align>
                      </wp:positionV>
                      <wp:extent cx="114300" cy="350520"/>
                      <wp:effectExtent l="0" t="0" r="0" b="0"/>
                      <wp:wrapSquare wrapText="right"/>
                      <wp:docPr id="404" name="Frame1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Convene the Board to discuss and determine the appropriate succession plan for the Chairman and CEO in the event the Chairman and CEO is unable to perform his regular duties due to illness, death, or incapacitating event;</w:t>
            </w:r>
            <w:r>
              <w:rPr/>
              <w:t xml:space="preserve"> </w:t>
            </w:r>
            <w:r>
              <mc:AlternateContent>
                <mc:Choice Requires="wps">
                  <w:drawing>
                    <wp:anchor behindDoc="0" distT="50800" distB="0" distL="0" distR="0" simplePos="0" locked="0" layoutInCell="1" allowOverlap="1" relativeHeight="496">
                      <wp:simplePos x="0" y="0"/>
                      <wp:positionH relativeFrom="column">
                        <wp:align>left</wp:align>
                      </wp:positionH>
                      <wp:positionV relativeFrom="line">
                        <wp:align>top</wp:align>
                      </wp:positionV>
                      <wp:extent cx="114300" cy="350520"/>
                      <wp:effectExtent l="0" t="0" r="0" b="0"/>
                      <wp:wrapSquare wrapText="right"/>
                      <wp:docPr id="405" name="Frame1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Lead the independent directors’ evaluation of the Chairman and CEO’s effectiveness, including assessing his ability to provide leadership and direction to the full Board;</w:t>
            </w:r>
            <w:r>
              <w:rPr/>
              <w:t xml:space="preserve"> </w:t>
            </w:r>
            <w:r>
              <mc:AlternateContent>
                <mc:Choice Requires="wps">
                  <w:drawing>
                    <wp:anchor behindDoc="0" distT="50800" distB="0" distL="0" distR="0" simplePos="0" locked="0" layoutInCell="1" allowOverlap="1" relativeHeight="497">
                      <wp:simplePos x="0" y="0"/>
                      <wp:positionH relativeFrom="column">
                        <wp:align>left</wp:align>
                      </wp:positionH>
                      <wp:positionV relativeFrom="line">
                        <wp:align>top</wp:align>
                      </wp:positionV>
                      <wp:extent cx="114300" cy="350520"/>
                      <wp:effectExtent l="0" t="0" r="0" b="0"/>
                      <wp:wrapSquare wrapText="right"/>
                      <wp:docPr id="406" name="Frame1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Serve as liaison between the independent directors and the Chairman and CEO; </w:t>
            </w:r>
            <w:r>
              <mc:AlternateContent>
                <mc:Choice Requires="wps">
                  <w:drawing>
                    <wp:anchor behindDoc="0" distT="50800" distB="0" distL="0" distR="0" simplePos="0" locked="0" layoutInCell="1" allowOverlap="1" relativeHeight="498">
                      <wp:simplePos x="0" y="0"/>
                      <wp:positionH relativeFrom="column">
                        <wp:align>left</wp:align>
                      </wp:positionH>
                      <wp:positionV relativeFrom="line">
                        <wp:align>top</wp:align>
                      </wp:positionV>
                      <wp:extent cx="114300" cy="350520"/>
                      <wp:effectExtent l="0" t="0" r="0" b="0"/>
                      <wp:wrapSquare wrapText="right"/>
                      <wp:docPr id="407" name="Frame1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8" w:type="dxa"/>
            <w:tcBorders/>
            <w:vAlign w:val="center"/>
          </w:tcPr>
          <w:p>
            <w:pPr>
              <w:pStyle w:val="TableContents"/>
              <w:bidi w:val="0"/>
              <w:spacing w:lineRule="atLeast" w:line="220" w:before="0" w:after="0"/>
              <w:ind w:left="180" w:right="0" w:hanging="0"/>
              <w:jc w:val="left"/>
              <w:rPr/>
            </w:pPr>
            <w:r>
              <w:rPr>
                <w:spacing w:val="-1"/>
              </w:rPr>
              <w:t>Approve information sent to the Board, including the quality, quantity, and timeliness of such information;</w:t>
            </w:r>
            <w:r>
              <w:rPr/>
              <w:t xml:space="preserve"> </w:t>
            </w:r>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114300" cy="350520"/>
                      <wp:effectExtent l="0" t="0" r="0" b="0"/>
                      <wp:wrapSquare wrapText="right"/>
                      <wp:docPr id="408" name="Frame1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Contribute to the development of and approve meeting agendas;</w:t>
            </w:r>
            <w:r>
              <w:rPr/>
              <w:t xml:space="preserve"> </w:t>
            </w:r>
            <w:r>
              <mc:AlternateContent>
                <mc:Choice Requires="wps">
                  <w:drawing>
                    <wp:anchor behindDoc="0" distT="50800" distB="0" distL="0" distR="0" simplePos="0" locked="0" layoutInCell="1" allowOverlap="1" relativeHeight="500">
                      <wp:simplePos x="0" y="0"/>
                      <wp:positionH relativeFrom="column">
                        <wp:align>left</wp:align>
                      </wp:positionH>
                      <wp:positionV relativeFrom="line">
                        <wp:align>top</wp:align>
                      </wp:positionV>
                      <wp:extent cx="114300" cy="350520"/>
                      <wp:effectExtent l="0" t="0" r="0" b="0"/>
                      <wp:wrapSquare wrapText="right"/>
                      <wp:docPr id="409" name="Frame1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Facilitate the Board’s approval of the number and frequency of Board meetings and approve meeting schedules to ensure sufficient time for discussion of all agenda items;</w:t>
            </w:r>
            <w:r>
              <w:rPr/>
              <w:t xml:space="preserve"> </w:t>
            </w:r>
            <w:r>
              <mc:AlternateContent>
                <mc:Choice Requires="wps">
                  <w:drawing>
                    <wp:anchor behindDoc="0" distT="50800" distB="0" distL="0" distR="0" simplePos="0" locked="0" layoutInCell="1" allowOverlap="1" relativeHeight="501">
                      <wp:simplePos x="0" y="0"/>
                      <wp:positionH relativeFrom="column">
                        <wp:align>left</wp:align>
                      </wp:positionH>
                      <wp:positionV relativeFrom="line">
                        <wp:align>top</wp:align>
                      </wp:positionV>
                      <wp:extent cx="114300" cy="350520"/>
                      <wp:effectExtent l="0" t="0" r="0" b="0"/>
                      <wp:wrapSquare wrapText="right"/>
                      <wp:docPr id="410" name="Frame1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Authorize the retention of outside advisors and consultants who report directly to the Board;</w:t>
            </w:r>
            <w:r>
              <w:rPr/>
              <w:t xml:space="preserve"> </w:t>
            </w:r>
            <w:r>
              <mc:AlternateContent>
                <mc:Choice Requires="wps">
                  <w:drawing>
                    <wp:anchor behindDoc="0" distT="50800" distB="0" distL="0" distR="0" simplePos="0" locked="0" layoutInCell="1" allowOverlap="1" relativeHeight="502">
                      <wp:simplePos x="0" y="0"/>
                      <wp:positionH relativeFrom="column">
                        <wp:align>left</wp:align>
                      </wp:positionH>
                      <wp:positionV relativeFrom="line">
                        <wp:align>top</wp:align>
                      </wp:positionV>
                      <wp:extent cx="114300" cy="350520"/>
                      <wp:effectExtent l="0" t="0" r="0" b="0"/>
                      <wp:wrapSquare wrapText="right"/>
                      <wp:docPr id="411" name="Frame1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Keep apprised of inquiries from shareholders and involved in correspondence responding to those inquiries, when appropriate; and</w:t>
            </w:r>
            <w:r>
              <w:rPr/>
              <w:t xml:space="preserve"> </w:t>
            </w:r>
            <w:r>
              <mc:AlternateContent>
                <mc:Choice Requires="wps">
                  <w:drawing>
                    <wp:anchor behindDoc="0" distT="50800" distB="0" distL="0" distR="0" simplePos="0" locked="0" layoutInCell="1" allowOverlap="1" relativeHeight="503">
                      <wp:simplePos x="0" y="0"/>
                      <wp:positionH relativeFrom="column">
                        <wp:align>left</wp:align>
                      </wp:positionH>
                      <wp:positionV relativeFrom="line">
                        <wp:align>top</wp:align>
                      </wp:positionV>
                      <wp:extent cx="114300" cy="350520"/>
                      <wp:effectExtent l="0" t="0" r="0" b="0"/>
                      <wp:wrapSquare wrapText="right"/>
                      <wp:docPr id="412" name="Frame1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If requested by shareholders or other stakeholders, ensure that he or she is available, when appropriate, for consultation and direct communication.</w:t>
            </w:r>
            <w:r>
              <w:rPr/>
              <w:t xml:space="preserve"> </w:t>
            </w:r>
            <w:r>
              <mc:AlternateContent>
                <mc:Choice Requires="wps">
                  <w:drawing>
                    <wp:anchor behindDoc="0" distT="50800" distB="0" distL="0" distR="0" simplePos="0" locked="0" layoutInCell="1" allowOverlap="1" relativeHeight="504">
                      <wp:simplePos x="0" y="0"/>
                      <wp:positionH relativeFrom="column">
                        <wp:align>left</wp:align>
                      </wp:positionH>
                      <wp:positionV relativeFrom="line">
                        <wp:align>top</wp:align>
                      </wp:positionV>
                      <wp:extent cx="114300" cy="350520"/>
                      <wp:effectExtent l="0" t="0" r="0" b="0"/>
                      <wp:wrapSquare wrapText="right"/>
                      <wp:docPr id="413" name="Frame1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28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Lead Independent Director Charter is available on our website, www.mineralstech.com, under the links entitled “</w:t>
      </w:r>
      <w:r>
        <w:rPr>
          <w:rFonts w:ascii="Arial;Helvetica;sans-serif" w:hAnsi="Arial;Helvetica;sans-serif"/>
          <w:b w:val="false"/>
          <w:i/>
          <w:caps w:val="false"/>
          <w:smallCaps w:val="false"/>
          <w:color w:val="000000"/>
          <w:sz w:val="18"/>
        </w:rPr>
        <w:t>Investors</w:t>
      </w:r>
      <w:r>
        <w:rPr>
          <w:rFonts w:ascii="Arial;Helvetica;sans-serif" w:hAnsi="Arial;Helvetica;sans-serif"/>
          <w:b w:val="false"/>
          <w:i w:val="false"/>
          <w:caps w:val="false"/>
          <w:smallCaps w:val="false"/>
          <w:color w:val="000000"/>
          <w:spacing w:val="-1"/>
          <w:sz w:val="18"/>
        </w:rPr>
        <w:t>” and then “</w:t>
      </w:r>
      <w:r>
        <w:rPr>
          <w:rFonts w:ascii="Arial;Helvetica;sans-serif" w:hAnsi="Arial;Helvetica;sans-serif"/>
          <w:b w:val="false"/>
          <w:i/>
          <w:caps w:val="false"/>
          <w:smallCaps w:val="false"/>
          <w:color w:val="000000"/>
          <w:sz w:val="18"/>
        </w:rPr>
        <w:t>Corporate Governance.</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practice, the Board expects the independent directors will work collaboratively with Mr. Dietrich to discharge their Board responsibilities. The Company believes that this approach effectively encourages full participation by all Board members in relevant matters, while avoiding unnecessary hierarchy. It provides a well-functioning and effective balance between strong Company leadership and appropriate safeguards and oversight by independent directors. The Board believes that additional structure or formalities would not enhance the substantive corporate governance process and could restrict the access of individual Board members to management.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recognizes that there is no single, generally accepted approach to providing Board leadership. While it has adopted this leadership structure for the present, the Board reserves the right to adopt a different policy as circumstances warrant.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BOARD SIZE AND COMMITTEES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It is the policy of the Company that the number of directors should not exceed a number that can function efficiently as a body. The Board currently consists of ten members, nine of whom have been affirmatively determined to be independent. Upon the retirements of Ms. Deans and Mr. Feder at the Annual Meeting, the Board size will be eight.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currently has the following Committees: Audit, Compensation, and Corporate Governance and Nominating. Each Committee consists entirely of independent, non-employee directors. The responsibilities of such Committees are more fully discussed below under “</w:t>
      </w:r>
      <w:r>
        <w:rPr>
          <w:rFonts w:ascii="Arial;Helvetica;sans-serif" w:hAnsi="Arial;Helvetica;sans-serif"/>
          <w:b w:val="false"/>
          <w:i/>
          <w:caps w:val="false"/>
          <w:smallCaps w:val="false"/>
          <w:color w:val="000000"/>
          <w:sz w:val="18"/>
        </w:rPr>
        <w:t>Committees of the Board of Directors</w:t>
      </w:r>
      <w:r>
        <w:rPr>
          <w:rFonts w:ascii="Arial;Helvetica;sans-serif" w:hAnsi="Arial;Helvetica;sans-serif"/>
          <w:b w:val="false"/>
          <w:i w:val="false"/>
          <w:caps w:val="false"/>
          <w:smallCaps w:val="false"/>
          <w:color w:val="000000"/>
          <w:spacing w:val="-1"/>
          <w:sz w:val="18"/>
        </w:rPr>
        <w:t xml:space="preserve">.” The Corporate Governance and Nominating Committee considers and makes recommendations to the Board concerning the appropriate size and needs of the Board and its Committees.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18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BORE"/>
      <w:bookmarkEnd w:id="23"/>
      <w:r>
        <w:rPr>
          <w:rFonts w:ascii="calibri;arial;sans-serif" w:hAnsi="calibri;arial;sans-serif"/>
          <w:b w:val="false"/>
          <w:i w:val="false"/>
          <w:caps w:val="false"/>
          <w:smallCaps w:val="false"/>
          <w:color w:val="000000"/>
          <w:sz w:val="16"/>
        </w:rPr>
        <w:t>​</w:t>
      </w:r>
      <w:bookmarkStart w:id="24" w:name="tIAEO"/>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BOARD REFRESHMENT</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Shareholders consistently highlight board refreshment as an important area of focus. Our Board is composed of a highly capable group of directors that are well-equipped to oversee the success of our business and effectively represent the interests of our shareholders, and we are committed to ensuring it remains this way through effective succession planning and refreshment. We are pleased that in the past ten years, we have welcomed six new directors. This refreshment process has infused unique ideas and fresh perspectives into the boardroom and has significantly increased the diversity of our Board.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does not endorse arbitrary term limits on directors’ service. However, it is the policy of the Company that each director shall submit his or her resignation from the Board not later than the date of his or her 72nd birthday. The Board will then determine whether to accept such resignation. The Board self-evaluation process is an important determinant for continuing service by current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IDENTIFICATION AND EVALUATION OF DIRECTORS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Corporate Governance and Nominating Committee is charged with seeking individuals qualified to become directors and recommending candidates for all directorships to the full Board. The Committee considers director candidates to fill new positions created by expansion and vacancies that occur by resignation, by retirement, or for any other reason.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While the Board has not established any minimum set of qualifications for membership on the Board, candidates are selected for, among other things: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their integrity,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14"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independence,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15"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range of experience,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16"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leadership,</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417"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ability to exercise sound judgment,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418"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needs of the Company including our ability to maintain diversity,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419"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range of talent and experience already represented on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420"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See “</w:t>
      </w:r>
      <w:r>
        <w:rPr>
          <w:rFonts w:ascii="Arial;Helvetica;sans-serif" w:hAnsi="Arial;Helvetica;sans-serif"/>
          <w:b w:val="false"/>
          <w:i/>
          <w:caps w:val="false"/>
          <w:smallCaps w:val="false"/>
          <w:color w:val="000000"/>
          <w:sz w:val="18"/>
        </w:rPr>
        <w:t>Director Qualifications</w:t>
      </w:r>
      <w:r>
        <w:rPr>
          <w:rFonts w:ascii="Arial;Helvetica;sans-serif" w:hAnsi="Arial;Helvetica;sans-serif"/>
          <w:b w:val="false"/>
          <w:i w:val="false"/>
          <w:caps w:val="false"/>
          <w:smallCaps w:val="false"/>
          <w:color w:val="000000"/>
          <w:spacing w:val="-1"/>
          <w:sz w:val="18"/>
        </w:rPr>
        <w:t>” below for detailed information concerning directors’ qualifications. The Committee considers director candidates suggested by members of the Committee, other directors, senior management, and shareholders. The Committee has the authority to use outside search consultants at its discretion. Final approval of a candidate is determined by the full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Shareholders wishing to recommend a director candidate to the Committee for its consideration should write to the Committee: </w:t>
      </w:r>
    </w:p>
    <w:tbl>
      <w:tblPr>
        <w:tblW w:w="4784" w:type="dxa"/>
        <w:jc w:val="left"/>
        <w:tblInd w:w="1020" w:type="dxa"/>
        <w:tblLayout w:type="fixed"/>
        <w:tblCellMar>
          <w:top w:w="0" w:type="dxa"/>
          <w:left w:w="0" w:type="dxa"/>
          <w:bottom w:w="0" w:type="dxa"/>
          <w:right w:w="0" w:type="dxa"/>
        </w:tblCellMar>
      </w:tblPr>
      <w:tblGrid>
        <w:gridCol w:w="124"/>
        <w:gridCol w:w="656"/>
        <w:gridCol w:w="109"/>
        <w:gridCol w:w="109"/>
        <w:gridCol w:w="109"/>
        <w:gridCol w:w="3523"/>
        <w:gridCol w:w="154"/>
      </w:tblGrid>
      <w:tr>
        <w:trPr/>
        <w:tc>
          <w:tcPr>
            <w:tcW w:w="124" w:type="dxa"/>
            <w:tcBorders/>
            <w:vAlign w:val="center"/>
          </w:tcPr>
          <w:p>
            <w:pPr>
              <w:pStyle w:val="TableContents"/>
              <w:bidi w:val="0"/>
              <w:spacing w:before="0" w:after="283"/>
              <w:jc w:val="left"/>
              <w:rPr/>
            </w:pPr>
            <w:r>
              <w:rPr/>
              <w:t>​</w:t>
            </w:r>
          </w:p>
        </w:tc>
        <w:tc>
          <w:tcPr>
            <w:tcW w:w="65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23850" cy="323850"/>
                  <wp:effectExtent l="0" t="0" r="0" b="0"/>
                  <wp:docPr id="42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06" descr=""/>
                          <pic:cNvPicPr>
                            <a:picLocks noChangeAspect="1" noChangeArrowheads="1"/>
                          </pic:cNvPicPr>
                        </pic:nvPicPr>
                        <pic:blipFill>
                          <a:blip r:embed="rId217"/>
                          <a:stretch>
                            <a:fillRect/>
                          </a:stretch>
                        </pic:blipFill>
                        <pic:spPr bwMode="auto">
                          <a:xfrm>
                            <a:off x="0" y="0"/>
                            <a:ext cx="323850" cy="3238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23" w:type="dxa"/>
            <w:tcBorders/>
            <w:vAlign w:val="center"/>
          </w:tcPr>
          <w:p>
            <w:pPr>
              <w:pStyle w:val="TableContents"/>
              <w:bidi w:val="0"/>
              <w:spacing w:lineRule="atLeast" w:line="200" w:before="0" w:after="0"/>
              <w:jc w:val="left"/>
              <w:rPr/>
            </w:pPr>
            <w:r>
              <w:rPr>
                <w:spacing w:val="-1"/>
              </w:rPr>
              <w:t xml:space="preserve">Minerals Technologies Inc. </w:t>
              <w:br/>
              <w:t xml:space="preserve">Attention: Secretary </w:t>
              <w:br/>
              <w:t xml:space="preserve">622 Third Avenue, 38th Floor </w:t>
              <w:br/>
              <w:t>New York, New York 10017-6707</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 receive meaningful consideration, a recommendation should include the candidate’s name, biographical data, and a description of his or her qualifications in light of the criteria discussed below. Recommendations by shareholders that are made in accordance with these procedures will receive the same consideration by the Committee as other suggested nominees. Shareholders wishing to nominate a director directly at a meeting of shareholders should follow the procedures set forth in the Company’s by-laws and described under “</w:t>
      </w:r>
      <w:r>
        <w:rPr>
          <w:rFonts w:ascii="Arial;Helvetica;sans-serif" w:hAnsi="Arial;Helvetica;sans-serif"/>
          <w:b w:val="false"/>
          <w:i/>
          <w:caps w:val="false"/>
          <w:smallCaps w:val="false"/>
          <w:color w:val="000000"/>
          <w:sz w:val="18"/>
        </w:rPr>
        <w:t>Shareholder Proposals and Nominations</w:t>
      </w:r>
      <w:r>
        <w:rPr>
          <w:rFonts w:ascii="Arial;Helvetica;sans-serif" w:hAnsi="Arial;Helvetica;sans-serif"/>
          <w:b w:val="false"/>
          <w:i w:val="false"/>
          <w:caps w:val="false"/>
          <w:smallCaps w:val="false"/>
          <w:color w:val="000000"/>
          <w:spacing w:val="-1"/>
          <w:sz w:val="18"/>
        </w:rPr>
        <w:t xml:space="preserve">,” below.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19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IQU"/>
      <w:bookmarkEnd w:id="25"/>
      <w:r>
        <w:rPr>
          <w:rFonts w:ascii="calibri;arial;sans-serif" w:hAnsi="calibri;arial;sans-serif"/>
          <w:b w:val="false"/>
          <w:i w:val="false"/>
          <w:caps w:val="false"/>
          <w:smallCaps w:val="false"/>
          <w:color w:val="000000"/>
          <w:sz w:val="16"/>
        </w:rPr>
        <w:t>​</w:t>
      </w:r>
      <w:bookmarkStart w:id="26" w:name="tCOTB"/>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 QUALIFICATIONS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are responsible for overseeing the Company’s business and affairs consistent with their fiduciary duty to shareholders. This significant responsibility requires that the Board is composed of highly skilled individuals with various qualities, skills, knowledge and experiences, as well as reflect sensitivity to the need for diversity as to geography, gender, ethnic background, and other attributes. The Board and Corporate Governance and Nominating Committee require that each director be a recognized person of high integrity with a proven record of success in his or her field. It is expected that candidates will have an appreciation of the responsibilities of a director of a company whose shares are listed on a national securities exchange. The Board and Committee also take into account the ability of a director to devote the time and effort necessary to fulfill his or her responsibilities to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Committee does not assign specific weights to particular criteria and no particular criterion is necessarily applicable to all prospective director candidates. The Board believes that its members provide a significant composite mix of experience, skills, knowledge, and competencies that are directly relevant to the Company’s business, contribute to a more effective decision-making process and allow the Board to effectively fulfill its responsibilities. The Board uses a skills matrix to assist it in considering the appropriate balance of experience, skills, and attributes required of a director and to be represented on the Board as a whole. The skills matrix is based on the Company’s strategic plan and is periodically reviewed. Board candidates are evaluated against the skills matrix when the Committee determines whether to recommend candidates for initial election to the Board and when determining whether to recommend currently serving directors for re-election to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While the Board does not have a specific written diversity policy, the Company is committed to inclusiveness with respect to diversity of ethnicity and gender. Accordingly, in performing its responsibilities to review director candidates and recommend candidates to the Board for election, the Committee is committed to ensuring that candidates with a diversity of ethnicity and gender are included in each pool of candidates from which Board nominees are chosen.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COMMITTEES OF THE BOARD OF DIRECTORS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The Board has established and approved formal written charters for an Audit Committee, a Compensation Committee, and a Corporate Governance and Nominating Committee. The full texts of the charters of these three committees are available on our website, </w:t>
      </w:r>
      <w:r>
        <w:rPr>
          <w:rFonts w:ascii="Arial;Helvetica;sans-serif" w:hAnsi="Arial;Helvetica;sans-serif"/>
          <w:b w:val="false"/>
          <w:i w:val="false"/>
          <w:caps w:val="false"/>
          <w:smallCaps w:val="false"/>
          <w:color w:val="002F56"/>
          <w:spacing w:val="-1"/>
          <w:sz w:val="18"/>
        </w:rPr>
        <w:t>www.mineralstech.com</w:t>
      </w:r>
      <w:r>
        <w:rPr>
          <w:rFonts w:ascii="Arial;Helvetica;sans-serif" w:hAnsi="Arial;Helvetica;sans-serif"/>
          <w:b w:val="false"/>
          <w:i w:val="false"/>
          <w:caps w:val="false"/>
          <w:smallCaps w:val="false"/>
          <w:color w:val="000000"/>
          <w:spacing w:val="-1"/>
          <w:sz w:val="18"/>
        </w:rPr>
        <w:t>, by clicking on “</w:t>
      </w:r>
      <w:r>
        <w:rPr>
          <w:rFonts w:ascii="Arial;Helvetica;sans-serif" w:hAnsi="Arial;Helvetica;sans-serif"/>
          <w:b w:val="false"/>
          <w:i/>
          <w:caps w:val="false"/>
          <w:smallCaps w:val="false"/>
          <w:color w:val="000000"/>
          <w:sz w:val="18"/>
        </w:rPr>
        <w:t>Investors</w:t>
      </w:r>
      <w:r>
        <w:rPr>
          <w:rFonts w:ascii="Arial;Helvetica;sans-serif" w:hAnsi="Arial;Helvetica;sans-serif"/>
          <w:b w:val="false"/>
          <w:i w:val="false"/>
          <w:caps w:val="false"/>
          <w:smallCaps w:val="false"/>
          <w:color w:val="000000"/>
          <w:spacing w:val="-1"/>
          <w:sz w:val="18"/>
        </w:rPr>
        <w:t>” and then “</w:t>
      </w:r>
      <w:r>
        <w:rPr>
          <w:rFonts w:ascii="Arial;Helvetica;sans-serif" w:hAnsi="Arial;Helvetica;sans-serif"/>
          <w:b w:val="false"/>
          <w:i/>
          <w:caps w:val="false"/>
          <w:smallCaps w:val="false"/>
          <w:color w:val="000000"/>
          <w:sz w:val="18"/>
        </w:rPr>
        <w:t>Corporate Governance</w:t>
      </w:r>
      <w:r>
        <w:rPr>
          <w:rFonts w:ascii="Arial;Helvetica;sans-serif" w:hAnsi="Arial;Helvetica;sans-serif"/>
          <w:b w:val="false"/>
          <w:i w:val="false"/>
          <w:caps w:val="false"/>
          <w:smallCaps w:val="false"/>
          <w:color w:val="000000"/>
          <w:spacing w:val="-1"/>
          <w:sz w:val="18"/>
        </w:rPr>
        <w:t xml:space="preserve">.” The charters are also available in print at no charge to any shareholder who requests them by writing to Minerals Technologies Inc., Attention: Secretary, 622 Third Avenue, 38th Floor, New York, New York 10017-6707.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20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tbl>
      <w:tblPr>
        <w:tblW w:w="8076" w:type="dxa"/>
        <w:jc w:val="left"/>
        <w:tblInd w:w="1020" w:type="dxa"/>
        <w:tblLayout w:type="fixed"/>
        <w:tblCellMar>
          <w:top w:w="0" w:type="dxa"/>
          <w:left w:w="0" w:type="dxa"/>
          <w:bottom w:w="0" w:type="dxa"/>
          <w:right w:w="0" w:type="dxa"/>
        </w:tblCellMar>
      </w:tblPr>
      <w:tblGrid>
        <w:gridCol w:w="124"/>
        <w:gridCol w:w="686"/>
        <w:gridCol w:w="109"/>
        <w:gridCol w:w="109"/>
        <w:gridCol w:w="2747"/>
        <w:gridCol w:w="109"/>
        <w:gridCol w:w="109"/>
        <w:gridCol w:w="3929"/>
        <w:gridCol w:w="154"/>
      </w:tblGrid>
      <w:tr>
        <w:trPr/>
        <w:tc>
          <w:tcPr>
            <w:tcW w:w="124" w:type="dxa"/>
            <w:vMerge w:val="restart"/>
            <w:tcBorders/>
            <w:shd w:fill="002F56" w:val="clear"/>
            <w:vAlign w:val="center"/>
          </w:tcPr>
          <w:p>
            <w:pPr>
              <w:pStyle w:val="TableContents"/>
              <w:bidi w:val="0"/>
              <w:spacing w:before="0" w:after="283"/>
              <w:jc w:val="left"/>
              <w:rPr/>
            </w:pPr>
            <w:r>
              <w:rPr/>
              <w:t>​</w:t>
            </w:r>
          </w:p>
        </w:tc>
        <w:tc>
          <w:tcPr>
            <w:tcW w:w="686" w:type="dxa"/>
            <w:vMerge w:val="restart"/>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23850"/>
                  <wp:effectExtent l="0" t="0" r="0" b="0"/>
                  <wp:docPr id="422"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07" descr=""/>
                          <pic:cNvPicPr>
                            <a:picLocks noChangeAspect="1" noChangeArrowheads="1"/>
                          </pic:cNvPicPr>
                        </pic:nvPicPr>
                        <pic:blipFill>
                          <a:blip r:embed="rId218"/>
                          <a:stretch>
                            <a:fillRect/>
                          </a:stretch>
                        </pic:blipFill>
                        <pic:spPr bwMode="auto">
                          <a:xfrm>
                            <a:off x="0" y="0"/>
                            <a:ext cx="342900" cy="323850"/>
                          </a:xfrm>
                          <a:prstGeom prst="rect">
                            <a:avLst/>
                          </a:prstGeom>
                        </pic:spPr>
                      </pic:pic>
                    </a:graphicData>
                  </a:graphic>
                </wp:inline>
              </w:drawing>
            </w:r>
            <w:r>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2747" w:type="dxa"/>
            <w:vMerge w:val="restart"/>
            <w:tcBorders/>
            <w:shd w:fill="002F56" w:val="clear"/>
            <w:tcMar>
              <w:top w:w="28" w:type="dxa"/>
              <w:left w:w="28" w:type="dxa"/>
              <w:bottom w:w="28" w:type="dxa"/>
              <w:right w:w="28" w:type="dxa"/>
            </w:tcMar>
            <w:vAlign w:val="center"/>
          </w:tcPr>
          <w:p>
            <w:pPr>
              <w:pStyle w:val="TableContents"/>
              <w:bidi w:val="0"/>
              <w:spacing w:lineRule="atLeast" w:line="280" w:before="0" w:after="0"/>
              <w:jc w:val="left"/>
              <w:rPr>
                <w:color w:val="71B1C8"/>
                <w:spacing w:val="-16"/>
              </w:rPr>
            </w:pPr>
            <w:r>
              <w:rPr>
                <w:color w:val="71B1C8"/>
                <w:spacing w:val="-16"/>
              </w:rPr>
              <w:t xml:space="preserve">THE AUDIT COMMITTEE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929" w:type="dxa"/>
            <w:tcBorders/>
            <w:shd w:fill="002F56" w:val="clear"/>
            <w:vAlign w:val="center"/>
          </w:tcPr>
          <w:p>
            <w:pPr>
              <w:pStyle w:val="TableContents"/>
              <w:bidi w:val="0"/>
              <w:spacing w:lineRule="atLeast" w:line="190" w:before="0" w:after="0"/>
              <w:jc w:val="right"/>
              <w:rPr>
                <w:sz w:val="17"/>
              </w:rPr>
            </w:pPr>
            <w:r>
              <w:rPr>
                <w:spacing w:val="-6"/>
                <w:sz w:val="17"/>
              </w:rPr>
              <w:t>MEETINGS IN 2025: FIVE</w:t>
            </w:r>
            <w:r>
              <w:rPr>
                <w:sz w:val="17"/>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vMerge w:val="continue"/>
            <w:tcBorders/>
            <w:shd w:fill="002F56" w:val="clear"/>
            <w:vAlign w:val="center"/>
          </w:tcPr>
          <w:p>
            <w:pPr>
              <w:pStyle w:val="Normal"/>
              <w:bidi w:val="0"/>
              <w:jc w:val="left"/>
              <w:rPr/>
            </w:pPr>
            <w:r>
              <w:rPr/>
            </w:r>
          </w:p>
        </w:tc>
        <w:tc>
          <w:tcPr>
            <w:tcW w:w="686" w:type="dxa"/>
            <w:vMerge w:val="continue"/>
            <w:tcBorders/>
            <w:shd w:fill="002F5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2747" w:type="dxa"/>
            <w:vMerge w:val="continue"/>
            <w:tcBorders/>
            <w:shd w:fill="002F5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3929" w:type="dxa"/>
            <w:tcBorders/>
            <w:shd w:fill="002F56" w:val="clear"/>
            <w:vAlign w:val="center"/>
          </w:tcPr>
          <w:p>
            <w:pPr>
              <w:pStyle w:val="TableContents"/>
              <w:bidi w:val="0"/>
              <w:spacing w:lineRule="atLeast" w:line="190" w:before="0" w:after="0"/>
              <w:jc w:val="right"/>
              <w:rPr/>
            </w:pPr>
            <w:r>
              <w:rPr>
                <w:spacing w:val="0"/>
              </w:rPr>
              <w:t>100% Independent </w:t>
            </w:r>
            <w:r>
              <w:rPr>
                <w:color w:val="71B1C8"/>
                <w:spacing w:val="-2"/>
              </w:rPr>
              <w:t>| </w:t>
            </w:r>
            <w:r>
              <w:rPr>
                <w:spacing w:val="0"/>
              </w:rPr>
              <w:t>100% Attendance</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3541"/>
        <w:gridCol w:w="109"/>
        <w:gridCol w:w="109"/>
        <w:gridCol w:w="109"/>
        <w:gridCol w:w="5038"/>
        <w:gridCol w:w="155"/>
      </w:tblGrid>
      <w:tr>
        <w:trPr/>
        <w:tc>
          <w:tcPr>
            <w:tcW w:w="124" w:type="dxa"/>
            <w:tcBorders/>
            <w:vAlign w:val="center"/>
          </w:tcPr>
          <w:p>
            <w:pPr>
              <w:pStyle w:val="TableContents"/>
              <w:bidi w:val="0"/>
              <w:spacing w:before="0" w:after="283"/>
              <w:jc w:val="left"/>
              <w:rPr/>
            </w:pPr>
            <w:r>
              <w:rPr/>
              <w:t>​</w:t>
            </w:r>
          </w:p>
        </w:tc>
        <w:tc>
          <w:tcPr>
            <w:tcW w:w="3541" w:type="dxa"/>
            <w:tcBorders/>
            <w:vAlign w:val="center"/>
          </w:tcPr>
          <w:p>
            <w:pPr>
              <w:pStyle w:val="TableContents"/>
              <w:bidi w:val="0"/>
              <w:spacing w:before="0" w:after="0"/>
              <w:jc w:val="left"/>
              <w:rPr>
                <w:b/>
                <w:color w:val="71B1C8"/>
              </w:rPr>
            </w:pPr>
            <w:r>
              <w:rPr>
                <w:b/>
                <w:color w:val="71B1C8"/>
                <w:spacing w:val="-2"/>
              </w:rPr>
              <w:t>MEMBERS, NONE OF WHOM IS AN EMPLOYEE OF THE COMPANY</w:t>
            </w:r>
            <w:r>
              <w:rPr>
                <w:b/>
                <w:color w:val="71B1C8"/>
              </w:rPr>
              <w:t xml:space="preserve"> </w:t>
            </w:r>
          </w:p>
          <w:p>
            <w:pPr>
              <w:pStyle w:val="TableContents"/>
              <w:bidi w:val="0"/>
              <w:spacing w:lineRule="atLeast" w:line="170" w:before="70" w:after="0"/>
              <w:ind w:left="170" w:right="0" w:hanging="0"/>
              <w:jc w:val="left"/>
              <w:rPr/>
            </w:pPr>
            <w:r>
              <w:rPr>
                <w:b/>
                <w:spacing w:val="0"/>
              </w:rPr>
              <w:t>Marc E. Robinson</w:t>
            </w:r>
            <w:r>
              <w:rPr>
                <w:spacing w:val="-1"/>
              </w:rPr>
              <w:t xml:space="preserve"> (Chair)</w:t>
            </w:r>
            <w:r>
              <w:rPr/>
              <w:t xml:space="preserve"> </w:t>
            </w:r>
            <w:r>
              <mc:AlternateContent>
                <mc:Choice Requires="wps">
                  <w:drawing>
                    <wp:anchor behindDoc="0" distT="44450" distB="0" distL="0" distR="0" simplePos="0" locked="0" layoutInCell="1" allowOverlap="1" relativeHeight="512">
                      <wp:simplePos x="0" y="0"/>
                      <wp:positionH relativeFrom="column">
                        <wp:align>left</wp:align>
                      </wp:positionH>
                      <wp:positionV relativeFrom="line">
                        <wp:align>top</wp:align>
                      </wp:positionV>
                      <wp:extent cx="107950" cy="350520"/>
                      <wp:effectExtent l="0" t="0" r="0" b="0"/>
                      <wp:wrapSquare wrapText="right"/>
                      <wp:docPr id="423" name="Frame20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John J. Carmola</w:t>
            </w:r>
            <w:r>
              <w:rPr/>
              <w:t xml:space="preserve"> </w:t>
            </w:r>
            <w:r>
              <mc:AlternateContent>
                <mc:Choice Requires="wps">
                  <w:drawing>
                    <wp:anchor behindDoc="0" distT="44450" distB="0" distL="0" distR="0" simplePos="0" locked="0" layoutInCell="1" allowOverlap="1" relativeHeight="513">
                      <wp:simplePos x="0" y="0"/>
                      <wp:positionH relativeFrom="column">
                        <wp:align>left</wp:align>
                      </wp:positionH>
                      <wp:positionV relativeFrom="line">
                        <wp:align>top</wp:align>
                      </wp:positionV>
                      <wp:extent cx="107950" cy="350520"/>
                      <wp:effectExtent l="0" t="0" r="0" b="0"/>
                      <wp:wrapSquare wrapText="right"/>
                      <wp:docPr id="424" name="Frame20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Franklin L. Feder</w:t>
            </w:r>
            <w:r>
              <w:rPr/>
              <w:t xml:space="preserve"> </w:t>
            </w:r>
            <w:r>
              <mc:AlternateContent>
                <mc:Choice Requires="wps">
                  <w:drawing>
                    <wp:anchor behindDoc="0" distT="44450" distB="0" distL="0" distR="0" simplePos="0" locked="0" layoutInCell="1" allowOverlap="1" relativeHeight="514">
                      <wp:simplePos x="0" y="0"/>
                      <wp:positionH relativeFrom="column">
                        <wp:align>left</wp:align>
                      </wp:positionH>
                      <wp:positionV relativeFrom="line">
                        <wp:align>top</wp:align>
                      </wp:positionV>
                      <wp:extent cx="107950" cy="350520"/>
                      <wp:effectExtent l="0" t="0" r="0" b="0"/>
                      <wp:wrapSquare wrapText="right"/>
                      <wp:docPr id="425" name="Frame20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Kristina M. Johnson</w:t>
            </w:r>
            <w:r>
              <w:rPr/>
              <w:t xml:space="preserve"> </w:t>
            </w:r>
            <w:r>
              <mc:AlternateContent>
                <mc:Choice Requires="wps">
                  <w:drawing>
                    <wp:anchor behindDoc="0" distT="44450" distB="0" distL="0" distR="0" simplePos="0" locked="0" layoutInCell="1" allowOverlap="1" relativeHeight="515">
                      <wp:simplePos x="0" y="0"/>
                      <wp:positionH relativeFrom="column">
                        <wp:align>left</wp:align>
                      </wp:positionH>
                      <wp:positionV relativeFrom="line">
                        <wp:align>top</wp:align>
                      </wp:positionV>
                      <wp:extent cx="107950" cy="350520"/>
                      <wp:effectExtent l="0" t="0" r="0" b="0"/>
                      <wp:wrapSquare wrapText="right"/>
                      <wp:docPr id="426" name="Frame20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Rocky Motwani</w:t>
            </w:r>
            <w:r>
              <w:rPr/>
              <w:t xml:space="preserve"> </w:t>
            </w:r>
            <w:r>
              <mc:AlternateContent>
                <mc:Choice Requires="wps">
                  <w:drawing>
                    <wp:anchor behindDoc="0" distT="44450" distB="0" distL="0" distR="0" simplePos="0" locked="0" layoutInCell="1" allowOverlap="1" relativeHeight="516">
                      <wp:simplePos x="0" y="0"/>
                      <wp:positionH relativeFrom="column">
                        <wp:align>left</wp:align>
                      </wp:positionH>
                      <wp:positionV relativeFrom="line">
                        <wp:align>top</wp:align>
                      </wp:positionV>
                      <wp:extent cx="107950" cy="350520"/>
                      <wp:effectExtent l="0" t="0" r="0" b="0"/>
                      <wp:wrapSquare wrapText="right"/>
                      <wp:docPr id="427" name="Frame21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spacing w:val="-1"/>
              </w:rPr>
            </w:pPr>
            <w:r>
              <w:rPr>
                <w:spacing w:val="-1"/>
              </w:rPr>
              <w:t xml:space="preserve">Carolyn K. Pittman </w:t>
            </w:r>
            <w:r>
              <mc:AlternateContent>
                <mc:Choice Requires="wps">
                  <w:drawing>
                    <wp:anchor behindDoc="0" distT="44450" distB="0" distL="0" distR="0" simplePos="0" locked="0" layoutInCell="1" allowOverlap="1" relativeHeight="517">
                      <wp:simplePos x="0" y="0"/>
                      <wp:positionH relativeFrom="column">
                        <wp:align>left</wp:align>
                      </wp:positionH>
                      <wp:positionV relativeFrom="line">
                        <wp:align>top</wp:align>
                      </wp:positionV>
                      <wp:extent cx="107950" cy="350520"/>
                      <wp:effectExtent l="0" t="0" r="0" b="0"/>
                      <wp:wrapSquare wrapText="right"/>
                      <wp:docPr id="428" name="Frame21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8.5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283"/>
              <w:jc w:val="left"/>
              <w:rPr>
                <w:b/>
                <w:color w:val="71B1C8"/>
              </w:rPr>
            </w:pPr>
            <w:r>
              <w:rPr>
                <w:b/>
                <w:color w:val="71B1C8"/>
                <w:spacing w:val="-2"/>
              </w:rPr>
              <w:t>QUALIFICATIONS</w:t>
            </w:r>
            <w:r>
              <w:rPr>
                <w:b/>
                <w:color w:val="71B1C8"/>
              </w:rPr>
              <w:t xml:space="preserve"> </w:t>
            </w:r>
          </w:p>
          <w:p>
            <w:pPr>
              <w:pStyle w:val="TableContents"/>
              <w:bidi w:val="0"/>
              <w:spacing w:lineRule="atLeast" w:line="200" w:before="70" w:after="0"/>
              <w:ind w:left="170" w:right="0" w:hanging="0"/>
              <w:jc w:val="left"/>
              <w:rPr/>
            </w:pPr>
            <w:r>
              <w:rPr>
                <w:spacing w:val="-1"/>
              </w:rPr>
              <w:t>The Board has determined that each member of the Audit Committee is independent and financially literate in accordance with the rules of the New York Stock Exchange, as well as being independent under the rules of the SEC.</w:t>
            </w:r>
            <w:r>
              <w:rPr/>
              <w:t xml:space="preserve"> </w:t>
            </w:r>
            <w:r>
              <mc:AlternateContent>
                <mc:Choice Requires="wps">
                  <w:drawing>
                    <wp:anchor behindDoc="0" distT="44450" distB="0" distL="0" distR="0" simplePos="0" locked="0" layoutInCell="1" allowOverlap="1" relativeHeight="518">
                      <wp:simplePos x="0" y="0"/>
                      <wp:positionH relativeFrom="column">
                        <wp:align>left</wp:align>
                      </wp:positionH>
                      <wp:positionV relativeFrom="line">
                        <wp:align>top</wp:align>
                      </wp:positionV>
                      <wp:extent cx="107950" cy="350520"/>
                      <wp:effectExtent l="0" t="0" r="0" b="0"/>
                      <wp:wrapSquare wrapText="right"/>
                      <wp:docPr id="429" name="Frame21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spacing w:val="-1"/>
              </w:rPr>
            </w:pPr>
            <w:r>
              <w:rPr>
                <w:spacing w:val="-1"/>
              </w:rPr>
              <w:t xml:space="preserve">The Board has also determined that Mr. Feder and Ms. Pittman are “audit committee financial experts” for purposes of Section 407 of the Sarbanes-Oxley Act of 2002 and have “financial expertise” for purposes of the rules of the New York Stock Exchange. </w:t>
            </w:r>
            <w:r>
              <mc:AlternateContent>
                <mc:Choice Requires="wps">
                  <w:drawing>
                    <wp:anchor behindDoc="0" distT="44450" distB="0" distL="0" distR="0" simplePos="0" locked="0" layoutInCell="1" allowOverlap="1" relativeHeight="519">
                      <wp:simplePos x="0" y="0"/>
                      <wp:positionH relativeFrom="column">
                        <wp:align>left</wp:align>
                      </wp:positionH>
                      <wp:positionV relativeFrom="line">
                        <wp:align>top</wp:align>
                      </wp:positionV>
                      <wp:extent cx="107950" cy="350520"/>
                      <wp:effectExtent l="0" t="0" r="0" b="0"/>
                      <wp:wrapSquare wrapText="right"/>
                      <wp:docPr id="430" name="Frame21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283"/>
              <w:jc w:val="left"/>
              <w:rPr>
                <w:b/>
                <w:color w:val="71B1C8"/>
              </w:rPr>
            </w:pPr>
            <w:r>
              <w:rPr>
                <w:b/>
                <w:color w:val="71B1C8"/>
                <w:spacing w:val="-2"/>
              </w:rPr>
              <w:t>REPORT OF THE AUDIT COMMITTEE</w:t>
            </w:r>
            <w:r>
              <w:rPr>
                <w:b/>
                <w:color w:val="71B1C8"/>
              </w:rPr>
              <w:t xml:space="preserve"> </w:t>
            </w:r>
          </w:p>
          <w:p>
            <w:pPr>
              <w:pStyle w:val="TableContents"/>
              <w:bidi w:val="0"/>
              <w:spacing w:lineRule="atLeast" w:line="170" w:before="70" w:after="283"/>
              <w:jc w:val="left"/>
              <w:rPr>
                <w:spacing w:val="-1"/>
              </w:rPr>
            </w:pPr>
            <w:r>
              <w:rPr>
                <w:spacing w:val="-1"/>
              </w:rPr>
              <w:t xml:space="preserve">See page 33.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38" w:type="dxa"/>
            <w:tcBorders/>
            <w:vAlign w:val="center"/>
          </w:tcPr>
          <w:p>
            <w:pPr>
              <w:pStyle w:val="TableContents"/>
              <w:bidi w:val="0"/>
              <w:spacing w:before="0" w:after="0"/>
              <w:jc w:val="left"/>
              <w:rPr>
                <w:b/>
                <w:color w:val="71B1C8"/>
              </w:rPr>
            </w:pPr>
            <w:r>
              <w:rPr>
                <w:b/>
                <w:color w:val="71B1C8"/>
                <w:spacing w:val="-2"/>
              </w:rPr>
              <w:t>KEY RESPONSIBILITIES</w:t>
            </w:r>
            <w:r>
              <w:rPr>
                <w:b/>
                <w:color w:val="71B1C8"/>
              </w:rPr>
              <w:t xml:space="preserve"> </w:t>
            </w:r>
          </w:p>
          <w:p>
            <w:pPr>
              <w:pStyle w:val="TableContents"/>
              <w:bidi w:val="0"/>
              <w:spacing w:lineRule="atLeast" w:line="170" w:before="70" w:after="283"/>
              <w:jc w:val="left"/>
              <w:rPr/>
            </w:pPr>
            <w:r>
              <w:rPr>
                <w:spacing w:val="-1"/>
              </w:rPr>
              <w:t>The primary duties of the Audit Committee are:</w:t>
            </w:r>
            <w:r>
              <w:rPr/>
              <w:t xml:space="preserve"> </w:t>
            </w:r>
          </w:p>
          <w:p>
            <w:pPr>
              <w:pStyle w:val="TableContents"/>
              <w:bidi w:val="0"/>
              <w:spacing w:lineRule="atLeast" w:line="170" w:before="110" w:after="0"/>
              <w:ind w:left="170" w:right="0" w:hanging="0"/>
              <w:jc w:val="left"/>
              <w:rPr/>
            </w:pPr>
            <w:r>
              <w:rPr>
                <w:spacing w:val="-1"/>
              </w:rPr>
              <w:t>to assist the Board in its oversight of:</w:t>
            </w:r>
            <w:r>
              <w:rPr/>
              <w:t xml:space="preserve"> </w:t>
            </w:r>
            <w:r>
              <mc:AlternateContent>
                <mc:Choice Requires="wps">
                  <w:drawing>
                    <wp:anchor behindDoc="0" distT="69850" distB="0" distL="0" distR="0" simplePos="0" locked="0" layoutInCell="1" allowOverlap="1" relativeHeight="520">
                      <wp:simplePos x="0" y="0"/>
                      <wp:positionH relativeFrom="column">
                        <wp:align>left</wp:align>
                      </wp:positionH>
                      <wp:positionV relativeFrom="line">
                        <wp:align>top</wp:align>
                      </wp:positionV>
                      <wp:extent cx="107950" cy="350520"/>
                      <wp:effectExtent l="0" t="0" r="0" b="0"/>
                      <wp:wrapSquare wrapText="right"/>
                      <wp:docPr id="431" name="Frame21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510" w:right="0" w:hanging="0"/>
              <w:jc w:val="left"/>
              <w:rPr/>
            </w:pPr>
            <w:r>
              <w:rPr>
                <w:spacing w:val="-1"/>
              </w:rPr>
              <w:t>the integrity of the Company’s financial statements,</w:t>
            </w:r>
            <w:r>
              <w:rPr/>
              <w:t xml:space="preserve"> </w:t>
            </w:r>
            <w:r>
              <mc:AlternateContent>
                <mc:Choice Requires="wps">
                  <w:drawing>
                    <wp:anchor behindDoc="0" distT="44450" distB="0" distL="107950" distR="0" simplePos="0" locked="0" layoutInCell="1" allowOverlap="1" relativeHeight="521">
                      <wp:simplePos x="0" y="0"/>
                      <wp:positionH relativeFrom="column">
                        <wp:align>left</wp:align>
                      </wp:positionH>
                      <wp:positionV relativeFrom="line">
                        <wp:align>top</wp:align>
                      </wp:positionV>
                      <wp:extent cx="215900" cy="350520"/>
                      <wp:effectExtent l="0" t="0" r="0" b="0"/>
                      <wp:wrapSquare wrapText="right"/>
                      <wp:docPr id="432" name="Frame215"/>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70" w:before="0" w:after="283"/>
                                    <w:jc w:val="left"/>
                                    <w:rPr/>
                                  </w:pPr>
                                  <w:r>
                                    <w:rPr>
                                      <w:spacing w:val="-1"/>
                                    </w:rPr>
                                    <w:t>(i)</w:t>
                                  </w:r>
                                  <w:r>
                                    <w:rPr/>
                                    <w:t xml:space="preserve"> </w:t>
                                    <w:br/>
                                  </w:r>
                                </w:p>
                              </w:txbxContent>
                            </wps:txbx>
                            <wps:bodyPr anchor="t" lIns="0" tIns="0" rIns="0" bIns="0">
                              <a:noAutofit/>
                            </wps:bodyPr>
                          </wps:wsp>
                        </a:graphicData>
                      </a:graphic>
                    </wp:anchor>
                  </w:drawing>
                </mc:Choice>
                <mc:Fallback>
                  <w:pict>
                    <v:rect style="position:absolute;rotation:-0;width:17pt;height:27.6pt;mso-wrap-distance-left:8.5pt;mso-wrap-distance-right:0pt;mso-wrap-distance-top:3.5pt;mso-wrap-distance-bottom:0pt;margin-top:3.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510" w:right="0" w:hanging="0"/>
              <w:jc w:val="left"/>
              <w:rPr/>
            </w:pPr>
            <w:r>
              <w:rPr>
                <w:spacing w:val="-1"/>
              </w:rPr>
              <w:t>the Company’s compliance with legal and regulatory requirements,</w:t>
            </w:r>
            <w:r>
              <w:rPr/>
              <w:t xml:space="preserve"> </w:t>
            </w:r>
            <w:r>
              <mc:AlternateContent>
                <mc:Choice Requires="wps">
                  <w:drawing>
                    <wp:anchor behindDoc="0" distT="44450" distB="0" distL="107950" distR="0" simplePos="0" locked="0" layoutInCell="1" allowOverlap="1" relativeHeight="522">
                      <wp:simplePos x="0" y="0"/>
                      <wp:positionH relativeFrom="column">
                        <wp:align>left</wp:align>
                      </wp:positionH>
                      <wp:positionV relativeFrom="line">
                        <wp:align>top</wp:align>
                      </wp:positionV>
                      <wp:extent cx="215900" cy="525780"/>
                      <wp:effectExtent l="0" t="0" r="0" b="0"/>
                      <wp:wrapSquare wrapText="right"/>
                      <wp:docPr id="433" name="Frame216"/>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170" w:before="0" w:after="283"/>
                                    <w:jc w:val="left"/>
                                    <w:rPr/>
                                  </w:pPr>
                                  <w:r>
                                    <w:rPr>
                                      <w:spacing w:val="-1"/>
                                    </w:rPr>
                                    <w:t>(ii)</w:t>
                                  </w:r>
                                  <w:r>
                                    <w:rPr/>
                                    <w:t xml:space="preserve"> </w:t>
                                    <w:br/>
                                  </w:r>
                                </w:p>
                              </w:txbxContent>
                            </wps:txbx>
                            <wps:bodyPr anchor="t" lIns="0" tIns="0" rIns="0" bIns="0">
                              <a:noAutofit/>
                            </wps:bodyPr>
                          </wps:wsp>
                        </a:graphicData>
                      </a:graphic>
                    </wp:anchor>
                  </w:drawing>
                </mc:Choice>
                <mc:Fallback>
                  <w:pict>
                    <v:rect style="position:absolute;rotation:-0;width:17pt;height:41.4pt;mso-wrap-distance-left:8.5pt;mso-wrap-distance-right:0pt;mso-wrap-distance-top:3.5pt;mso-wrap-distance-bottom:0pt;margin-top:3.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1"/>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510" w:right="0" w:hanging="0"/>
              <w:jc w:val="left"/>
              <w:rPr/>
            </w:pPr>
            <w:r>
              <w:rPr>
                <w:spacing w:val="-1"/>
              </w:rPr>
              <w:t>the qualifications and independence of the Company’s independent registered public accounting firm, and</w:t>
            </w:r>
            <w:r>
              <w:rPr/>
              <w:t xml:space="preserve"> </w:t>
            </w:r>
            <w:r>
              <mc:AlternateContent>
                <mc:Choice Requires="wps">
                  <w:drawing>
                    <wp:anchor behindDoc="0" distT="44450" distB="0" distL="107950" distR="0" simplePos="0" locked="0" layoutInCell="1" allowOverlap="1" relativeHeight="523">
                      <wp:simplePos x="0" y="0"/>
                      <wp:positionH relativeFrom="column">
                        <wp:align>left</wp:align>
                      </wp:positionH>
                      <wp:positionV relativeFrom="line">
                        <wp:align>top</wp:align>
                      </wp:positionV>
                      <wp:extent cx="215900" cy="525780"/>
                      <wp:effectExtent l="0" t="0" r="0" b="0"/>
                      <wp:wrapSquare wrapText="right"/>
                      <wp:docPr id="434" name="Frame217"/>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00" w:before="0" w:after="283"/>
                                    <w:jc w:val="left"/>
                                    <w:rPr/>
                                  </w:pPr>
                                  <w:r>
                                    <w:rPr>
                                      <w:spacing w:val="-1"/>
                                    </w:rPr>
                                    <w:t>(iii)</w:t>
                                  </w:r>
                                  <w:r>
                                    <w:rPr/>
                                    <w:t xml:space="preserve"> </w:t>
                                    <w:br/>
                                  </w:r>
                                </w:p>
                              </w:txbxContent>
                            </wps:txbx>
                            <wps:bodyPr anchor="t" lIns="0" tIns="0" rIns="0" bIns="0">
                              <a:noAutofit/>
                            </wps:bodyPr>
                          </wps:wsp>
                        </a:graphicData>
                      </a:graphic>
                    </wp:anchor>
                  </w:drawing>
                </mc:Choice>
                <mc:Fallback>
                  <w:pict>
                    <v:rect style="position:absolute;rotation:-0;width:17pt;height:41.4pt;mso-wrap-distance-left:8.5pt;mso-wrap-distance-right:0pt;mso-wrap-distance-top:3.5pt;mso-wrap-distance-bottom:0pt;margin-top:3.5pt;mso-position-vertical:top;mso-position-vertical-relative:text;margin-left:8.5pt;mso-position-horizontal:left;mso-position-horizontal-relative:text">
                      <v:textbox>
                        <w:txbxContent>
                          <w:p>
                            <w:pPr>
                              <w:pStyle w:val="TextBody"/>
                              <w:bidi w:val="0"/>
                              <w:spacing w:lineRule="atLeast" w:line="200" w:before="0" w:after="283"/>
                              <w:jc w:val="left"/>
                              <w:rPr/>
                            </w:pPr>
                            <w:r>
                              <w:rPr>
                                <w:spacing w:val="-1"/>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510" w:right="0" w:hanging="0"/>
              <w:jc w:val="left"/>
              <w:rPr/>
            </w:pPr>
            <w:r>
              <w:rPr>
                <w:spacing w:val="-1"/>
              </w:rPr>
              <w:t>the performance of the Company’s internal audit function and independent registered public accounting firm;</w:t>
            </w:r>
            <w:r>
              <w:rPr/>
              <w:t xml:space="preserve"> </w:t>
            </w:r>
            <w:r>
              <mc:AlternateContent>
                <mc:Choice Requires="wps">
                  <w:drawing>
                    <wp:anchor behindDoc="0" distT="44450" distB="0" distL="107950" distR="0" simplePos="0" locked="0" layoutInCell="1" allowOverlap="1" relativeHeight="524">
                      <wp:simplePos x="0" y="0"/>
                      <wp:positionH relativeFrom="column">
                        <wp:align>left</wp:align>
                      </wp:positionH>
                      <wp:positionV relativeFrom="line">
                        <wp:align>top</wp:align>
                      </wp:positionV>
                      <wp:extent cx="215900" cy="525780"/>
                      <wp:effectExtent l="0" t="0" r="0" b="0"/>
                      <wp:wrapSquare wrapText="right"/>
                      <wp:docPr id="435" name="Frame218"/>
                      <a:graphic xmlns:a="http://schemas.openxmlformats.org/drawingml/2006/main">
                        <a:graphicData uri="http://schemas.microsoft.com/office/word/2010/wordprocessingShape">
                          <wps:wsp>
                            <wps:cNvSpPr txBox="1"/>
                            <wps:spPr>
                              <a:xfrm>
                                <a:off x="0" y="0"/>
                                <a:ext cx="215900" cy="525780"/>
                              </a:xfrm>
                              <a:prstGeom prst="rect"/>
                              <a:solidFill>
                                <a:srgbClr val="FFFFFF"/>
                              </a:solidFill>
                            </wps:spPr>
                            <wps:txbx>
                              <w:txbxContent>
                                <w:p>
                                  <w:pPr>
                                    <w:pStyle w:val="TextBody"/>
                                    <w:bidi w:val="0"/>
                                    <w:spacing w:lineRule="atLeast" w:line="200" w:before="0" w:after="283"/>
                                    <w:jc w:val="left"/>
                                    <w:rPr/>
                                  </w:pPr>
                                  <w:r>
                                    <w:rPr>
                                      <w:spacing w:val="-1"/>
                                    </w:rPr>
                                    <w:t>(iv)</w:t>
                                  </w:r>
                                  <w:r>
                                    <w:rPr/>
                                    <w:t xml:space="preserve"> </w:t>
                                    <w:br/>
                                  </w:r>
                                </w:p>
                              </w:txbxContent>
                            </wps:txbx>
                            <wps:bodyPr anchor="t" lIns="0" tIns="0" rIns="0" bIns="0">
                              <a:noAutofit/>
                            </wps:bodyPr>
                          </wps:wsp>
                        </a:graphicData>
                      </a:graphic>
                    </wp:anchor>
                  </w:drawing>
                </mc:Choice>
                <mc:Fallback>
                  <w:pict>
                    <v:rect style="position:absolute;rotation:-0;width:17pt;height:41.4pt;mso-wrap-distance-left:8.5pt;mso-wrap-distance-right:0pt;mso-wrap-distance-top:3.5pt;mso-wrap-distance-bottom:0pt;margin-top:3.5pt;mso-position-vertical:top;mso-position-vertical-relative:text;margin-left:34pt;mso-position-horizontal:left;mso-position-horizontal-relative:text">
                      <v:textbox>
                        <w:txbxContent>
                          <w:p>
                            <w:pPr>
                              <w:pStyle w:val="TextBody"/>
                              <w:bidi w:val="0"/>
                              <w:spacing w:lineRule="atLeast" w:line="200" w:before="0" w:after="283"/>
                              <w:jc w:val="left"/>
                              <w:rPr/>
                            </w:pPr>
                            <w:r>
                              <w:rPr>
                                <w:spacing w:val="-1"/>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to appoint, compensate, and oversee the work of the independent registered public accounting firm employed by the Company (including resolution of disagreements between management and the auditors concerning financial reporting) for the purpose of preparing or issuing an audit report or related work. The independent registered public accounting firm shall report directly to the Committee;</w:t>
            </w:r>
            <w:r>
              <w:rPr/>
              <w:t xml:space="preserve"> </w:t>
            </w:r>
            <w:r>
              <mc:AlternateContent>
                <mc:Choice Requires="wps">
                  <w:drawing>
                    <wp:anchor behindDoc="0" distT="44450" distB="0" distL="0" distR="0" simplePos="0" locked="0" layoutInCell="1" allowOverlap="1" relativeHeight="525">
                      <wp:simplePos x="0" y="0"/>
                      <wp:positionH relativeFrom="column">
                        <wp:align>left</wp:align>
                      </wp:positionH>
                      <wp:positionV relativeFrom="line">
                        <wp:align>top</wp:align>
                      </wp:positionV>
                      <wp:extent cx="107950" cy="350520"/>
                      <wp:effectExtent l="0" t="0" r="0" b="0"/>
                      <wp:wrapSquare wrapText="right"/>
                      <wp:docPr id="436" name="Frame2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to prepare the report of the Committee required by the rules of the SEC to be included in the Company’s annual proxy statement; and</w:t>
            </w:r>
            <w:r>
              <w:rPr/>
              <w:t xml:space="preserve"> </w:t>
            </w:r>
            <w:r>
              <mc:AlternateContent>
                <mc:Choice Requires="wps">
                  <w:drawing>
                    <wp:anchor behindDoc="0" distT="44450" distB="0" distL="0" distR="0" simplePos="0" locked="0" layoutInCell="1" allowOverlap="1" relativeHeight="526">
                      <wp:simplePos x="0" y="0"/>
                      <wp:positionH relativeFrom="column">
                        <wp:align>left</wp:align>
                      </wp:positionH>
                      <wp:positionV relativeFrom="line">
                        <wp:align>top</wp:align>
                      </wp:positionV>
                      <wp:extent cx="107950" cy="350520"/>
                      <wp:effectExtent l="0" t="0" r="0" b="0"/>
                      <wp:wrapSquare wrapText="right"/>
                      <wp:docPr id="437" name="Frame2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to discuss the Company’s policies with respect to risk assessment and risk management in executive sessions and with management, the internal auditors, and the independent auditor, in particular with respect to the Company’s major financial risk exposures and the steps management has taken to monitor and control such exposures.</w:t>
            </w:r>
            <w:r>
              <w:rPr/>
              <w:t xml:space="preserve"> </w:t>
            </w:r>
            <w:r>
              <mc:AlternateContent>
                <mc:Choice Requires="wps">
                  <w:drawing>
                    <wp:anchor behindDoc="0" distT="44450" distB="0" distL="0" distR="0" simplePos="0" locked="0" layoutInCell="1" allowOverlap="1" relativeHeight="527">
                      <wp:simplePos x="0" y="0"/>
                      <wp:positionH relativeFrom="column">
                        <wp:align>left</wp:align>
                      </wp:positionH>
                      <wp:positionV relativeFrom="line">
                        <wp:align>top</wp:align>
                      </wp:positionV>
                      <wp:extent cx="107950" cy="350520"/>
                      <wp:effectExtent l="0" t="0" r="0" b="0"/>
                      <wp:wrapSquare wrapText="right"/>
                      <wp:docPr id="438" name="Frame2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0" w:after="283"/>
              <w:jc w:val="left"/>
              <w:rPr/>
            </w:pPr>
            <w:r>
              <w:rPr>
                <w:spacing w:val="-1"/>
              </w:rPr>
              <w:t>In addition to its regularly scheduled meetings, the Audit Committee is available either as a group or individually to discuss any matters that might affect the financial statements, internal controls, or other financial aspects of the operations of the Company.</w:t>
            </w:r>
            <w:r>
              <w:rPr/>
              <w:t xml:space="preserve"> </w:t>
            </w:r>
          </w:p>
          <w:p>
            <w:pPr>
              <w:pStyle w:val="TableContents"/>
              <w:bidi w:val="0"/>
              <w:spacing w:before="150" w:after="283"/>
              <w:jc w:val="left"/>
              <w:rPr/>
            </w:pPr>
            <w:r>
              <w:rPr>
                <w:spacing w:val="-1"/>
              </w:rPr>
              <w:t xml:space="preserve">The Chair of the Audit Committee may be reached at the following e-mail address: </w:t>
            </w:r>
            <w:r>
              <w:rPr>
                <w:color w:val="002F56"/>
                <w:spacing w:val="-1"/>
              </w:rPr>
              <w:t>audit.chair@mineralstech.com</w:t>
            </w:r>
            <w:r>
              <w:rPr>
                <w:spacing w:val="-1"/>
              </w:rPr>
              <w:t>.</w:t>
            </w:r>
            <w:r>
              <w:rPr/>
              <w:t xml:space="preserve"> </w:t>
            </w:r>
          </w:p>
        </w:tc>
        <w:tc>
          <w:tcPr>
            <w:tcW w:w="155" w:type="dxa"/>
            <w:tcBorders/>
            <w:vAlign w:val="center"/>
          </w:tcPr>
          <w:p>
            <w:pPr>
              <w:pStyle w:val="TableContents"/>
              <w:bidi w:val="0"/>
              <w:spacing w:before="0" w:after="283"/>
              <w:jc w:val="left"/>
              <w:rPr/>
            </w:pPr>
            <w:r>
              <w:rPr/>
              <w:t>​</w:t>
            </w:r>
          </w:p>
        </w:tc>
      </w:tr>
    </w:tbl>
    <w:tbl>
      <w:tblPr>
        <w:tblW w:w="9091" w:type="dxa"/>
        <w:jc w:val="left"/>
        <w:tblInd w:w="1020" w:type="dxa"/>
        <w:tblLayout w:type="fixed"/>
        <w:tblCellMar>
          <w:top w:w="0" w:type="dxa"/>
          <w:left w:w="0" w:type="dxa"/>
          <w:bottom w:w="0" w:type="dxa"/>
          <w:right w:w="0" w:type="dxa"/>
        </w:tblCellMar>
      </w:tblPr>
      <w:tblGrid>
        <w:gridCol w:w="124"/>
        <w:gridCol w:w="656"/>
        <w:gridCol w:w="109"/>
        <w:gridCol w:w="109"/>
        <w:gridCol w:w="3790"/>
        <w:gridCol w:w="109"/>
        <w:gridCol w:w="109"/>
        <w:gridCol w:w="3931"/>
        <w:gridCol w:w="154"/>
      </w:tblGrid>
      <w:tr>
        <w:trPr/>
        <w:tc>
          <w:tcPr>
            <w:tcW w:w="124" w:type="dxa"/>
            <w:vMerge w:val="restart"/>
            <w:tcBorders/>
            <w:shd w:fill="002F56" w:val="clear"/>
            <w:vAlign w:val="center"/>
          </w:tcPr>
          <w:p>
            <w:pPr>
              <w:pStyle w:val="TableContents"/>
              <w:bidi w:val="0"/>
              <w:spacing w:before="0" w:after="283"/>
              <w:jc w:val="left"/>
              <w:rPr/>
            </w:pPr>
            <w:r>
              <w:rPr/>
              <w:t>​</w:t>
            </w:r>
          </w:p>
        </w:tc>
        <w:tc>
          <w:tcPr>
            <w:tcW w:w="656" w:type="dxa"/>
            <w:vMerge w:val="restart"/>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23850" cy="333375"/>
                  <wp:effectExtent l="0" t="0" r="0" b="0"/>
                  <wp:docPr id="43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08" descr=""/>
                          <pic:cNvPicPr>
                            <a:picLocks noChangeAspect="1" noChangeArrowheads="1"/>
                          </pic:cNvPicPr>
                        </pic:nvPicPr>
                        <pic:blipFill>
                          <a:blip r:embed="rId219"/>
                          <a:stretch>
                            <a:fillRect/>
                          </a:stretch>
                        </pic:blipFill>
                        <pic:spPr bwMode="auto">
                          <a:xfrm>
                            <a:off x="0" y="0"/>
                            <a:ext cx="323850" cy="333375"/>
                          </a:xfrm>
                          <a:prstGeom prst="rect">
                            <a:avLst/>
                          </a:prstGeom>
                        </pic:spPr>
                      </pic:pic>
                    </a:graphicData>
                  </a:graphic>
                </wp:inline>
              </w:drawing>
            </w:r>
            <w:r>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3790" w:type="dxa"/>
            <w:vMerge w:val="restart"/>
            <w:tcBorders/>
            <w:shd w:fill="002F56" w:val="clear"/>
            <w:tcMar>
              <w:top w:w="28" w:type="dxa"/>
              <w:left w:w="28" w:type="dxa"/>
              <w:bottom w:w="28" w:type="dxa"/>
              <w:right w:w="28" w:type="dxa"/>
            </w:tcMar>
            <w:vAlign w:val="center"/>
          </w:tcPr>
          <w:p>
            <w:pPr>
              <w:pStyle w:val="TableContents"/>
              <w:bidi w:val="0"/>
              <w:spacing w:lineRule="atLeast" w:line="280" w:before="0" w:after="0"/>
              <w:jc w:val="left"/>
              <w:rPr>
                <w:spacing w:val="-16"/>
              </w:rPr>
            </w:pPr>
            <w:r>
              <w:rPr>
                <w:spacing w:val="-16"/>
              </w:rPr>
              <w:t xml:space="preserve">THE COMPENSATION COMMITTEE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931" w:type="dxa"/>
            <w:tcBorders/>
            <w:shd w:fill="002F56" w:val="clear"/>
            <w:vAlign w:val="center"/>
          </w:tcPr>
          <w:p>
            <w:pPr>
              <w:pStyle w:val="TableContents"/>
              <w:bidi w:val="0"/>
              <w:spacing w:lineRule="atLeast" w:line="190" w:before="0" w:after="0"/>
              <w:jc w:val="right"/>
              <w:rPr>
                <w:color w:val="94C4D6"/>
                <w:sz w:val="17"/>
              </w:rPr>
            </w:pPr>
            <w:r>
              <w:rPr>
                <w:color w:val="94C4D6"/>
                <w:spacing w:val="-6"/>
                <w:sz w:val="17"/>
              </w:rPr>
              <w:t>MEETINGS IN 2025: THREE</w:t>
            </w:r>
            <w:r>
              <w:rPr>
                <w:color w:val="94C4D6"/>
                <w:sz w:val="17"/>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vMerge w:val="continue"/>
            <w:tcBorders/>
            <w:shd w:fill="002F56" w:val="clear"/>
            <w:vAlign w:val="center"/>
          </w:tcPr>
          <w:p>
            <w:pPr>
              <w:pStyle w:val="Normal"/>
              <w:bidi w:val="0"/>
              <w:jc w:val="left"/>
              <w:rPr/>
            </w:pPr>
            <w:r>
              <w:rPr/>
            </w:r>
          </w:p>
        </w:tc>
        <w:tc>
          <w:tcPr>
            <w:tcW w:w="656" w:type="dxa"/>
            <w:vMerge w:val="continue"/>
            <w:tcBorders/>
            <w:shd w:fill="002F5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3790" w:type="dxa"/>
            <w:vMerge w:val="continue"/>
            <w:tcBorders/>
            <w:shd w:fill="002F5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3931" w:type="dxa"/>
            <w:tcBorders/>
            <w:shd w:fill="002F56" w:val="clear"/>
            <w:vAlign w:val="center"/>
          </w:tcPr>
          <w:p>
            <w:pPr>
              <w:pStyle w:val="TableContents"/>
              <w:bidi w:val="0"/>
              <w:spacing w:lineRule="atLeast" w:line="190" w:before="0" w:after="0"/>
              <w:jc w:val="right"/>
              <w:rPr/>
            </w:pPr>
            <w:r>
              <w:rPr>
                <w:spacing w:val="0"/>
              </w:rPr>
              <w:t>100% Independent </w:t>
            </w:r>
            <w:r>
              <w:rPr>
                <w:color w:val="71B1C8"/>
                <w:spacing w:val="-2"/>
              </w:rPr>
              <w:t>|</w:t>
            </w:r>
            <w:r>
              <w:rPr>
                <w:spacing w:val="0"/>
              </w:rPr>
              <w:t> 100% Attendance</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3231"/>
        <w:gridCol w:w="109"/>
        <w:gridCol w:w="109"/>
        <w:gridCol w:w="109"/>
        <w:gridCol w:w="5348"/>
        <w:gridCol w:w="155"/>
      </w:tblGrid>
      <w:tr>
        <w:trPr/>
        <w:tc>
          <w:tcPr>
            <w:tcW w:w="124" w:type="dxa"/>
            <w:tcBorders/>
            <w:vAlign w:val="center"/>
          </w:tcPr>
          <w:p>
            <w:pPr>
              <w:pStyle w:val="TableContents"/>
              <w:bidi w:val="0"/>
              <w:spacing w:before="0" w:after="283"/>
              <w:jc w:val="left"/>
              <w:rPr/>
            </w:pPr>
            <w:r>
              <w:rPr/>
              <w:t>​</w:t>
            </w:r>
          </w:p>
        </w:tc>
        <w:tc>
          <w:tcPr>
            <w:tcW w:w="3231" w:type="dxa"/>
            <w:tcBorders/>
            <w:vAlign w:val="center"/>
          </w:tcPr>
          <w:p>
            <w:pPr>
              <w:pStyle w:val="TableContents"/>
              <w:bidi w:val="0"/>
              <w:spacing w:before="0" w:after="0"/>
              <w:jc w:val="left"/>
              <w:rPr>
                <w:b/>
                <w:color w:val="71B1C8"/>
              </w:rPr>
            </w:pPr>
            <w:r>
              <w:rPr>
                <w:b/>
                <w:color w:val="71B1C8"/>
                <w:spacing w:val="-2"/>
              </w:rPr>
              <w:t>MEMBERS, NONE OF WHOM IS AN EMPLOYEE OF THE COMPANY</w:t>
            </w:r>
            <w:r>
              <w:rPr>
                <w:b/>
                <w:color w:val="71B1C8"/>
              </w:rPr>
              <w:t xml:space="preserve"> </w:t>
            </w:r>
          </w:p>
          <w:p>
            <w:pPr>
              <w:pStyle w:val="TableContents"/>
              <w:bidi w:val="0"/>
              <w:spacing w:lineRule="atLeast" w:line="170" w:before="70" w:after="0"/>
              <w:ind w:left="170" w:right="0" w:hanging="0"/>
              <w:jc w:val="left"/>
              <w:rPr/>
            </w:pPr>
            <w:r>
              <w:rPr>
                <w:b/>
                <w:spacing w:val="0"/>
              </w:rPr>
              <w:t>John J. Carmola</w:t>
            </w:r>
            <w:r>
              <w:rPr>
                <w:spacing w:val="-1"/>
              </w:rPr>
              <w:t xml:space="preserve"> (Chair)</w:t>
            </w:r>
            <w:r>
              <w:rPr/>
              <w:t xml:space="preserve"> </w:t>
            </w:r>
            <w:r>
              <mc:AlternateContent>
                <mc:Choice Requires="wps">
                  <w:drawing>
                    <wp:anchor behindDoc="0" distT="44450" distB="0" distL="0" distR="0" simplePos="0" locked="0" layoutInCell="1" allowOverlap="1" relativeHeight="528">
                      <wp:simplePos x="0" y="0"/>
                      <wp:positionH relativeFrom="column">
                        <wp:align>left</wp:align>
                      </wp:positionH>
                      <wp:positionV relativeFrom="line">
                        <wp:align>top</wp:align>
                      </wp:positionV>
                      <wp:extent cx="107950" cy="350520"/>
                      <wp:effectExtent l="0" t="0" r="0" b="0"/>
                      <wp:wrapSquare wrapText="right"/>
                      <wp:docPr id="440" name="Frame2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Joseph C. Breunig</w:t>
            </w:r>
            <w:r>
              <w:rPr/>
              <w:t xml:space="preserve"> </w:t>
            </w:r>
            <w:r>
              <mc:AlternateContent>
                <mc:Choice Requires="wps">
                  <w:drawing>
                    <wp:anchor behindDoc="0" distT="44450" distB="0" distL="0" distR="0" simplePos="0" locked="0" layoutInCell="1" allowOverlap="1" relativeHeight="529">
                      <wp:simplePos x="0" y="0"/>
                      <wp:positionH relativeFrom="column">
                        <wp:align>left</wp:align>
                      </wp:positionH>
                      <wp:positionV relativeFrom="line">
                        <wp:align>top</wp:align>
                      </wp:positionV>
                      <wp:extent cx="107950" cy="350520"/>
                      <wp:effectExtent l="0" t="0" r="0" b="0"/>
                      <wp:wrapSquare wrapText="right"/>
                      <wp:docPr id="441" name="Frame2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Alison A. Deans</w:t>
            </w:r>
            <w:r>
              <w:rPr/>
              <w:t xml:space="preserve"> </w:t>
            </w:r>
            <w:r>
              <mc:AlternateContent>
                <mc:Choice Requires="wps">
                  <w:drawing>
                    <wp:anchor behindDoc="0" distT="44450" distB="0" distL="0" distR="0" simplePos="0" locked="0" layoutInCell="1" allowOverlap="1" relativeHeight="530">
                      <wp:simplePos x="0" y="0"/>
                      <wp:positionH relativeFrom="column">
                        <wp:align>left</wp:align>
                      </wp:positionH>
                      <wp:positionV relativeFrom="line">
                        <wp:align>top</wp:align>
                      </wp:positionV>
                      <wp:extent cx="107950" cy="350520"/>
                      <wp:effectExtent l="0" t="0" r="0" b="0"/>
                      <wp:wrapSquare wrapText="right"/>
                      <wp:docPr id="442" name="Frame2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Franklin L. Feder</w:t>
            </w:r>
            <w:r>
              <w:rPr/>
              <w:t xml:space="preserve"> </w:t>
            </w:r>
            <w:r>
              <mc:AlternateContent>
                <mc:Choice Requires="wps">
                  <w:drawing>
                    <wp:anchor behindDoc="0" distT="44450" distB="0" distL="0" distR="0" simplePos="0" locked="0" layoutInCell="1" allowOverlap="1" relativeHeight="531">
                      <wp:simplePos x="0" y="0"/>
                      <wp:positionH relativeFrom="column">
                        <wp:align>left</wp:align>
                      </wp:positionH>
                      <wp:positionV relativeFrom="line">
                        <wp:align>top</wp:align>
                      </wp:positionV>
                      <wp:extent cx="107950" cy="350520"/>
                      <wp:effectExtent l="0" t="0" r="0" b="0"/>
                      <wp:wrapSquare wrapText="right"/>
                      <wp:docPr id="443" name="Frame2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spacing w:val="-1"/>
              </w:rPr>
            </w:pPr>
            <w:r>
              <w:rPr>
                <w:spacing w:val="-1"/>
              </w:rPr>
              <w:t xml:space="preserve">Rocky Motwani </w:t>
            </w:r>
            <w:r>
              <mc:AlternateContent>
                <mc:Choice Requires="wps">
                  <w:drawing>
                    <wp:anchor behindDoc="0" distT="44450" distB="0" distL="0" distR="0" simplePos="0" locked="0" layoutInCell="1" allowOverlap="1" relativeHeight="532">
                      <wp:simplePos x="0" y="0"/>
                      <wp:positionH relativeFrom="column">
                        <wp:align>left</wp:align>
                      </wp:positionH>
                      <wp:positionV relativeFrom="line">
                        <wp:align>top</wp:align>
                      </wp:positionV>
                      <wp:extent cx="107950" cy="350520"/>
                      <wp:effectExtent l="0" t="0" r="0" b="0"/>
                      <wp:wrapSquare wrapText="right"/>
                      <wp:docPr id="444" name="Frame2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283"/>
              <w:jc w:val="left"/>
              <w:rPr>
                <w:b/>
                <w:color w:val="71B1C8"/>
              </w:rPr>
            </w:pPr>
            <w:r>
              <w:rPr>
                <w:b/>
                <w:color w:val="71B1C8"/>
                <w:spacing w:val="-2"/>
              </w:rPr>
              <w:t>QUALIFICATIONS</w:t>
            </w:r>
            <w:r>
              <w:rPr>
                <w:b/>
                <w:color w:val="71B1C8"/>
              </w:rPr>
              <w:t xml:space="preserve"> </w:t>
            </w:r>
          </w:p>
          <w:p>
            <w:pPr>
              <w:pStyle w:val="TableContents"/>
              <w:bidi w:val="0"/>
              <w:spacing w:lineRule="atLeast" w:line="200" w:before="70" w:after="0"/>
              <w:ind w:left="170" w:right="0" w:hanging="0"/>
              <w:jc w:val="left"/>
              <w:rPr>
                <w:spacing w:val="-1"/>
              </w:rPr>
            </w:pPr>
            <w:r>
              <w:rPr>
                <w:spacing w:val="-1"/>
              </w:rPr>
              <w:t xml:space="preserve">The Board has determined that each member of the Compensation Committee is independent in accordance with the rules of the New York Stock Exchange. </w:t>
            </w:r>
            <w:r>
              <mc:AlternateContent>
                <mc:Choice Requires="wps">
                  <w:drawing>
                    <wp:anchor behindDoc="0" distT="44450" distB="0" distL="0" distR="0" simplePos="0" locked="0" layoutInCell="1" allowOverlap="1" relativeHeight="533">
                      <wp:simplePos x="0" y="0"/>
                      <wp:positionH relativeFrom="column">
                        <wp:align>left</wp:align>
                      </wp:positionH>
                      <wp:positionV relativeFrom="line">
                        <wp:align>top</wp:align>
                      </wp:positionV>
                      <wp:extent cx="107950" cy="350520"/>
                      <wp:effectExtent l="0" t="0" r="0" b="0"/>
                      <wp:wrapSquare wrapText="right"/>
                      <wp:docPr id="445" name="Frame2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0" w:after="283"/>
              <w:jc w:val="left"/>
              <w:rPr>
                <w:b/>
                <w:color w:val="71B1C8"/>
              </w:rPr>
            </w:pPr>
            <w:r>
              <w:rPr>
                <w:b/>
                <w:color w:val="71B1C8"/>
                <w:spacing w:val="-2"/>
              </w:rPr>
              <w:t>REPORT OF THE COMPENSATION COMMITTEE</w:t>
            </w:r>
            <w:r>
              <w:rPr>
                <w:b/>
                <w:color w:val="71B1C8"/>
              </w:rPr>
              <w:t xml:space="preserve"> </w:t>
            </w:r>
          </w:p>
          <w:p>
            <w:pPr>
              <w:pStyle w:val="TableContents"/>
              <w:bidi w:val="0"/>
              <w:spacing w:lineRule="atLeast" w:line="170" w:before="70" w:after="283"/>
              <w:jc w:val="left"/>
              <w:rPr>
                <w:spacing w:val="-1"/>
              </w:rPr>
            </w:pPr>
            <w:r>
              <w:rPr>
                <w:spacing w:val="-1"/>
              </w:rPr>
              <w:t xml:space="preserve">See page 58.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48" w:type="dxa"/>
            <w:tcBorders/>
            <w:vAlign w:val="center"/>
          </w:tcPr>
          <w:p>
            <w:pPr>
              <w:pStyle w:val="TableContents"/>
              <w:bidi w:val="0"/>
              <w:spacing w:before="0" w:after="0"/>
              <w:jc w:val="left"/>
              <w:rPr>
                <w:b/>
                <w:color w:val="71B1C8"/>
              </w:rPr>
            </w:pPr>
            <w:r>
              <w:rPr>
                <w:b/>
                <w:color w:val="71B1C8"/>
                <w:spacing w:val="-2"/>
              </w:rPr>
              <w:t>KEY RESPONSIBILITIES</w:t>
            </w:r>
            <w:r>
              <w:rPr>
                <w:b/>
                <w:color w:val="71B1C8"/>
              </w:rPr>
              <w:t xml:space="preserve"> </w:t>
            </w:r>
          </w:p>
          <w:p>
            <w:pPr>
              <w:pStyle w:val="TableContents"/>
              <w:bidi w:val="0"/>
              <w:spacing w:lineRule="atLeast" w:line="170" w:before="70" w:after="283"/>
              <w:jc w:val="left"/>
              <w:rPr/>
            </w:pPr>
            <w:r>
              <w:rPr>
                <w:spacing w:val="-1"/>
              </w:rPr>
              <w:t>The primary duties of the Compensation Committee are:</w:t>
            </w:r>
            <w:r>
              <w:rPr/>
              <w:t xml:space="preserve"> </w:t>
            </w:r>
          </w:p>
          <w:p>
            <w:pPr>
              <w:pStyle w:val="TableContents"/>
              <w:bidi w:val="0"/>
              <w:spacing w:lineRule="atLeast" w:line="170" w:before="110" w:after="0"/>
              <w:ind w:left="170" w:right="0" w:hanging="0"/>
              <w:jc w:val="left"/>
              <w:rPr/>
            </w:pPr>
            <w:r>
              <w:rPr>
                <w:spacing w:val="-1"/>
              </w:rPr>
              <w:t>to participate in the development of our compensation and benefits policies;</w:t>
            </w:r>
            <w:r>
              <w:rPr/>
              <w:t xml:space="preserve"> </w:t>
            </w:r>
            <w:r>
              <mc:AlternateContent>
                <mc:Choice Requires="wps">
                  <w:drawing>
                    <wp:anchor behindDoc="0" distT="69850" distB="0" distL="0" distR="0" simplePos="0" locked="0" layoutInCell="1" allowOverlap="1" relativeHeight="534">
                      <wp:simplePos x="0" y="0"/>
                      <wp:positionH relativeFrom="column">
                        <wp:align>left</wp:align>
                      </wp:positionH>
                      <wp:positionV relativeFrom="line">
                        <wp:align>top</wp:align>
                      </wp:positionV>
                      <wp:extent cx="107950" cy="350520"/>
                      <wp:effectExtent l="0" t="0" r="0" b="0"/>
                      <wp:wrapSquare wrapText="right"/>
                      <wp:docPr id="446" name="Frame2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to establish, and from time to time vary, the salaries and other compensation of the Company’s Chief Executive Officer and other elected officers;</w:t>
            </w:r>
            <w:r>
              <w:rPr/>
              <w:t xml:space="preserve"> </w:t>
            </w:r>
            <w:r>
              <mc:AlternateContent>
                <mc:Choice Requires="wps">
                  <w:drawing>
                    <wp:anchor behindDoc="0" distT="44450" distB="0" distL="0" distR="0" simplePos="0" locked="0" layoutInCell="1" allowOverlap="1" relativeHeight="535">
                      <wp:simplePos x="0" y="0"/>
                      <wp:positionH relativeFrom="column">
                        <wp:align>left</wp:align>
                      </wp:positionH>
                      <wp:positionV relativeFrom="line">
                        <wp:align>top</wp:align>
                      </wp:positionV>
                      <wp:extent cx="107950" cy="350520"/>
                      <wp:effectExtent l="0" t="0" r="0" b="0"/>
                      <wp:wrapSquare wrapText="right"/>
                      <wp:docPr id="447" name="Frame2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to review and approve the Company’s incentive structure to avoid encouraging excessive risk-taking through financial incentives as well as the relationship between compensation and the Company’s risk management policies and practices; and</w:t>
            </w:r>
            <w:r>
              <w:rPr/>
              <w:t xml:space="preserve"> </w:t>
            </w:r>
            <w:r>
              <mc:AlternateContent>
                <mc:Choice Requires="wps">
                  <w:drawing>
                    <wp:anchor behindDoc="0" distT="44450" distB="0" distL="0" distR="0" simplePos="0" locked="0" layoutInCell="1" allowOverlap="1" relativeHeight="536">
                      <wp:simplePos x="0" y="0"/>
                      <wp:positionH relativeFrom="column">
                        <wp:align>left</wp:align>
                      </wp:positionH>
                      <wp:positionV relativeFrom="line">
                        <wp:align>top</wp:align>
                      </wp:positionV>
                      <wp:extent cx="107950" cy="350520"/>
                      <wp:effectExtent l="0" t="0" r="0" b="0"/>
                      <wp:wrapSquare wrapText="right"/>
                      <wp:docPr id="448" name="Frame2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to participate in top-level management succession planning.</w:t>
            </w:r>
            <w:r>
              <w:rPr/>
              <w:t xml:space="preserve"> </w:t>
            </w:r>
            <w:r>
              <mc:AlternateContent>
                <mc:Choice Requires="wps">
                  <w:drawing>
                    <wp:anchor behindDoc="0" distT="44450" distB="0" distL="0" distR="0" simplePos="0" locked="0" layoutInCell="1" allowOverlap="1" relativeHeight="537">
                      <wp:simplePos x="0" y="0"/>
                      <wp:positionH relativeFrom="column">
                        <wp:align>left</wp:align>
                      </wp:positionH>
                      <wp:positionV relativeFrom="line">
                        <wp:align>top</wp:align>
                      </wp:positionV>
                      <wp:extent cx="107950" cy="350520"/>
                      <wp:effectExtent l="0" t="0" r="0" b="0"/>
                      <wp:wrapSquare wrapText="right"/>
                      <wp:docPr id="449" name="Frame2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0" w:after="283"/>
              <w:jc w:val="left"/>
              <w:rPr/>
            </w:pPr>
            <w:r>
              <w:rPr>
                <w:spacing w:val="-1"/>
              </w:rPr>
              <w:t>The Compensation Committee also oversees our efforts at promoting gender equity within our Company.</w:t>
            </w:r>
            <w:r>
              <w:rPr/>
              <w:t xml:space="preserve"> </w:t>
            </w:r>
          </w:p>
          <w:p>
            <w:pPr>
              <w:pStyle w:val="TableContents"/>
              <w:bidi w:val="0"/>
              <w:spacing w:before="150" w:after="283"/>
              <w:jc w:val="left"/>
              <w:rPr/>
            </w:pPr>
            <w:r>
              <w:rPr>
                <w:spacing w:val="-1"/>
              </w:rPr>
              <w:t>See “</w:t>
            </w:r>
            <w:r>
              <w:rPr>
                <w:i/>
              </w:rPr>
              <w:t>Compensation Discussion and Analysis</w:t>
            </w:r>
            <w:r>
              <w:rPr>
                <w:spacing w:val="-1"/>
              </w:rPr>
              <w:t>” and “</w:t>
            </w:r>
            <w:r>
              <w:rPr>
                <w:i/>
              </w:rPr>
              <w:t>Report of the Compensation Committee</w:t>
            </w:r>
            <w:r>
              <w:rPr>
                <w:spacing w:val="-1"/>
              </w:rPr>
              <w:t>” below for further discussion of the Compensation Committee’s activities in 2025.</w:t>
            </w:r>
            <w:r>
              <w:rPr/>
              <w:t xml:space="preserve"> </w:t>
            </w:r>
          </w:p>
          <w:p>
            <w:pPr>
              <w:pStyle w:val="TableContents"/>
              <w:bidi w:val="0"/>
              <w:spacing w:before="150" w:after="283"/>
              <w:jc w:val="left"/>
              <w:rPr/>
            </w:pPr>
            <w:r>
              <w:rPr>
                <w:spacing w:val="-1"/>
              </w:rPr>
              <w:t xml:space="preserve">The Chair of the Compensation Committee may be reached at the following e-mail address: </w:t>
            </w:r>
            <w:r>
              <w:rPr>
                <w:color w:val="002F56"/>
                <w:spacing w:val="-1"/>
              </w:rPr>
              <w:t>compensation.chair@mineralstech.com</w:t>
            </w:r>
            <w:r>
              <w:rPr>
                <w:spacing w:val="-1"/>
              </w:rPr>
              <w: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21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BACS"/>
      <w:bookmarkEnd w:id="27"/>
      <w:r>
        <w:rPr>
          <w:rFonts w:ascii="calibri;arial;sans-serif" w:hAnsi="calibri;arial;sans-serif"/>
          <w:b w:val="false"/>
          <w:i w:val="false"/>
          <w:caps w:val="false"/>
          <w:smallCaps w:val="false"/>
          <w:color w:val="000000"/>
          <w:sz w:val="16"/>
        </w:rPr>
        <w:t>​</w:t>
      </w:r>
      <w:bookmarkStart w:id="28" w:name="tDSO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pacing w:val="-2"/>
          <w:sz w:val="28"/>
        </w:rPr>
      </w:pPr>
      <w:r>
        <w:rPr>
          <w:rFonts w:ascii="Arial;Helvetica;sans-serif" w:hAnsi="Arial;Helvetica;sans-serif"/>
          <w:b w:val="false"/>
          <w:i w:val="false"/>
          <w:caps w:val="false"/>
          <w:smallCaps w:val="false"/>
          <w:color w:val="002F56"/>
          <w:spacing w:val="-2"/>
          <w:sz w:val="28"/>
        </w:rPr>
        <w:t xml:space="preserve">COMPENSATION COMMITTEE INTERLOCKS AND INSIDER PARTICIPATION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There were no Compensation Committee interlocks or insider (employee) participation during 2025.</w:t>
      </w:r>
      <w:r>
        <w:rPr>
          <w:rFonts w:ascii="Arial;Helvetica;sans-serif" w:hAnsi="Arial;Helvetica;sans-serif"/>
          <w:b w:val="false"/>
          <w:i w:val="false"/>
          <w:caps w:val="false"/>
          <w:smallCaps w:val="false"/>
          <w:color w:val="000000"/>
          <w:spacing w:val="4"/>
          <w:sz w:val="18"/>
        </w:rPr>
        <w:t xml:space="preserve"> </w:t>
      </w:r>
    </w:p>
    <w:tbl>
      <w:tblPr>
        <w:tblW w:w="8973" w:type="dxa"/>
        <w:jc w:val="left"/>
        <w:tblInd w:w="1020" w:type="dxa"/>
        <w:tblLayout w:type="fixed"/>
        <w:tblCellMar>
          <w:top w:w="0" w:type="dxa"/>
          <w:left w:w="0" w:type="dxa"/>
          <w:bottom w:w="0" w:type="dxa"/>
          <w:right w:w="0" w:type="dxa"/>
        </w:tblCellMar>
      </w:tblPr>
      <w:tblGrid>
        <w:gridCol w:w="124"/>
        <w:gridCol w:w="686"/>
        <w:gridCol w:w="109"/>
        <w:gridCol w:w="109"/>
        <w:gridCol w:w="3642"/>
        <w:gridCol w:w="109"/>
        <w:gridCol w:w="109"/>
        <w:gridCol w:w="3931"/>
        <w:gridCol w:w="154"/>
      </w:tblGrid>
      <w:tr>
        <w:trPr/>
        <w:tc>
          <w:tcPr>
            <w:tcW w:w="124" w:type="dxa"/>
            <w:vMerge w:val="restart"/>
            <w:tcBorders/>
            <w:shd w:fill="002F56" w:val="clear"/>
            <w:vAlign w:val="center"/>
          </w:tcPr>
          <w:p>
            <w:pPr>
              <w:pStyle w:val="TableContents"/>
              <w:bidi w:val="0"/>
              <w:spacing w:before="0" w:after="283"/>
              <w:jc w:val="left"/>
              <w:rPr/>
            </w:pPr>
            <w:r>
              <w:rPr/>
              <w:t>​</w:t>
            </w:r>
          </w:p>
        </w:tc>
        <w:tc>
          <w:tcPr>
            <w:tcW w:w="686" w:type="dxa"/>
            <w:vMerge w:val="restart"/>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266700"/>
                  <wp:effectExtent l="0" t="0" r="0" b="0"/>
                  <wp:docPr id="45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09" descr=""/>
                          <pic:cNvPicPr>
                            <a:picLocks noChangeAspect="1" noChangeArrowheads="1"/>
                          </pic:cNvPicPr>
                        </pic:nvPicPr>
                        <pic:blipFill>
                          <a:blip r:embed="rId220"/>
                          <a:stretch>
                            <a:fillRect/>
                          </a:stretch>
                        </pic:blipFill>
                        <pic:spPr bwMode="auto">
                          <a:xfrm>
                            <a:off x="0" y="0"/>
                            <a:ext cx="342900" cy="266700"/>
                          </a:xfrm>
                          <a:prstGeom prst="rect">
                            <a:avLst/>
                          </a:prstGeom>
                        </pic:spPr>
                      </pic:pic>
                    </a:graphicData>
                  </a:graphic>
                </wp:inline>
              </w:drawing>
            </w:r>
            <w:r>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vMerge w:val="restart"/>
            <w:tcBorders/>
            <w:shd w:fill="002F56" w:val="clear"/>
            <w:vAlign w:val="center"/>
          </w:tcPr>
          <w:p>
            <w:pPr>
              <w:pStyle w:val="TableContents"/>
              <w:bidi w:val="0"/>
              <w:spacing w:before="0" w:after="283"/>
              <w:jc w:val="left"/>
              <w:rPr/>
            </w:pPr>
            <w:r>
              <w:rPr/>
              <w:t>​</w:t>
            </w:r>
          </w:p>
        </w:tc>
        <w:tc>
          <w:tcPr>
            <w:tcW w:w="3642" w:type="dxa"/>
            <w:vMerge w:val="restart"/>
            <w:tcBorders/>
            <w:shd w:fill="002F56" w:val="clear"/>
            <w:tcMar>
              <w:top w:w="28" w:type="dxa"/>
              <w:left w:w="28" w:type="dxa"/>
              <w:bottom w:w="28" w:type="dxa"/>
              <w:right w:w="28" w:type="dxa"/>
            </w:tcMar>
            <w:vAlign w:val="center"/>
          </w:tcPr>
          <w:p>
            <w:pPr>
              <w:pStyle w:val="TableContents"/>
              <w:bidi w:val="0"/>
              <w:spacing w:lineRule="atLeast" w:line="300" w:before="0" w:after="0"/>
              <w:jc w:val="left"/>
              <w:rPr>
                <w:spacing w:val="-16"/>
              </w:rPr>
            </w:pPr>
            <w:r>
              <w:rPr>
                <w:spacing w:val="-16"/>
              </w:rPr>
              <w:t xml:space="preserve">THE CORPORATE GOVERNANCE </w:t>
              <w:br/>
              <w:t xml:space="preserve">AND NOMINATING COMMITTEE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931" w:type="dxa"/>
            <w:tcBorders/>
            <w:shd w:fill="002F56" w:val="clear"/>
            <w:vAlign w:val="center"/>
          </w:tcPr>
          <w:p>
            <w:pPr>
              <w:pStyle w:val="TableContents"/>
              <w:bidi w:val="0"/>
              <w:spacing w:lineRule="atLeast" w:line="210" w:before="0" w:after="0"/>
              <w:jc w:val="right"/>
              <w:rPr>
                <w:color w:val="94C4D6"/>
                <w:sz w:val="17"/>
              </w:rPr>
            </w:pPr>
            <w:r>
              <w:rPr>
                <w:color w:val="94C4D6"/>
                <w:spacing w:val="-6"/>
                <w:sz w:val="17"/>
              </w:rPr>
              <w:t>MEETINGS IN 2025: THREE</w:t>
            </w:r>
            <w:r>
              <w:rPr>
                <w:color w:val="94C4D6"/>
                <w:sz w:val="17"/>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vMerge w:val="continue"/>
            <w:tcBorders/>
            <w:shd w:fill="002F56" w:val="clear"/>
            <w:vAlign w:val="center"/>
          </w:tcPr>
          <w:p>
            <w:pPr>
              <w:pStyle w:val="Normal"/>
              <w:bidi w:val="0"/>
              <w:jc w:val="left"/>
              <w:rPr/>
            </w:pPr>
            <w:r>
              <w:rPr/>
            </w:r>
          </w:p>
        </w:tc>
        <w:tc>
          <w:tcPr>
            <w:tcW w:w="686" w:type="dxa"/>
            <w:vMerge w:val="continue"/>
            <w:tcBorders/>
            <w:shd w:fill="002F5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3642" w:type="dxa"/>
            <w:vMerge w:val="continue"/>
            <w:tcBorders/>
            <w:shd w:fill="002F56"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3931" w:type="dxa"/>
            <w:tcBorders/>
            <w:shd w:fill="002F56" w:val="clear"/>
            <w:vAlign w:val="center"/>
          </w:tcPr>
          <w:p>
            <w:pPr>
              <w:pStyle w:val="TableContents"/>
              <w:bidi w:val="0"/>
              <w:spacing w:lineRule="atLeast" w:line="190" w:before="0" w:after="0"/>
              <w:jc w:val="right"/>
              <w:rPr/>
            </w:pPr>
            <w:r>
              <w:rPr>
                <w:spacing w:val="0"/>
              </w:rPr>
              <w:t>100% Independent </w:t>
            </w:r>
            <w:r>
              <w:rPr>
                <w:color w:val="71B1C8"/>
                <w:spacing w:val="-2"/>
              </w:rPr>
              <w:t>|</w:t>
            </w:r>
            <w:r>
              <w:rPr>
                <w:spacing w:val="0"/>
              </w:rPr>
              <w:t> 100% Attendance</w:t>
            </w:r>
            <w:r>
              <w:rPr/>
              <w:t xml:space="preserve"> </w:t>
            </w:r>
          </w:p>
        </w:tc>
        <w:tc>
          <w:tcPr>
            <w:tcW w:w="154" w:type="dxa"/>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2709"/>
        <w:gridCol w:w="109"/>
        <w:gridCol w:w="109"/>
        <w:gridCol w:w="109"/>
        <w:gridCol w:w="5870"/>
        <w:gridCol w:w="155"/>
      </w:tblGrid>
      <w:tr>
        <w:trPr/>
        <w:tc>
          <w:tcPr>
            <w:tcW w:w="124" w:type="dxa"/>
            <w:tcBorders/>
            <w:vAlign w:val="center"/>
          </w:tcPr>
          <w:p>
            <w:pPr>
              <w:pStyle w:val="TableContents"/>
              <w:bidi w:val="0"/>
              <w:spacing w:before="0" w:after="283"/>
              <w:jc w:val="left"/>
              <w:rPr/>
            </w:pPr>
            <w:r>
              <w:rPr/>
              <w:t>​</w:t>
            </w:r>
          </w:p>
        </w:tc>
        <w:tc>
          <w:tcPr>
            <w:tcW w:w="2709" w:type="dxa"/>
            <w:tcBorders/>
            <w:vAlign w:val="center"/>
          </w:tcPr>
          <w:p>
            <w:pPr>
              <w:pStyle w:val="TableContents"/>
              <w:bidi w:val="0"/>
              <w:spacing w:before="0" w:after="0"/>
              <w:jc w:val="left"/>
              <w:rPr>
                <w:b/>
                <w:color w:val="71B1C8"/>
              </w:rPr>
            </w:pPr>
            <w:r>
              <w:rPr>
                <w:b/>
                <w:color w:val="71B1C8"/>
                <w:spacing w:val="-2"/>
              </w:rPr>
              <w:t>MEMBERS, NONE OF WHOM IS AN EMPLOYEE OF THE COMPANY</w:t>
            </w:r>
            <w:r>
              <w:rPr>
                <w:b/>
                <w:color w:val="71B1C8"/>
              </w:rPr>
              <w:t xml:space="preserve"> </w:t>
            </w:r>
          </w:p>
          <w:p>
            <w:pPr>
              <w:pStyle w:val="TableContents"/>
              <w:bidi w:val="0"/>
              <w:spacing w:lineRule="atLeast" w:line="170" w:before="70" w:after="0"/>
              <w:ind w:left="170" w:right="0" w:hanging="0"/>
              <w:jc w:val="left"/>
              <w:rPr/>
            </w:pPr>
            <w:r>
              <w:rPr>
                <w:b/>
                <w:spacing w:val="0"/>
              </w:rPr>
              <w:t>Joseph C. Breunig</w:t>
            </w:r>
            <w:r>
              <w:rPr>
                <w:spacing w:val="-1"/>
              </w:rPr>
              <w:t xml:space="preserve"> (Chair)</w:t>
            </w:r>
            <w:r>
              <w:rPr/>
              <w:t xml:space="preserve"> </w:t>
            </w:r>
            <w:r>
              <mc:AlternateContent>
                <mc:Choice Requires="wps">
                  <w:drawing>
                    <wp:anchor behindDoc="0" distT="44450" distB="0" distL="0" distR="0" simplePos="0" locked="0" layoutInCell="1" allowOverlap="1" relativeHeight="538">
                      <wp:simplePos x="0" y="0"/>
                      <wp:positionH relativeFrom="column">
                        <wp:align>left</wp:align>
                      </wp:positionH>
                      <wp:positionV relativeFrom="line">
                        <wp:align>top</wp:align>
                      </wp:positionV>
                      <wp:extent cx="107950" cy="350520"/>
                      <wp:effectExtent l="0" t="0" r="0" b="0"/>
                      <wp:wrapSquare wrapText="right"/>
                      <wp:docPr id="451" name="Frame2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Alison A. Deans</w:t>
            </w:r>
            <w:r>
              <w:rPr/>
              <w:t xml:space="preserve"> </w:t>
            </w:r>
            <w:r>
              <mc:AlternateContent>
                <mc:Choice Requires="wps">
                  <w:drawing>
                    <wp:anchor behindDoc="0" distT="44450" distB="0" distL="0" distR="0" simplePos="0" locked="0" layoutInCell="1" allowOverlap="1" relativeHeight="539">
                      <wp:simplePos x="0" y="0"/>
                      <wp:positionH relativeFrom="column">
                        <wp:align>left</wp:align>
                      </wp:positionH>
                      <wp:positionV relativeFrom="line">
                        <wp:align>top</wp:align>
                      </wp:positionV>
                      <wp:extent cx="107950" cy="350520"/>
                      <wp:effectExtent l="0" t="0" r="0" b="0"/>
                      <wp:wrapSquare wrapText="right"/>
                      <wp:docPr id="452" name="Frame2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Kristina M. Johnson</w:t>
            </w:r>
            <w:r>
              <w:rPr/>
              <w:t xml:space="preserve"> </w:t>
            </w:r>
            <w:r>
              <mc:AlternateContent>
                <mc:Choice Requires="wps">
                  <w:drawing>
                    <wp:anchor behindDoc="0" distT="44450" distB="0" distL="0" distR="0" simplePos="0" locked="0" layoutInCell="1" allowOverlap="1" relativeHeight="540">
                      <wp:simplePos x="0" y="0"/>
                      <wp:positionH relativeFrom="column">
                        <wp:align>left</wp:align>
                      </wp:positionH>
                      <wp:positionV relativeFrom="line">
                        <wp:align>top</wp:align>
                      </wp:positionV>
                      <wp:extent cx="107950" cy="350520"/>
                      <wp:effectExtent l="0" t="0" r="0" b="0"/>
                      <wp:wrapSquare wrapText="right"/>
                      <wp:docPr id="453" name="Frame2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Carolyn K. Pittman</w:t>
            </w:r>
            <w:r>
              <w:rPr/>
              <w:t xml:space="preserve"> </w:t>
            </w:r>
            <w:r>
              <mc:AlternateContent>
                <mc:Choice Requires="wps">
                  <w:drawing>
                    <wp:anchor behindDoc="0" distT="44450" distB="0" distL="0" distR="0" simplePos="0" locked="0" layoutInCell="1" allowOverlap="1" relativeHeight="541">
                      <wp:simplePos x="0" y="0"/>
                      <wp:positionH relativeFrom="column">
                        <wp:align>left</wp:align>
                      </wp:positionH>
                      <wp:positionV relativeFrom="line">
                        <wp:align>top</wp:align>
                      </wp:positionV>
                      <wp:extent cx="107950" cy="350520"/>
                      <wp:effectExtent l="0" t="0" r="0" b="0"/>
                      <wp:wrapSquare wrapText="right"/>
                      <wp:docPr id="454" name="Frame2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spacing w:val="-1"/>
              </w:rPr>
            </w:pPr>
            <w:r>
              <w:rPr>
                <w:spacing w:val="-1"/>
              </w:rPr>
              <w:t xml:space="preserve">Marc E. Robinson </w:t>
            </w:r>
            <w:r>
              <mc:AlternateContent>
                <mc:Choice Requires="wps">
                  <w:drawing>
                    <wp:anchor behindDoc="0" distT="44450" distB="0" distL="0" distR="0" simplePos="0" locked="0" layoutInCell="1" allowOverlap="1" relativeHeight="542">
                      <wp:simplePos x="0" y="0"/>
                      <wp:positionH relativeFrom="column">
                        <wp:align>left</wp:align>
                      </wp:positionH>
                      <wp:positionV relativeFrom="line">
                        <wp:align>top</wp:align>
                      </wp:positionV>
                      <wp:extent cx="107950" cy="350520"/>
                      <wp:effectExtent l="0" t="0" r="0" b="0"/>
                      <wp:wrapSquare wrapText="right"/>
                      <wp:docPr id="455" name="Frame2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0" w:after="283"/>
              <w:jc w:val="left"/>
              <w:rPr>
                <w:b/>
                <w:color w:val="71B1C8"/>
              </w:rPr>
            </w:pPr>
            <w:r>
              <w:rPr>
                <w:b/>
                <w:color w:val="71B1C8"/>
                <w:spacing w:val="-2"/>
              </w:rPr>
              <w:t>QUALIFICATIONS</w:t>
            </w:r>
            <w:r>
              <w:rPr>
                <w:b/>
                <w:color w:val="71B1C8"/>
              </w:rPr>
              <w:t xml:space="preserve"> </w:t>
            </w:r>
          </w:p>
          <w:p>
            <w:pPr>
              <w:pStyle w:val="TableContents"/>
              <w:bidi w:val="0"/>
              <w:spacing w:lineRule="atLeast" w:line="200" w:before="70" w:after="0"/>
              <w:ind w:left="170" w:right="0" w:hanging="0"/>
              <w:jc w:val="left"/>
              <w:rPr>
                <w:spacing w:val="-1"/>
              </w:rPr>
            </w:pPr>
            <w:r>
              <w:rPr>
                <w:spacing w:val="-1"/>
              </w:rPr>
              <w:t xml:space="preserve">The Board has determined that each member of the Corporate Governance and Nominating Committee is independent in accordance with the rules of the New York Stock Exchange. </w:t>
            </w:r>
            <w:r>
              <mc:AlternateContent>
                <mc:Choice Requires="wps">
                  <w:drawing>
                    <wp:anchor behindDoc="0" distT="44450" distB="0" distL="0" distR="0" simplePos="0" locked="0" layoutInCell="1" allowOverlap="1" relativeHeight="543">
                      <wp:simplePos x="0" y="0"/>
                      <wp:positionH relativeFrom="column">
                        <wp:align>left</wp:align>
                      </wp:positionH>
                      <wp:positionV relativeFrom="line">
                        <wp:align>top</wp:align>
                      </wp:positionV>
                      <wp:extent cx="107950" cy="350520"/>
                      <wp:effectExtent l="0" t="0" r="0" b="0"/>
                      <wp:wrapSquare wrapText="right"/>
                      <wp:docPr id="456" name="Frame2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0" w:after="283"/>
              <w:jc w:val="left"/>
              <w:rPr>
                <w:b/>
                <w:color w:val="71B1C8"/>
              </w:rPr>
            </w:pPr>
            <w:r>
              <w:rPr>
                <w:b/>
                <w:color w:val="71B1C8"/>
                <w:spacing w:val="-2"/>
              </w:rPr>
              <w:t>REPORT OF THE CORPORATE GOVERNANCE AND NOMINATING COMMITTEE</w:t>
            </w:r>
            <w:r>
              <w:rPr>
                <w:b/>
                <w:color w:val="71B1C8"/>
              </w:rPr>
              <w:t xml:space="preserve"> </w:t>
            </w:r>
          </w:p>
          <w:p>
            <w:pPr>
              <w:pStyle w:val="TableContents"/>
              <w:bidi w:val="0"/>
              <w:spacing w:lineRule="atLeast" w:line="170" w:before="70" w:after="283"/>
              <w:jc w:val="left"/>
              <w:rPr>
                <w:spacing w:val="-1"/>
              </w:rPr>
            </w:pPr>
            <w:r>
              <w:rPr>
                <w:spacing w:val="-1"/>
              </w:rPr>
              <w:t xml:space="preserve">See page 31.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jc w:val="left"/>
              <w:rPr>
                <w:b/>
                <w:color w:val="71B1C8"/>
              </w:rPr>
            </w:pPr>
            <w:r>
              <w:rPr>
                <w:b/>
                <w:color w:val="71B1C8"/>
                <w:spacing w:val="-2"/>
              </w:rPr>
              <w:t>KEY RESPONSIBILITIES</w:t>
            </w:r>
            <w:r>
              <w:rPr>
                <w:b/>
                <w:color w:val="71B1C8"/>
              </w:rPr>
              <w:t xml:space="preserve"> </w:t>
            </w:r>
          </w:p>
          <w:p>
            <w:pPr>
              <w:pStyle w:val="TableContents"/>
              <w:bidi w:val="0"/>
              <w:spacing w:lineRule="atLeast" w:line="170" w:before="70" w:after="283"/>
              <w:jc w:val="left"/>
              <w:rPr/>
            </w:pPr>
            <w:r>
              <w:rPr>
                <w:spacing w:val="-1"/>
              </w:rPr>
              <w:t>The primary duties of the Corporate Governance and Nominating Committee are:</w:t>
            </w:r>
            <w:r>
              <w:rPr/>
              <w:t xml:space="preserve"> </w:t>
            </w:r>
          </w:p>
          <w:p>
            <w:pPr>
              <w:pStyle w:val="TableContents"/>
              <w:bidi w:val="0"/>
              <w:spacing w:lineRule="atLeast" w:line="200" w:before="110" w:after="0"/>
              <w:ind w:left="170" w:right="0" w:hanging="0"/>
              <w:jc w:val="left"/>
              <w:rPr/>
            </w:pPr>
            <w:r>
              <w:rPr>
                <w:spacing w:val="-1"/>
              </w:rPr>
              <w:t>the identification of individuals qualified to become Board members and the recommendation to the Board of nominees for election to the Board at the next annual meeting of shareholders or whenever a vacancy shall occur on the Board;</w:t>
            </w:r>
            <w:r>
              <w:rPr/>
              <w:t xml:space="preserve"> </w:t>
            </w:r>
            <w:r>
              <mc:AlternateContent>
                <mc:Choice Requires="wps">
                  <w:drawing>
                    <wp:anchor behindDoc="0" distT="69850" distB="0" distL="0" distR="0" simplePos="0" locked="0" layoutInCell="1" allowOverlap="1" relativeHeight="544">
                      <wp:simplePos x="0" y="0"/>
                      <wp:positionH relativeFrom="column">
                        <wp:align>left</wp:align>
                      </wp:positionH>
                      <wp:positionV relativeFrom="line">
                        <wp:align>top</wp:align>
                      </wp:positionV>
                      <wp:extent cx="107950" cy="350520"/>
                      <wp:effectExtent l="0" t="0" r="0" b="0"/>
                      <wp:wrapSquare wrapText="right"/>
                      <wp:docPr id="457" name="Frame2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the establishment and operation of committees of the Board;</w:t>
            </w:r>
            <w:r>
              <w:rPr/>
              <w:t xml:space="preserve"> </w:t>
            </w:r>
            <w:r>
              <mc:AlternateContent>
                <mc:Choice Requires="wps">
                  <w:drawing>
                    <wp:anchor behindDoc="0" distT="44450" distB="0" distL="0" distR="0" simplePos="0" locked="0" layoutInCell="1" allowOverlap="1" relativeHeight="545">
                      <wp:simplePos x="0" y="0"/>
                      <wp:positionH relativeFrom="column">
                        <wp:align>left</wp:align>
                      </wp:positionH>
                      <wp:positionV relativeFrom="line">
                        <wp:align>top</wp:align>
                      </wp:positionV>
                      <wp:extent cx="107950" cy="350520"/>
                      <wp:effectExtent l="0" t="0" r="0" b="0"/>
                      <wp:wrapSquare wrapText="right"/>
                      <wp:docPr id="458" name="Frame2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the development and recommendation to the Board of corporate governance principles applicable to the Company;</w:t>
            </w:r>
            <w:r>
              <w:rPr/>
              <w:t xml:space="preserve"> </w:t>
            </w:r>
            <w:r>
              <mc:AlternateContent>
                <mc:Choice Requires="wps">
                  <w:drawing>
                    <wp:anchor behindDoc="0" distT="44450" distB="0" distL="0" distR="0" simplePos="0" locked="0" layoutInCell="1" allowOverlap="1" relativeHeight="546">
                      <wp:simplePos x="0" y="0"/>
                      <wp:positionH relativeFrom="column">
                        <wp:align>left</wp:align>
                      </wp:positionH>
                      <wp:positionV relativeFrom="line">
                        <wp:align>top</wp:align>
                      </wp:positionV>
                      <wp:extent cx="107950" cy="350520"/>
                      <wp:effectExtent l="0" t="0" r="0" b="0"/>
                      <wp:wrapSquare wrapText="right"/>
                      <wp:docPr id="459" name="Frame2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70" w:after="0"/>
              <w:ind w:left="170" w:right="0" w:hanging="0"/>
              <w:jc w:val="left"/>
              <w:rPr/>
            </w:pPr>
            <w:r>
              <w:rPr>
                <w:spacing w:val="-1"/>
              </w:rPr>
              <w:t>the review and evaluation of the Company’s programs, policies, and practices relating to sustainability issues; and</w:t>
            </w:r>
            <w:r>
              <w:rPr/>
              <w:t xml:space="preserve"> </w:t>
            </w:r>
            <w:r>
              <mc:AlternateContent>
                <mc:Choice Requires="wps">
                  <w:drawing>
                    <wp:anchor behindDoc="0" distT="44450" distB="0" distL="0" distR="0" simplePos="0" locked="0" layoutInCell="1" allowOverlap="1" relativeHeight="547">
                      <wp:simplePos x="0" y="0"/>
                      <wp:positionH relativeFrom="column">
                        <wp:align>left</wp:align>
                      </wp:positionH>
                      <wp:positionV relativeFrom="line">
                        <wp:align>top</wp:align>
                      </wp:positionV>
                      <wp:extent cx="107950" cy="350520"/>
                      <wp:effectExtent l="0" t="0" r="0" b="0"/>
                      <wp:wrapSquare wrapText="right"/>
                      <wp:docPr id="460" name="Frame2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70" w:after="0"/>
              <w:ind w:left="170" w:right="0" w:hanging="0"/>
              <w:jc w:val="left"/>
              <w:rPr/>
            </w:pPr>
            <w:r>
              <w:rPr>
                <w:spacing w:val="-1"/>
              </w:rPr>
              <w:t>the oversight of an annual review of the Board’s performance.</w:t>
            </w:r>
            <w:r>
              <w:rPr/>
              <w:t xml:space="preserve"> </w:t>
            </w:r>
            <w:r>
              <mc:AlternateContent>
                <mc:Choice Requires="wps">
                  <w:drawing>
                    <wp:anchor behindDoc="0" distT="44450" distB="0" distL="0" distR="0" simplePos="0" locked="0" layoutInCell="1" allowOverlap="1" relativeHeight="548">
                      <wp:simplePos x="0" y="0"/>
                      <wp:positionH relativeFrom="column">
                        <wp:align>left</wp:align>
                      </wp:positionH>
                      <wp:positionV relativeFrom="line">
                        <wp:align>top</wp:align>
                      </wp:positionV>
                      <wp:extent cx="107950" cy="350520"/>
                      <wp:effectExtent l="0" t="0" r="0" b="0"/>
                      <wp:wrapSquare wrapText="right"/>
                      <wp:docPr id="461" name="Frame2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7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0" w:after="283"/>
              <w:jc w:val="left"/>
              <w:rPr/>
            </w:pPr>
            <w:r>
              <w:rPr>
                <w:spacing w:val="-1"/>
              </w:rPr>
              <w:t>The Corporate Governance and Nominating Committee is charged with recommending candidates for all directorships to the full Board. The Corporate Governance and Nominating Committee monitors the composition of the Board to assure that it contains a reasonable balance of professional interests, business experience, financial experience, and independent directors. If the Committee determines that it is in the best interests of the Company to add new Board members, it will identify and evaluate candidates as discussed in more detail above under “</w:t>
            </w:r>
            <w:r>
              <w:rPr>
                <w:i/>
              </w:rPr>
              <w:t>Corporate Governance — Identification and Evaluation of Directors</w:t>
            </w:r>
            <w:r>
              <w:rPr>
                <w:spacing w:val="-1"/>
              </w:rPr>
              <w:t>.” Candidates are considered by the Committee in light of the qualifications for directors set forth above under “</w:t>
            </w:r>
            <w:r>
              <w:rPr>
                <w:i/>
              </w:rPr>
              <w:t>Corporate Governance — Director Qualifications</w:t>
            </w:r>
            <w:r>
              <w:rPr>
                <w:spacing w:val="-1"/>
              </w:rPr>
              <w:t>.”</w:t>
            </w:r>
            <w:r>
              <w:rPr/>
              <w:t xml:space="preserve"> </w:t>
            </w:r>
          </w:p>
          <w:p>
            <w:pPr>
              <w:pStyle w:val="TableContents"/>
              <w:bidi w:val="0"/>
              <w:spacing w:before="150" w:after="283"/>
              <w:jc w:val="left"/>
              <w:rPr/>
            </w:pPr>
            <w:r>
              <w:rPr>
                <w:spacing w:val="-1"/>
              </w:rPr>
              <w:t>See “</w:t>
            </w:r>
            <w:r>
              <w:rPr>
                <w:i/>
              </w:rPr>
              <w:t>Report of the Corporate Governance and Nominating Committee</w:t>
            </w:r>
            <w:r>
              <w:rPr>
                <w:spacing w:val="-1"/>
              </w:rPr>
              <w:t xml:space="preserve">,” below, for further discussion of the Corporate Governance and Nominating Committee’s activities in 2025. The Chair of the Corporate Governance and Nominating Committee may be reached at the following e-mail address: </w:t>
            </w:r>
            <w:r>
              <w:rPr>
                <w:color w:val="002F56"/>
                <w:spacing w:val="-1"/>
              </w:rPr>
              <w:t>governance.chair@mineralstech.com</w:t>
            </w:r>
            <w:r>
              <w:rPr>
                <w:spacing w:val="-1"/>
              </w:rPr>
              <w: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380" w:before="48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BOARD AND COMMITTEE SELF-EVALUATION</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members of the Board, each Committee and the Board as a whole are required to conduct a self-evaluation of their performance. The evaluation process is organized by the Corporate Governance and Nominating Committee, occurs at least annually, and is re-evaluated each year to ensure it complies with current best practices. The evaluation is part of a detailed review of directors’ qualifications for re-nomination.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 STOCK OWNERSHIP REQUIREMENTS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Company’s Corporate Governance Guidelines, each director is required to own by the end of the first 36 months of service as a director and maintain throughout their service as a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At least </w:t>
      </w:r>
      <w:r>
        <w:rPr>
          <w:rFonts w:ascii="Arial;Helvetica;sans-serif" w:hAnsi="Arial;Helvetica;sans-serif"/>
          <w:b/>
          <w:i w:val="false"/>
          <w:caps w:val="false"/>
          <w:smallCaps w:val="false"/>
          <w:color w:val="000000"/>
          <w:spacing w:val="0"/>
          <w:sz w:val="18"/>
        </w:rPr>
        <w:t>400 shares</w:t>
      </w:r>
      <w:r>
        <w:rPr>
          <w:rFonts w:ascii="Arial;Helvetica;sans-serif" w:hAnsi="Arial;Helvetica;sans-serif"/>
          <w:b w:val="false"/>
          <w:i w:val="false"/>
          <w:caps w:val="false"/>
          <w:smallCaps w:val="false"/>
          <w:color w:val="000000"/>
          <w:spacing w:val="-1"/>
          <w:sz w:val="18"/>
        </w:rPr>
        <w:t xml:space="preserve"> of the Company’s common stock outright (excluding any stock units awarded by the Company and any unexercised stock options);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462"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A number of shares equal to </w:t>
      </w:r>
      <w:r>
        <w:rPr>
          <w:rFonts w:ascii="Arial;Helvetica;sans-serif" w:hAnsi="Arial;Helvetica;sans-serif"/>
          <w:b/>
          <w:i w:val="false"/>
          <w:caps w:val="false"/>
          <w:smallCaps w:val="false"/>
          <w:color w:val="000000"/>
          <w:spacing w:val="0"/>
          <w:sz w:val="18"/>
        </w:rPr>
        <w:t>five times</w:t>
      </w:r>
      <w:r>
        <w:rPr>
          <w:rFonts w:ascii="Arial;Helvetica;sans-serif" w:hAnsi="Arial;Helvetica;sans-serif"/>
          <w:b w:val="false"/>
          <w:i w:val="false"/>
          <w:caps w:val="false"/>
          <w:smallCaps w:val="false"/>
          <w:color w:val="000000"/>
          <w:spacing w:val="-1"/>
          <w:sz w:val="18"/>
        </w:rPr>
        <w:t xml:space="preserve"> the then current annual cash retainer for directors (inclusive of any stock units, restricted stock or similar awards by the Company in connection with service as an employee or director, and, if applicable, shares purchased with amounts invested in the MTI retirement plans, but excluding any unexercised stock options).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463"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As of March 24, 2026, all of the Company’s directors met the requirement.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22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TBRI"/>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THE BOARD’S ROLE IN RISK OVERSIGHT</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has responsibility for risk oversight, including understanding critical risks in the Company’s business and strategy, evaluating the Company’s risk management processes, and seeing that such risk management processes are functioning adequately. At each Board meeting, the Board as a whole discusses the key strategic risks facing the Company, both short-term and long-term. The risk oversight focus areas reviewed by the Board as a whole include risks related to the Company’s: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capital structure,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464"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mergers and acquisitions,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465"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capital projects,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466"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cybersecurity,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467"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environmental, health, and safety risks,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468"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geopolitical and associated market risks.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469"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also reviews the Company’s strategic business plans, which includes evaluating the risks associated with these plans. In addition, the Board regularly consults with outside advisors and experts to anticipate future threats and trends.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It is management’s responsibility to manage risk and bring to the Board’s attention the most material risks to the Company. The Company’s management has several layers of risk oversight, including through the Company’s Strategic Risk Management Committee and Operating Risk Management Committee, as well as the Company’s Chief Compliance Officer, who reports directly to the Chief Executive Officer.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Management communicates routinely with the Board, Board Committees, and individual directors on the significant risks identified and how they are being managed, including formal reports by the Strategic Risk Management Committee to the Board that are at least annual, and periodic reports by the Chief Compliance Officer to the Audit Committee and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also implements its risk oversight function through Committees, which take the lead in discrete areas of risk oversight within their areas of responsibility and provide reports regarding their activities to the Board at each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risk oversight focus areas of the committees are:</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28" w:type="dxa"/>
          <w:left w:w="28" w:type="dxa"/>
          <w:bottom w:w="28" w:type="dxa"/>
          <w:right w:w="28" w:type="dxa"/>
        </w:tblCellMar>
      </w:tblPr>
      <w:tblGrid>
        <w:gridCol w:w="755"/>
        <w:gridCol w:w="112"/>
        <w:gridCol w:w="112"/>
        <w:gridCol w:w="1576"/>
        <w:gridCol w:w="109"/>
        <w:gridCol w:w="109"/>
        <w:gridCol w:w="109"/>
        <w:gridCol w:w="733"/>
        <w:gridCol w:w="111"/>
        <w:gridCol w:w="111"/>
        <w:gridCol w:w="1845"/>
        <w:gridCol w:w="109"/>
        <w:gridCol w:w="109"/>
        <w:gridCol w:w="109"/>
        <w:gridCol w:w="748"/>
        <w:gridCol w:w="113"/>
        <w:gridCol w:w="113"/>
        <w:gridCol w:w="2043"/>
        <w:gridCol w:w="159"/>
      </w:tblGrid>
      <w:tr>
        <w:trPr/>
        <w:tc>
          <w:tcPr>
            <w:tcW w:w="755" w:type="dxa"/>
            <w:tcBorders/>
            <w:shd w:fill="71B1C8" w:val="clear"/>
            <w:vAlign w:val="center"/>
          </w:tcPr>
          <w:p>
            <w:pPr>
              <w:pStyle w:val="TableContents"/>
              <w:bidi w:val="0"/>
              <w:spacing w:before="0" w:after="0"/>
              <w:ind w:left="160" w:right="0" w:hanging="0"/>
              <w:jc w:val="left"/>
              <w:rPr/>
            </w:pPr>
            <w:r>
              <w:rPr/>
              <w:drawing>
                <wp:inline distT="0" distB="0" distL="0" distR="0">
                  <wp:extent cx="400050" cy="371475"/>
                  <wp:effectExtent l="0" t="0" r="0" b="0"/>
                  <wp:docPr id="47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10" descr=""/>
                          <pic:cNvPicPr>
                            <a:picLocks noChangeAspect="1" noChangeArrowheads="1"/>
                          </pic:cNvPicPr>
                        </pic:nvPicPr>
                        <pic:blipFill>
                          <a:blip r:embed="rId221"/>
                          <a:stretch>
                            <a:fillRect/>
                          </a:stretch>
                        </pic:blipFill>
                        <pic:spPr bwMode="auto">
                          <a:xfrm>
                            <a:off x="0" y="0"/>
                            <a:ext cx="400050" cy="371475"/>
                          </a:xfrm>
                          <a:prstGeom prst="rect">
                            <a:avLst/>
                          </a:prstGeom>
                        </pic:spPr>
                      </pic:pic>
                    </a:graphicData>
                  </a:graphic>
                </wp:inline>
              </w:drawing>
            </w:r>
            <w:r>
              <w:rPr/>
              <w:t xml:space="preserve"> </w:t>
            </w:r>
          </w:p>
        </w:tc>
        <w:tc>
          <w:tcPr>
            <w:tcW w:w="112" w:type="dxa"/>
            <w:tcBorders/>
            <w:shd w:fill="71B1C8" w:val="clear"/>
            <w:tcMar>
              <w:top w:w="0" w:type="dxa"/>
              <w:left w:w="0" w:type="dxa"/>
              <w:bottom w:w="0" w:type="dxa"/>
              <w:right w:w="0" w:type="dxa"/>
            </w:tcMar>
            <w:vAlign w:val="center"/>
          </w:tcPr>
          <w:p>
            <w:pPr>
              <w:pStyle w:val="TableContents"/>
              <w:bidi w:val="0"/>
              <w:spacing w:before="0" w:after="283"/>
              <w:jc w:val="left"/>
              <w:rPr/>
            </w:pPr>
            <w:r>
              <w:rPr/>
              <w:t>​</w:t>
            </w:r>
          </w:p>
        </w:tc>
        <w:tc>
          <w:tcPr>
            <w:tcW w:w="112" w:type="dxa"/>
            <w:tcBorders/>
            <w:shd w:fill="71B1C8" w:val="clear"/>
            <w:tcMar>
              <w:top w:w="0" w:type="dxa"/>
              <w:left w:w="0" w:type="dxa"/>
              <w:bottom w:w="0" w:type="dxa"/>
              <w:right w:w="0" w:type="dxa"/>
            </w:tcMar>
            <w:vAlign w:val="center"/>
          </w:tcPr>
          <w:p>
            <w:pPr>
              <w:pStyle w:val="TableContents"/>
              <w:bidi w:val="0"/>
              <w:spacing w:before="0" w:after="283"/>
              <w:jc w:val="left"/>
              <w:rPr/>
            </w:pPr>
            <w:r>
              <w:rPr/>
              <w:t>​</w:t>
            </w:r>
          </w:p>
        </w:tc>
        <w:tc>
          <w:tcPr>
            <w:tcW w:w="1576" w:type="dxa"/>
            <w:tcBorders/>
            <w:shd w:fill="71B1C8" w:val="clear"/>
            <w:vAlign w:val="center"/>
          </w:tcPr>
          <w:p>
            <w:pPr>
              <w:pStyle w:val="TableContents"/>
              <w:bidi w:val="0"/>
              <w:spacing w:lineRule="atLeast" w:line="240" w:before="0" w:after="0"/>
              <w:jc w:val="left"/>
              <w:rPr>
                <w:spacing w:val="-6"/>
              </w:rPr>
            </w:pPr>
            <w:r>
              <w:rPr>
                <w:spacing w:val="-6"/>
              </w:rPr>
              <w:t xml:space="preserve">AUDIT COMMITTEE </w:t>
            </w:r>
          </w:p>
        </w:tc>
        <w:tc>
          <w:tcPr>
            <w:tcW w:w="109" w:type="dxa"/>
            <w:tcBorders/>
            <w:shd w:fill="71B1C8"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top w:w="0" w:type="dxa"/>
              <w:left w:w="0" w:type="dxa"/>
              <w:right w:w="0" w:type="dxa"/>
            </w:tcMar>
            <w:vAlign w:val="center"/>
          </w:tcPr>
          <w:p>
            <w:pPr>
              <w:pStyle w:val="TableContents"/>
              <w:bidi w:val="0"/>
              <w:spacing w:before="0" w:after="283"/>
              <w:jc w:val="left"/>
              <w:rPr/>
            </w:pPr>
            <w:r>
              <w:rPr/>
              <w:t>​</w:t>
            </w:r>
          </w:p>
        </w:tc>
        <w:tc>
          <w:tcPr>
            <w:tcW w:w="109" w:type="dxa"/>
            <w:tcBorders/>
            <w:shd w:fill="002F56" w:val="clear"/>
            <w:tcMar>
              <w:top w:w="0" w:type="dxa"/>
              <w:left w:w="0" w:type="dxa"/>
              <w:bottom w:w="0" w:type="dxa"/>
              <w:right w:w="0" w:type="dxa"/>
            </w:tcMar>
            <w:vAlign w:val="center"/>
          </w:tcPr>
          <w:p>
            <w:pPr>
              <w:pStyle w:val="TableContents"/>
              <w:bidi w:val="0"/>
              <w:spacing w:before="0" w:after="283"/>
              <w:jc w:val="left"/>
              <w:rPr/>
            </w:pPr>
            <w:r>
              <w:rPr/>
              <w:t>​</w:t>
            </w:r>
          </w:p>
        </w:tc>
        <w:tc>
          <w:tcPr>
            <w:tcW w:w="733" w:type="dxa"/>
            <w:tcBorders/>
            <w:shd w:fill="002F56" w:val="clear"/>
            <w:vAlign w:val="center"/>
          </w:tcPr>
          <w:p>
            <w:pPr>
              <w:pStyle w:val="TableContents"/>
              <w:bidi w:val="0"/>
              <w:spacing w:before="0" w:after="0"/>
              <w:jc w:val="left"/>
              <w:rPr/>
            </w:pPr>
            <w:r>
              <w:rPr/>
              <w:drawing>
                <wp:inline distT="0" distB="0" distL="0" distR="0">
                  <wp:extent cx="400050" cy="314325"/>
                  <wp:effectExtent l="0" t="0" r="0" b="0"/>
                  <wp:docPr id="47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11" descr=""/>
                          <pic:cNvPicPr>
                            <a:picLocks noChangeAspect="1" noChangeArrowheads="1"/>
                          </pic:cNvPicPr>
                        </pic:nvPicPr>
                        <pic:blipFill>
                          <a:blip r:embed="rId222"/>
                          <a:stretch>
                            <a:fillRect/>
                          </a:stretch>
                        </pic:blipFill>
                        <pic:spPr bwMode="auto">
                          <a:xfrm>
                            <a:off x="0" y="0"/>
                            <a:ext cx="400050" cy="314325"/>
                          </a:xfrm>
                          <a:prstGeom prst="rect">
                            <a:avLst/>
                          </a:prstGeom>
                        </pic:spPr>
                      </pic:pic>
                    </a:graphicData>
                  </a:graphic>
                </wp:inline>
              </w:drawing>
            </w:r>
            <w:r>
              <w:rPr/>
              <w:t xml:space="preserve"> </w:t>
            </w:r>
          </w:p>
        </w:tc>
        <w:tc>
          <w:tcPr>
            <w:tcW w:w="111" w:type="dxa"/>
            <w:tcBorders/>
            <w:shd w:fill="002F56" w:val="clear"/>
            <w:tcMar>
              <w:top w:w="0" w:type="dxa"/>
              <w:left w:w="0" w:type="dxa"/>
              <w:bottom w:w="0" w:type="dxa"/>
              <w:right w:w="0" w:type="dxa"/>
            </w:tcMar>
            <w:vAlign w:val="center"/>
          </w:tcPr>
          <w:p>
            <w:pPr>
              <w:pStyle w:val="TableContents"/>
              <w:bidi w:val="0"/>
              <w:spacing w:before="0" w:after="283"/>
              <w:jc w:val="left"/>
              <w:rPr/>
            </w:pPr>
            <w:r>
              <w:rPr/>
              <w:t>​</w:t>
            </w:r>
          </w:p>
        </w:tc>
        <w:tc>
          <w:tcPr>
            <w:tcW w:w="111" w:type="dxa"/>
            <w:tcBorders/>
            <w:shd w:fill="002F56" w:val="clear"/>
            <w:tcMar>
              <w:top w:w="0" w:type="dxa"/>
              <w:left w:w="0" w:type="dxa"/>
              <w:bottom w:w="0" w:type="dxa"/>
              <w:right w:w="0" w:type="dxa"/>
            </w:tcMar>
            <w:vAlign w:val="center"/>
          </w:tcPr>
          <w:p>
            <w:pPr>
              <w:pStyle w:val="TableContents"/>
              <w:bidi w:val="0"/>
              <w:spacing w:before="0" w:after="283"/>
              <w:jc w:val="left"/>
              <w:rPr/>
            </w:pPr>
            <w:r>
              <w:rPr/>
              <w:t>​</w:t>
            </w:r>
          </w:p>
        </w:tc>
        <w:tc>
          <w:tcPr>
            <w:tcW w:w="1845" w:type="dxa"/>
            <w:tcBorders/>
            <w:shd w:fill="002F56" w:val="clear"/>
            <w:tcMar>
              <w:top w:w="0" w:type="dxa"/>
              <w:left w:w="0" w:type="dxa"/>
              <w:bottom w:w="0" w:type="dxa"/>
              <w:right w:w="0" w:type="dxa"/>
            </w:tcMar>
            <w:vAlign w:val="center"/>
          </w:tcPr>
          <w:p>
            <w:pPr>
              <w:pStyle w:val="TableContents"/>
              <w:bidi w:val="0"/>
              <w:spacing w:lineRule="atLeast" w:line="240" w:before="0" w:after="0"/>
              <w:jc w:val="left"/>
              <w:rPr>
                <w:spacing w:val="-6"/>
              </w:rPr>
            </w:pPr>
            <w:r>
              <w:rPr>
                <w:spacing w:val="-6"/>
              </w:rPr>
              <w:t xml:space="preserve">CORPORATE GOVERNANCE </w:t>
              <w:br/>
              <w:t xml:space="preserve">AND NOMINATING </w:t>
              <w:br/>
              <w:t xml:space="preserve">COMMITTEE </w:t>
            </w:r>
          </w:p>
        </w:tc>
        <w:tc>
          <w:tcPr>
            <w:tcW w:w="109" w:type="dxa"/>
            <w:tcBorders/>
            <w:shd w:fill="002F56" w:val="clear"/>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top w:w="0" w:type="dxa"/>
              <w:left w:w="0" w:type="dxa"/>
              <w:right w:w="0" w:type="dxa"/>
            </w:tcMar>
            <w:vAlign w:val="center"/>
          </w:tcPr>
          <w:p>
            <w:pPr>
              <w:pStyle w:val="TableContents"/>
              <w:bidi w:val="0"/>
              <w:spacing w:before="0" w:after="283"/>
              <w:jc w:val="left"/>
              <w:rPr/>
            </w:pPr>
            <w:r>
              <w:rPr/>
              <w:t>​</w:t>
            </w:r>
          </w:p>
        </w:tc>
        <w:tc>
          <w:tcPr>
            <w:tcW w:w="109" w:type="dxa"/>
            <w:tcBorders/>
            <w:shd w:fill="323232" w:val="clear"/>
            <w:tcMar>
              <w:top w:w="0" w:type="dxa"/>
              <w:left w:w="0" w:type="dxa"/>
              <w:bottom w:w="0" w:type="dxa"/>
              <w:right w:w="0" w:type="dxa"/>
            </w:tcMar>
            <w:vAlign w:val="center"/>
          </w:tcPr>
          <w:p>
            <w:pPr>
              <w:pStyle w:val="TableContents"/>
              <w:bidi w:val="0"/>
              <w:spacing w:before="0" w:after="283"/>
              <w:jc w:val="left"/>
              <w:rPr/>
            </w:pPr>
            <w:r>
              <w:rPr/>
              <w:t>​</w:t>
            </w:r>
          </w:p>
        </w:tc>
        <w:tc>
          <w:tcPr>
            <w:tcW w:w="748" w:type="dxa"/>
            <w:tcBorders/>
            <w:shd w:fill="323232" w:val="clear"/>
            <w:vAlign w:val="center"/>
          </w:tcPr>
          <w:p>
            <w:pPr>
              <w:pStyle w:val="TableContents"/>
              <w:bidi w:val="0"/>
              <w:spacing w:before="0" w:after="0"/>
              <w:jc w:val="left"/>
              <w:rPr/>
            </w:pPr>
            <w:r>
              <w:rPr/>
              <w:drawing>
                <wp:inline distT="0" distB="0" distL="0" distR="0">
                  <wp:extent cx="400050" cy="419100"/>
                  <wp:effectExtent l="0" t="0" r="0" b="0"/>
                  <wp:docPr id="47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12" descr=""/>
                          <pic:cNvPicPr>
                            <a:picLocks noChangeAspect="1" noChangeArrowheads="1"/>
                          </pic:cNvPicPr>
                        </pic:nvPicPr>
                        <pic:blipFill>
                          <a:blip r:embed="rId223"/>
                          <a:stretch>
                            <a:fillRect/>
                          </a:stretch>
                        </pic:blipFill>
                        <pic:spPr bwMode="auto">
                          <a:xfrm>
                            <a:off x="0" y="0"/>
                            <a:ext cx="400050" cy="419100"/>
                          </a:xfrm>
                          <a:prstGeom prst="rect">
                            <a:avLst/>
                          </a:prstGeom>
                        </pic:spPr>
                      </pic:pic>
                    </a:graphicData>
                  </a:graphic>
                </wp:inline>
              </w:drawing>
            </w:r>
            <w:r>
              <w:rPr/>
              <w:t xml:space="preserve"> </w:t>
            </w:r>
          </w:p>
        </w:tc>
        <w:tc>
          <w:tcPr>
            <w:tcW w:w="113" w:type="dxa"/>
            <w:tcBorders/>
            <w:shd w:fill="323232" w:val="clear"/>
            <w:tcMar>
              <w:top w:w="0" w:type="dxa"/>
              <w:left w:w="0" w:type="dxa"/>
              <w:bottom w:w="0" w:type="dxa"/>
              <w:right w:w="0" w:type="dxa"/>
            </w:tcMar>
            <w:vAlign w:val="center"/>
          </w:tcPr>
          <w:p>
            <w:pPr>
              <w:pStyle w:val="TableContents"/>
              <w:bidi w:val="0"/>
              <w:spacing w:before="0" w:after="283"/>
              <w:jc w:val="left"/>
              <w:rPr/>
            </w:pPr>
            <w:r>
              <w:rPr/>
              <w:t>​</w:t>
            </w:r>
          </w:p>
        </w:tc>
        <w:tc>
          <w:tcPr>
            <w:tcW w:w="113" w:type="dxa"/>
            <w:tcBorders/>
            <w:shd w:fill="323232" w:val="clear"/>
            <w:tcMar>
              <w:top w:w="0" w:type="dxa"/>
              <w:left w:w="0" w:type="dxa"/>
              <w:bottom w:w="0" w:type="dxa"/>
              <w:right w:w="0" w:type="dxa"/>
            </w:tcMar>
            <w:vAlign w:val="center"/>
          </w:tcPr>
          <w:p>
            <w:pPr>
              <w:pStyle w:val="TableContents"/>
              <w:bidi w:val="0"/>
              <w:spacing w:before="0" w:after="283"/>
              <w:jc w:val="left"/>
              <w:rPr/>
            </w:pPr>
            <w:r>
              <w:rPr/>
              <w:t>​</w:t>
            </w:r>
          </w:p>
        </w:tc>
        <w:tc>
          <w:tcPr>
            <w:tcW w:w="2043" w:type="dxa"/>
            <w:tcBorders/>
            <w:shd w:fill="323232" w:val="clear"/>
            <w:vAlign w:val="center"/>
          </w:tcPr>
          <w:p>
            <w:pPr>
              <w:pStyle w:val="TableContents"/>
              <w:bidi w:val="0"/>
              <w:spacing w:lineRule="atLeast" w:line="240" w:before="0" w:after="0"/>
              <w:jc w:val="left"/>
              <w:rPr>
                <w:spacing w:val="-6"/>
              </w:rPr>
            </w:pPr>
            <w:r>
              <w:rPr>
                <w:spacing w:val="-6"/>
              </w:rPr>
              <w:t xml:space="preserve">COMPENSATION </w:t>
              <w:br/>
              <w:t xml:space="preserve">COMMITTEE </w:t>
            </w:r>
          </w:p>
        </w:tc>
        <w:tc>
          <w:tcPr>
            <w:tcW w:w="159" w:type="dxa"/>
            <w:tcBorders/>
            <w:shd w:fill="323232" w:val="clear"/>
            <w:tcMar>
              <w:top w:w="0" w:type="dxa"/>
              <w:left w:w="0" w:type="dxa"/>
              <w:bottom w:w="0" w:type="dxa"/>
              <w:right w:w="0" w:type="dxa"/>
            </w:tcMar>
            <w:vAlign w:val="center"/>
          </w:tcPr>
          <w:p>
            <w:pPr>
              <w:pStyle w:val="TableContents"/>
              <w:bidi w:val="0"/>
              <w:spacing w:before="0" w:after="283"/>
              <w:jc w:val="left"/>
              <w:rPr/>
            </w:pPr>
            <w:r>
              <w:rPr/>
              <w:t>​</w:t>
            </w:r>
          </w:p>
        </w:tc>
      </w:tr>
      <w:tr>
        <w:trPr/>
        <w:tc>
          <w:tcPr>
            <w:tcW w:w="2555" w:type="dxa"/>
            <w:gridSpan w:val="4"/>
            <w:tcBorders/>
            <w:tcMar>
              <w:top w:w="0" w:type="dxa"/>
              <w:left w:w="0" w:type="dxa"/>
              <w:bottom w:w="0" w:type="dxa"/>
              <w:right w:w="0" w:type="dxa"/>
            </w:tcMar>
            <w:vAlign w:val="center"/>
          </w:tcPr>
          <w:p>
            <w:pPr>
              <w:pStyle w:val="TableContents"/>
              <w:bidi w:val="0"/>
              <w:spacing w:lineRule="atLeast" w:line="220" w:before="0" w:after="0"/>
              <w:ind w:left="180" w:right="0" w:hanging="0"/>
              <w:jc w:val="left"/>
              <w:rPr>
                <w:spacing w:val="-1"/>
              </w:rPr>
            </w:pPr>
            <w:r>
              <w:rPr>
                <w:spacing w:val="-1"/>
              </w:rPr>
              <w:t xml:space="preserve">Regularly reviews the Company’s major financial risk exposures, including hedging, swaps, and derivatives, and the steps management has taken to monitor and control such exposures. </w:t>
            </w:r>
            <w:r>
              <mc:AlternateContent>
                <mc:Choice Requires="wps">
                  <w:drawing>
                    <wp:anchor behindDoc="0" distT="0" distB="0" distL="0" distR="0" simplePos="0" locked="0" layoutInCell="1" allowOverlap="1" relativeHeight="557">
                      <wp:simplePos x="0" y="0"/>
                      <wp:positionH relativeFrom="column">
                        <wp:align>left</wp:align>
                      </wp:positionH>
                      <wp:positionV relativeFrom="line">
                        <wp:posOffset>635</wp:posOffset>
                      </wp:positionV>
                      <wp:extent cx="114300" cy="350520"/>
                      <wp:effectExtent l="0" t="0" r="0" b="0"/>
                      <wp:wrapSquare wrapText="right"/>
                      <wp:docPr id="473" name="Frame2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Assists in identifying, evaluating, and implementing risk management controls and methodologies to address identified risks. </w:t>
            </w:r>
            <w:r>
              <mc:AlternateContent>
                <mc:Choice Requires="wps">
                  <w:drawing>
                    <wp:anchor behindDoc="0" distT="50800" distB="0" distL="0" distR="0" simplePos="0" locked="0" layoutInCell="1" allowOverlap="1" relativeHeight="558">
                      <wp:simplePos x="0" y="0"/>
                      <wp:positionH relativeFrom="column">
                        <wp:align>left</wp:align>
                      </wp:positionH>
                      <wp:positionV relativeFrom="line">
                        <wp:align>top</wp:align>
                      </wp:positionV>
                      <wp:extent cx="114300" cy="350520"/>
                      <wp:effectExtent l="0" t="0" r="0" b="0"/>
                      <wp:wrapSquare wrapText="right"/>
                      <wp:docPr id="474" name="Frame2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Regularly reviews risks relating to pension plan investments. </w:t>
            </w:r>
            <w:r>
              <mc:AlternateContent>
                <mc:Choice Requires="wps">
                  <w:drawing>
                    <wp:anchor behindDoc="0" distT="50800" distB="0" distL="0" distR="0" simplePos="0" locked="0" layoutInCell="1" allowOverlap="1" relativeHeight="559">
                      <wp:simplePos x="0" y="0"/>
                      <wp:positionH relativeFrom="column">
                        <wp:align>left</wp:align>
                      </wp:positionH>
                      <wp:positionV relativeFrom="line">
                        <wp:align>top</wp:align>
                      </wp:positionV>
                      <wp:extent cx="114300" cy="350520"/>
                      <wp:effectExtent l="0" t="0" r="0" b="0"/>
                      <wp:wrapSquare wrapText="right"/>
                      <wp:docPr id="475" name="Frame2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Regularly reviews risks relating to cybersecurity. </w:t>
            </w:r>
            <w:r>
              <mc:AlternateContent>
                <mc:Choice Requires="wps">
                  <w:drawing>
                    <wp:anchor behindDoc="0" distT="50800" distB="0" distL="0" distR="0" simplePos="0" locked="0" layoutInCell="1" allowOverlap="1" relativeHeight="560">
                      <wp:simplePos x="0" y="0"/>
                      <wp:positionH relativeFrom="column">
                        <wp:align>left</wp:align>
                      </wp:positionH>
                      <wp:positionV relativeFrom="line">
                        <wp:align>top</wp:align>
                      </wp:positionV>
                      <wp:extent cx="114300" cy="350520"/>
                      <wp:effectExtent l="0" t="0" r="0" b="0"/>
                      <wp:wrapSquare wrapText="right"/>
                      <wp:docPr id="476" name="Frame2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top w:w="0" w:type="dxa"/>
              <w:left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2800" w:type="dxa"/>
            <w:gridSpan w:val="4"/>
            <w:tcBorders/>
            <w:tcMar>
              <w:top w:w="0" w:type="dxa"/>
              <w:left w:w="0" w:type="dxa"/>
              <w:bottom w:w="0" w:type="dxa"/>
              <w:right w:w="0" w:type="dxa"/>
            </w:tcMar>
            <w:vAlign w:val="center"/>
          </w:tcPr>
          <w:p>
            <w:pPr>
              <w:pStyle w:val="TableContents"/>
              <w:bidi w:val="0"/>
              <w:spacing w:lineRule="atLeast" w:line="220" w:before="0" w:after="0"/>
              <w:ind w:left="180" w:right="0" w:hanging="0"/>
              <w:jc w:val="left"/>
              <w:rPr/>
            </w:pPr>
            <w:r>
              <w:rPr>
                <w:spacing w:val="-1"/>
              </w:rPr>
              <w:t>Regularly reviews the risks associated with the Company’s governance practices, Board composition and refreshment (including independence of directors), and committee leadership.</w:t>
            </w:r>
            <w:r>
              <w:rPr/>
              <w:t xml:space="preserve"> </w:t>
            </w:r>
            <w:r>
              <mc:AlternateContent>
                <mc:Choice Requires="wps">
                  <w:drawing>
                    <wp:anchor behindDoc="0" distT="0" distB="0" distL="0" distR="0" simplePos="0" locked="0" layoutInCell="1" allowOverlap="1" relativeHeight="561">
                      <wp:simplePos x="0" y="0"/>
                      <wp:positionH relativeFrom="column">
                        <wp:align>left</wp:align>
                      </wp:positionH>
                      <wp:positionV relativeFrom="line">
                        <wp:posOffset>635</wp:posOffset>
                      </wp:positionV>
                      <wp:extent cx="114300" cy="350520"/>
                      <wp:effectExtent l="0" t="0" r="0" b="0"/>
                      <wp:wrapSquare wrapText="right"/>
                      <wp:docPr id="477" name="Frame2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Assists in identifying, evaluating, and implementing risk management controls and methodologies to address identified risks.</w:t>
            </w:r>
            <w:r>
              <w:rPr/>
              <w:t xml:space="preserve"> </w:t>
            </w:r>
            <w:r>
              <mc:AlternateContent>
                <mc:Choice Requires="wps">
                  <w:drawing>
                    <wp:anchor behindDoc="0" distT="50800" distB="0" distL="0" distR="0" simplePos="0" locked="0" layoutInCell="1" allowOverlap="1" relativeHeight="562">
                      <wp:simplePos x="0" y="0"/>
                      <wp:positionH relativeFrom="column">
                        <wp:align>left</wp:align>
                      </wp:positionH>
                      <wp:positionV relativeFrom="line">
                        <wp:align>top</wp:align>
                      </wp:positionV>
                      <wp:extent cx="114300" cy="350520"/>
                      <wp:effectExtent l="0" t="0" r="0" b="0"/>
                      <wp:wrapSquare wrapText="right"/>
                      <wp:docPr id="478" name="Frame2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Provides oversight and guidance on corporate responsibility and sustainability risks. </w:t>
            </w:r>
            <w:r>
              <mc:AlternateContent>
                <mc:Choice Requires="wps">
                  <w:drawing>
                    <wp:anchor behindDoc="0" distT="50800" distB="0" distL="0" distR="0" simplePos="0" locked="0" layoutInCell="1" allowOverlap="1" relativeHeight="563">
                      <wp:simplePos x="0" y="0"/>
                      <wp:positionH relativeFrom="column">
                        <wp:align>left</wp:align>
                      </wp:positionH>
                      <wp:positionV relativeFrom="line">
                        <wp:align>top</wp:align>
                      </wp:positionV>
                      <wp:extent cx="114300" cy="350520"/>
                      <wp:effectExtent l="0" t="0" r="0" b="0"/>
                      <wp:wrapSquare wrapText="right"/>
                      <wp:docPr id="479" name="Frame2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top w:w="0" w:type="dxa"/>
              <w:left w:w="0" w:type="dxa"/>
              <w:right w:w="0" w:type="dxa"/>
            </w:tcMar>
            <w:vAlign w:val="center"/>
          </w:tcPr>
          <w:p>
            <w:pPr>
              <w:pStyle w:val="TableContents"/>
              <w:bidi w:val="0"/>
              <w:spacing w:before="0" w:after="283"/>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jc w:val="left"/>
              <w:rPr/>
            </w:pPr>
            <w:r>
              <w:rPr/>
              <w:t>​</w:t>
            </w:r>
          </w:p>
        </w:tc>
        <w:tc>
          <w:tcPr>
            <w:tcW w:w="3017" w:type="dxa"/>
            <w:gridSpan w:val="4"/>
            <w:tcBorders/>
            <w:tcMar>
              <w:top w:w="0" w:type="dxa"/>
              <w:left w:w="0" w:type="dxa"/>
              <w:bottom w:w="0" w:type="dxa"/>
              <w:right w:w="0" w:type="dxa"/>
            </w:tcMar>
            <w:vAlign w:val="center"/>
          </w:tcPr>
          <w:p>
            <w:pPr>
              <w:pStyle w:val="TableContents"/>
              <w:bidi w:val="0"/>
              <w:spacing w:lineRule="atLeast" w:line="220" w:before="0" w:after="0"/>
              <w:ind w:left="180" w:right="0" w:hanging="0"/>
              <w:jc w:val="left"/>
              <w:rPr/>
            </w:pPr>
            <w:r>
              <w:rPr>
                <w:spacing w:val="-1"/>
              </w:rPr>
              <w:t>Considers risks related to the attraction and retention of personnel.</w:t>
            </w:r>
            <w:r>
              <w:rPr/>
              <w:t xml:space="preserve"> </w:t>
            </w:r>
            <w:r>
              <mc:AlternateContent>
                <mc:Choice Requires="wps">
                  <w:drawing>
                    <wp:anchor behindDoc="0" distT="0" distB="0" distL="0" distR="0" simplePos="0" locked="0" layoutInCell="1" allowOverlap="1" relativeHeight="564">
                      <wp:simplePos x="0" y="0"/>
                      <wp:positionH relativeFrom="column">
                        <wp:align>left</wp:align>
                      </wp:positionH>
                      <wp:positionV relativeFrom="line">
                        <wp:posOffset>635</wp:posOffset>
                      </wp:positionV>
                      <wp:extent cx="114300" cy="350520"/>
                      <wp:effectExtent l="0" t="0" r="0" b="0"/>
                      <wp:wrapSquare wrapText="right"/>
                      <wp:docPr id="480" name="Frame2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Considers risks relating to the design of compensation programs and arrangements applicable to both employees and executive officers, including the Company’s annual incentive and long-term incentive programs.</w:t>
            </w:r>
            <w:r>
              <w:rPr/>
              <w:t xml:space="preserve"> </w:t>
            </w:r>
            <w:r>
              <mc:AlternateContent>
                <mc:Choice Requires="wps">
                  <w:drawing>
                    <wp:anchor behindDoc="0" distT="50800" distB="0" distL="0" distR="0" simplePos="0" locked="0" layoutInCell="1" allowOverlap="1" relativeHeight="565">
                      <wp:simplePos x="0" y="0"/>
                      <wp:positionH relativeFrom="column">
                        <wp:align>left</wp:align>
                      </wp:positionH>
                      <wp:positionV relativeFrom="line">
                        <wp:align>top</wp:align>
                      </wp:positionV>
                      <wp:extent cx="114300" cy="350520"/>
                      <wp:effectExtent l="0" t="0" r="0" b="0"/>
                      <wp:wrapSquare wrapText="right"/>
                      <wp:docPr id="481" name="Frame2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Concluded that the Company’s compensation policies and procedures are not reasonably likely to have a material adverse effect on the Company.</w:t>
            </w:r>
            <w:r>
              <w:rPr/>
              <w:t xml:space="preserve"> </w:t>
            </w:r>
            <w:r>
              <mc:AlternateContent>
                <mc:Choice Requires="wps">
                  <w:drawing>
                    <wp:anchor behindDoc="0" distT="50800" distB="0" distL="0" distR="0" simplePos="0" locked="0" layoutInCell="1" allowOverlap="1" relativeHeight="566">
                      <wp:simplePos x="0" y="0"/>
                      <wp:positionH relativeFrom="column">
                        <wp:align>left</wp:align>
                      </wp:positionH>
                      <wp:positionV relativeFrom="line">
                        <wp:align>top</wp:align>
                      </wp:positionV>
                      <wp:extent cx="114300" cy="350520"/>
                      <wp:effectExtent l="0" t="0" r="0" b="0"/>
                      <wp:wrapSquare wrapText="right"/>
                      <wp:docPr id="482" name="Frame2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9" w:type="dxa"/>
            <w:tcBorders/>
            <w:tcMar>
              <w:top w:w="0" w:type="dxa"/>
              <w:left w:w="0" w:type="dxa"/>
              <w:bottom w:w="0" w:type="dxa"/>
              <w:right w:w="0"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23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TBRI1"/>
      <w:bookmarkEnd w:id="30"/>
      <w:r>
        <w:rPr>
          <w:rFonts w:ascii="calibri;arial;sans-serif" w:hAnsi="calibri;arial;sans-serif"/>
          <w:b w:val="false"/>
          <w:i w:val="false"/>
          <w:caps w:val="false"/>
          <w:smallCaps w:val="false"/>
          <w:color w:val="000000"/>
          <w:sz w:val="16"/>
        </w:rPr>
        <w:t>​</w:t>
      </w:r>
      <w:bookmarkStart w:id="31" w:name="tCOCU"/>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THE BOARD’S ROLE IN SUCCESSION PLANNING</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2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regularly reviews plans for succession to the position of Chief Executive Officer, as well as certain other senior management positions. To assist the Board, the Chief Executive Officer annually provides the Board with an assessment of senior managers and their potential to succeed him or her. The Chief Executive Officer also provides the Board with an assessment of persons considered potential successors to certain senior management positions.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14" w:after="283"/>
        <w:jc w:val="center"/>
        <w:rPr>
          <w:caps w:val="false"/>
          <w:smallCaps w:val="false"/>
          <w:color w:val="000000"/>
        </w:rPr>
      </w:pPr>
      <w:r>
        <w:rPr>
          <w:caps w:val="false"/>
          <w:smallCaps w:val="false"/>
          <w:color w:val="000000"/>
        </w:rPr>
        <w:drawing>
          <wp:inline distT="0" distB="0" distL="0" distR="0">
            <wp:extent cx="5962650" cy="2028825"/>
            <wp:effectExtent l="0" t="0" r="0" b="0"/>
            <wp:docPr id="48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13" descr=""/>
                    <pic:cNvPicPr>
                      <a:picLocks noChangeAspect="1" noChangeArrowheads="1"/>
                    </pic:cNvPicPr>
                  </pic:nvPicPr>
                  <pic:blipFill>
                    <a:blip r:embed="rId224"/>
                    <a:stretch>
                      <a:fillRect/>
                    </a:stretch>
                  </pic:blipFill>
                  <pic:spPr bwMode="auto">
                    <a:xfrm>
                      <a:off x="0" y="0"/>
                      <a:ext cx="5962650" cy="2028825"/>
                    </a:xfrm>
                    <a:prstGeom prst="rect">
                      <a:avLst/>
                    </a:prstGeom>
                  </pic:spPr>
                </pic:pic>
              </a:graphicData>
            </a:graphic>
          </wp:inline>
        </w:drawing>
      </w:r>
      <w:r>
        <w:rPr>
          <w:caps w:val="false"/>
          <w:smallCaps w:val="false"/>
          <w:color w:val="000000"/>
        </w:rPr>
        <w:t xml:space="preserve"> </w:t>
      </w:r>
    </w:p>
    <w:p>
      <w:pPr>
        <w:pStyle w:val="TextBody"/>
        <w:bidi w:val="0"/>
        <w:spacing w:lineRule="atLeast" w:line="380" w:before="364"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CORPORATE CULTURE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2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is guided by its values-driven culture and mission to win with integrity. Every employee worldwide exemplifies accountability, transparency, and doing the right thing. Corporate responsibility and sustainability are demonstrated by the Company’s ability to deliver its commitments to employees, communities, the environment, customers, and shareholders.</w:t>
      </w:r>
      <w:r>
        <w:rPr>
          <w:rFonts w:ascii="Arial;Helvetica;sans-serif" w:hAnsi="Arial;Helvetica;sans-serif"/>
          <w:b w:val="false"/>
          <w:i w:val="false"/>
          <w:caps w:val="false"/>
          <w:smallCaps w:val="false"/>
          <w:color w:val="000000"/>
          <w:spacing w:val="4"/>
          <w:sz w:val="18"/>
        </w:rPr>
        <w:t xml:space="preserve"> </w:t>
      </w:r>
    </w:p>
    <w:tbl>
      <w:tblPr>
        <w:tblW w:w="10184" w:type="dxa"/>
        <w:jc w:val="left"/>
        <w:tblInd w:w="1020" w:type="dxa"/>
        <w:tblLayout w:type="fixed"/>
        <w:tblCellMar>
          <w:top w:w="0" w:type="dxa"/>
          <w:left w:w="0" w:type="dxa"/>
          <w:bottom w:w="28" w:type="dxa"/>
          <w:right w:w="0" w:type="dxa"/>
        </w:tblCellMar>
      </w:tblPr>
      <w:tblGrid>
        <w:gridCol w:w="124"/>
        <w:gridCol w:w="1309"/>
        <w:gridCol w:w="109"/>
        <w:gridCol w:w="109"/>
        <w:gridCol w:w="109"/>
        <w:gridCol w:w="1392"/>
        <w:gridCol w:w="109"/>
        <w:gridCol w:w="109"/>
        <w:gridCol w:w="109"/>
        <w:gridCol w:w="2190"/>
        <w:gridCol w:w="109"/>
        <w:gridCol w:w="109"/>
        <w:gridCol w:w="109"/>
        <w:gridCol w:w="1633"/>
        <w:gridCol w:w="109"/>
        <w:gridCol w:w="109"/>
        <w:gridCol w:w="109"/>
        <w:gridCol w:w="1638"/>
        <w:gridCol w:w="109"/>
        <w:gridCol w:w="109"/>
        <w:gridCol w:w="109"/>
        <w:gridCol w:w="109"/>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9470" w:type="dxa"/>
            <w:gridSpan w:val="17"/>
            <w:tcBorders>
              <w:bottom w:val="single" w:sz="24" w:space="0" w:color="FEFEFE"/>
            </w:tcBorders>
            <w:shd w:fill="002F56" w:val="clear"/>
            <w:tcMar>
              <w:bottom w:w="70" w:type="dxa"/>
            </w:tcMar>
            <w:vAlign w:val="center"/>
          </w:tcPr>
          <w:p>
            <w:pPr>
              <w:pStyle w:val="TableContents"/>
              <w:bidi w:val="0"/>
              <w:spacing w:before="0" w:after="0"/>
              <w:jc w:val="center"/>
              <w:rPr>
                <w:spacing w:val="-7"/>
              </w:rPr>
            </w:pPr>
            <w:r>
              <w:rPr>
                <w:spacing w:val="-7"/>
              </w:rPr>
              <w:t xml:space="preserve">OUR VALUES </w:t>
            </w:r>
          </w:p>
        </w:tc>
        <w:tc>
          <w:tcPr>
            <w:tcW w:w="109" w:type="dxa"/>
            <w:tcBorders>
              <w:bottom w:val="single" w:sz="24" w:space="0" w:color="FEFEFE"/>
            </w:tcBorders>
            <w:shd w:fill="002F56" w:val="clear"/>
            <w:vAlign w:val="center"/>
          </w:tcPr>
          <w:p>
            <w:pPr>
              <w:pStyle w:val="TableContents"/>
              <w:bidi w:val="0"/>
              <w:spacing w:before="0" w:after="283"/>
              <w:jc w:val="left"/>
              <w:rPr/>
            </w:pPr>
            <w:r>
              <w:rPr/>
              <w:t>​</w:t>
            </w:r>
          </w:p>
        </w:tc>
        <w:tc>
          <w:tcPr>
            <w:tcW w:w="109" w:type="dxa"/>
            <w:tcBorders>
              <w:bottom w:val="single" w:sz="24" w:space="0" w:color="FEFEFE"/>
            </w:tcBorders>
            <w:shd w:fill="FEFEFE" w:val="cle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bottom w:val="single" w:sz="6" w:space="0" w:color="CCCCCC"/>
            </w:tcBorders>
            <w:shd w:fill="002F56" w:val="clear"/>
            <w:vAlign w:val="center"/>
          </w:tcPr>
          <w:p>
            <w:pPr>
              <w:pStyle w:val="TableContents"/>
              <w:bidi w:val="0"/>
              <w:spacing w:before="0" w:after="283"/>
              <w:jc w:val="left"/>
              <w:rPr/>
            </w:pPr>
            <w:r>
              <w:rPr/>
              <w:t>​</w:t>
            </w:r>
          </w:p>
        </w:tc>
        <w:tc>
          <w:tcPr>
            <w:tcW w:w="1309" w:type="dxa"/>
            <w:tcBorders>
              <w:bottom w:val="single" w:sz="6" w:space="0" w:color="CCCCCC"/>
            </w:tcBorders>
            <w:shd w:fill="002F56" w:val="clear"/>
            <w:vAlign w:val="center"/>
          </w:tcPr>
          <w:p>
            <w:pPr>
              <w:pStyle w:val="TableContents"/>
              <w:bidi w:val="0"/>
              <w:spacing w:before="0" w:after="0"/>
              <w:jc w:val="center"/>
              <w:rPr/>
            </w:pPr>
            <w:r>
              <w:rPr/>
              <w:drawing>
                <wp:inline distT="0" distB="0" distL="0" distR="0">
                  <wp:extent cx="381000" cy="419100"/>
                  <wp:effectExtent l="0" t="0" r="0" b="0"/>
                  <wp:docPr id="48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14" descr=""/>
                          <pic:cNvPicPr>
                            <a:picLocks noChangeAspect="1" noChangeArrowheads="1"/>
                          </pic:cNvPicPr>
                        </pic:nvPicPr>
                        <pic:blipFill>
                          <a:blip r:embed="rId225"/>
                          <a:stretch>
                            <a:fillRect/>
                          </a:stretch>
                        </pic:blipFill>
                        <pic:spPr bwMode="auto">
                          <a:xfrm>
                            <a:off x="0" y="0"/>
                            <a:ext cx="381000" cy="419100"/>
                          </a:xfrm>
                          <a:prstGeom prst="rect">
                            <a:avLst/>
                          </a:prstGeom>
                        </pic:spPr>
                      </pic:pic>
                    </a:graphicData>
                  </a:graphic>
                </wp:inline>
              </w:drawing>
            </w:r>
            <w:r>
              <w:rPr/>
              <w:t xml:space="preserve"> </w:t>
            </w:r>
          </w:p>
          <w:p>
            <w:pPr>
              <w:pStyle w:val="TableContents"/>
              <w:bidi w:val="0"/>
              <w:spacing w:lineRule="atLeast" w:line="210" w:before="90" w:after="283"/>
              <w:jc w:val="center"/>
              <w:rPr/>
            </w:pPr>
            <w:r>
              <w:rPr>
                <w:spacing w:val="-7"/>
              </w:rPr>
              <w:t>PEOPLE</w:t>
            </w:r>
            <w:r>
              <w:rPr/>
              <w:t xml:space="preserve"> </w:t>
            </w:r>
          </w:p>
        </w:tc>
        <w:tc>
          <w:tcPr>
            <w:tcW w:w="109" w:type="dxa"/>
            <w:tcBorders>
              <w:bottom w:val="single" w:sz="6" w:space="0" w:color="CCCCCC"/>
            </w:tcBorders>
            <w:shd w:fill="002F56"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6" w:space="0" w:color="CCCCCC"/>
            </w:tcBorders>
            <w:shd w:fill="71B1C8" w:val="clear"/>
            <w:vAlign w:val="center"/>
          </w:tcPr>
          <w:p>
            <w:pPr>
              <w:pStyle w:val="TableContents"/>
              <w:bidi w:val="0"/>
              <w:spacing w:before="0" w:after="283"/>
              <w:jc w:val="left"/>
              <w:rPr/>
            </w:pPr>
            <w:r>
              <w:rPr/>
              <w:t>​</w:t>
            </w:r>
          </w:p>
        </w:tc>
        <w:tc>
          <w:tcPr>
            <w:tcW w:w="1392" w:type="dxa"/>
            <w:tcBorders>
              <w:bottom w:val="single" w:sz="6" w:space="0" w:color="CCCCCC"/>
            </w:tcBorders>
            <w:shd w:fill="71B1C8" w:val="clear"/>
            <w:vAlign w:val="center"/>
          </w:tcPr>
          <w:p>
            <w:pPr>
              <w:pStyle w:val="TableContents"/>
              <w:bidi w:val="0"/>
              <w:spacing w:lineRule="atLeast" w:line="210" w:before="0" w:after="0"/>
              <w:jc w:val="center"/>
              <w:rPr/>
            </w:pPr>
            <w:r>
              <w:rPr/>
              <w:drawing>
                <wp:inline distT="0" distB="0" distL="0" distR="0">
                  <wp:extent cx="409575" cy="411480"/>
                  <wp:effectExtent l="0" t="0" r="0" b="0"/>
                  <wp:docPr id="48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15" descr=""/>
                          <pic:cNvPicPr>
                            <a:picLocks noChangeAspect="1" noChangeArrowheads="1"/>
                          </pic:cNvPicPr>
                        </pic:nvPicPr>
                        <pic:blipFill>
                          <a:blip r:embed="rId226"/>
                          <a:stretch>
                            <a:fillRect/>
                          </a:stretch>
                        </pic:blipFill>
                        <pic:spPr bwMode="auto">
                          <a:xfrm>
                            <a:off x="0" y="0"/>
                            <a:ext cx="409575" cy="411480"/>
                          </a:xfrm>
                          <a:prstGeom prst="rect">
                            <a:avLst/>
                          </a:prstGeom>
                        </pic:spPr>
                      </pic:pic>
                    </a:graphicData>
                  </a:graphic>
                </wp:inline>
              </w:drawing>
            </w:r>
            <w:r>
              <w:rPr/>
              <w:t xml:space="preserve"> </w:t>
            </w:r>
            <w:r>
              <w:rPr/>
              <w:br/>
            </w:r>
            <w:r>
              <w:rPr>
                <w:spacing w:val="-7"/>
              </w:rPr>
              <w:t>CUSTOMER FOCUS</w:t>
            </w:r>
            <w:r>
              <w:rPr/>
              <w:t xml:space="preserve"> </w:t>
            </w:r>
          </w:p>
        </w:tc>
        <w:tc>
          <w:tcPr>
            <w:tcW w:w="109" w:type="dxa"/>
            <w:tcBorders>
              <w:bottom w:val="single" w:sz="6" w:space="0" w:color="CCCCCC"/>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6" w:space="0" w:color="CCCCCC"/>
            </w:tcBorders>
            <w:shd w:fill="BFBFBF" w:val="clear"/>
            <w:vAlign w:val="center"/>
          </w:tcPr>
          <w:p>
            <w:pPr>
              <w:pStyle w:val="TableContents"/>
              <w:bidi w:val="0"/>
              <w:spacing w:before="0" w:after="283"/>
              <w:jc w:val="left"/>
              <w:rPr/>
            </w:pPr>
            <w:r>
              <w:rPr/>
              <w:t>​</w:t>
            </w:r>
          </w:p>
        </w:tc>
        <w:tc>
          <w:tcPr>
            <w:tcW w:w="2190" w:type="dxa"/>
            <w:tcBorders>
              <w:bottom w:val="single" w:sz="6" w:space="0" w:color="CCCCCC"/>
            </w:tcBorders>
            <w:shd w:fill="BFBFBF" w:val="clear"/>
            <w:vAlign w:val="center"/>
          </w:tcPr>
          <w:p>
            <w:pPr>
              <w:pStyle w:val="TableContents"/>
              <w:bidi w:val="0"/>
              <w:spacing w:before="0" w:after="0"/>
              <w:jc w:val="center"/>
              <w:rPr/>
            </w:pPr>
            <w:r>
              <w:rPr/>
              <w:drawing>
                <wp:inline distT="0" distB="0" distL="0" distR="0">
                  <wp:extent cx="428625" cy="409575"/>
                  <wp:effectExtent l="0" t="0" r="0" b="0"/>
                  <wp:docPr id="48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16" descr=""/>
                          <pic:cNvPicPr>
                            <a:picLocks noChangeAspect="1" noChangeArrowheads="1"/>
                          </pic:cNvPicPr>
                        </pic:nvPicPr>
                        <pic:blipFill>
                          <a:blip r:embed="rId227"/>
                          <a:stretch>
                            <a:fillRect/>
                          </a:stretch>
                        </pic:blipFill>
                        <pic:spPr bwMode="auto">
                          <a:xfrm>
                            <a:off x="0" y="0"/>
                            <a:ext cx="428625" cy="409575"/>
                          </a:xfrm>
                          <a:prstGeom prst="rect">
                            <a:avLst/>
                          </a:prstGeom>
                        </pic:spPr>
                      </pic:pic>
                    </a:graphicData>
                  </a:graphic>
                </wp:inline>
              </w:drawing>
            </w:r>
            <w:r>
              <w:rPr/>
              <w:t xml:space="preserve"> </w:t>
            </w:r>
          </w:p>
          <w:p>
            <w:pPr>
              <w:pStyle w:val="TableContents"/>
              <w:bidi w:val="0"/>
              <w:spacing w:lineRule="atLeast" w:line="210" w:before="90" w:after="283"/>
              <w:jc w:val="center"/>
              <w:rPr/>
            </w:pPr>
            <w:r>
              <w:rPr>
                <w:spacing w:val="-7"/>
              </w:rPr>
              <w:t>ACCOUNTABILITY</w:t>
            </w:r>
            <w:r>
              <w:rPr/>
              <w:t xml:space="preserve"> </w:t>
            </w:r>
          </w:p>
        </w:tc>
        <w:tc>
          <w:tcPr>
            <w:tcW w:w="109" w:type="dxa"/>
            <w:tcBorders>
              <w:bottom w:val="single" w:sz="6" w:space="0" w:color="CCCCCC"/>
            </w:tcBorders>
            <w:shd w:fill="BFBFB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6" w:space="0" w:color="CCCCCC"/>
            </w:tcBorders>
            <w:shd w:fill="7F7F7F" w:val="clear"/>
            <w:vAlign w:val="center"/>
          </w:tcPr>
          <w:p>
            <w:pPr>
              <w:pStyle w:val="TableContents"/>
              <w:bidi w:val="0"/>
              <w:spacing w:before="0" w:after="283"/>
              <w:jc w:val="left"/>
              <w:rPr/>
            </w:pPr>
            <w:r>
              <w:rPr/>
              <w:t>​</w:t>
            </w:r>
          </w:p>
        </w:tc>
        <w:tc>
          <w:tcPr>
            <w:tcW w:w="1633" w:type="dxa"/>
            <w:tcBorders>
              <w:bottom w:val="single" w:sz="6" w:space="0" w:color="CCCCCC"/>
            </w:tcBorders>
            <w:shd w:fill="7F7F7F" w:val="clear"/>
            <w:vAlign w:val="center"/>
          </w:tcPr>
          <w:p>
            <w:pPr>
              <w:pStyle w:val="TableContents"/>
              <w:bidi w:val="0"/>
              <w:spacing w:before="0" w:after="0"/>
              <w:jc w:val="center"/>
              <w:rPr/>
            </w:pPr>
            <w:r>
              <w:rPr/>
              <w:drawing>
                <wp:inline distT="0" distB="0" distL="0" distR="0">
                  <wp:extent cx="361950" cy="409575"/>
                  <wp:effectExtent l="0" t="0" r="0" b="0"/>
                  <wp:docPr id="48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17" descr=""/>
                          <pic:cNvPicPr>
                            <a:picLocks noChangeAspect="1" noChangeArrowheads="1"/>
                          </pic:cNvPicPr>
                        </pic:nvPicPr>
                        <pic:blipFill>
                          <a:blip r:embed="rId228"/>
                          <a:stretch>
                            <a:fillRect/>
                          </a:stretch>
                        </pic:blipFill>
                        <pic:spPr bwMode="auto">
                          <a:xfrm>
                            <a:off x="0" y="0"/>
                            <a:ext cx="361950" cy="409575"/>
                          </a:xfrm>
                          <a:prstGeom prst="rect">
                            <a:avLst/>
                          </a:prstGeom>
                        </pic:spPr>
                      </pic:pic>
                    </a:graphicData>
                  </a:graphic>
                </wp:inline>
              </w:drawing>
            </w:r>
            <w:r>
              <w:rPr/>
              <w:t xml:space="preserve"> </w:t>
            </w:r>
          </w:p>
          <w:p>
            <w:pPr>
              <w:pStyle w:val="TableContents"/>
              <w:bidi w:val="0"/>
              <w:spacing w:lineRule="atLeast" w:line="210" w:before="90" w:after="283"/>
              <w:jc w:val="center"/>
              <w:rPr/>
            </w:pPr>
            <w:r>
              <w:rPr>
                <w:spacing w:val="-7"/>
              </w:rPr>
              <w:t>EXCELLENCE</w:t>
            </w:r>
            <w:r>
              <w:rPr/>
              <w:t xml:space="preserve"> </w:t>
            </w:r>
          </w:p>
        </w:tc>
        <w:tc>
          <w:tcPr>
            <w:tcW w:w="109" w:type="dxa"/>
            <w:tcBorders>
              <w:bottom w:val="single" w:sz="6" w:space="0" w:color="CCCCCC"/>
            </w:tcBorders>
            <w:shd w:fill="7F7F7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bottom w:val="single" w:sz="6" w:space="0" w:color="CCCCCC"/>
            </w:tcBorders>
            <w:shd w:fill="3F3F3F" w:val="clear"/>
            <w:vAlign w:val="center"/>
          </w:tcPr>
          <w:p>
            <w:pPr>
              <w:pStyle w:val="TableContents"/>
              <w:bidi w:val="0"/>
              <w:spacing w:before="0" w:after="283"/>
              <w:jc w:val="left"/>
              <w:rPr/>
            </w:pPr>
            <w:r>
              <w:rPr/>
              <w:t>​</w:t>
            </w:r>
          </w:p>
        </w:tc>
        <w:tc>
          <w:tcPr>
            <w:tcW w:w="1638" w:type="dxa"/>
            <w:tcBorders>
              <w:bottom w:val="single" w:sz="6" w:space="0" w:color="CCCCCC"/>
            </w:tcBorders>
            <w:shd w:fill="3F3F3F" w:val="clear"/>
            <w:vAlign w:val="center"/>
          </w:tcPr>
          <w:p>
            <w:pPr>
              <w:pStyle w:val="TableContents"/>
              <w:bidi w:val="0"/>
              <w:spacing w:before="0" w:after="0"/>
              <w:jc w:val="center"/>
              <w:rPr/>
            </w:pPr>
            <w:r>
              <w:rPr/>
              <w:drawing>
                <wp:inline distT="0" distB="0" distL="0" distR="0">
                  <wp:extent cx="400050" cy="409575"/>
                  <wp:effectExtent l="0" t="0" r="0" b="0"/>
                  <wp:docPr id="48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18" descr=""/>
                          <pic:cNvPicPr>
                            <a:picLocks noChangeAspect="1" noChangeArrowheads="1"/>
                          </pic:cNvPicPr>
                        </pic:nvPicPr>
                        <pic:blipFill>
                          <a:blip r:embed="rId229"/>
                          <a:stretch>
                            <a:fillRect/>
                          </a:stretch>
                        </pic:blipFill>
                        <pic:spPr bwMode="auto">
                          <a:xfrm>
                            <a:off x="0" y="0"/>
                            <a:ext cx="400050" cy="409575"/>
                          </a:xfrm>
                          <a:prstGeom prst="rect">
                            <a:avLst/>
                          </a:prstGeom>
                        </pic:spPr>
                      </pic:pic>
                    </a:graphicData>
                  </a:graphic>
                </wp:inline>
              </w:drawing>
            </w:r>
            <w:r>
              <w:rPr/>
              <w:t xml:space="preserve"> </w:t>
            </w:r>
          </w:p>
          <w:p>
            <w:pPr>
              <w:pStyle w:val="TableContents"/>
              <w:bidi w:val="0"/>
              <w:spacing w:lineRule="atLeast" w:line="210" w:before="90" w:after="283"/>
              <w:jc w:val="center"/>
              <w:rPr/>
            </w:pPr>
            <w:r>
              <w:rPr>
                <w:spacing w:val="-7"/>
              </w:rPr>
              <w:t>HONESTY</w:t>
            </w:r>
            <w:r>
              <w:rPr/>
              <w:t xml:space="preserve"> </w:t>
            </w:r>
          </w:p>
        </w:tc>
        <w:tc>
          <w:tcPr>
            <w:tcW w:w="109" w:type="dxa"/>
            <w:tcBorders>
              <w:bottom w:val="single" w:sz="6" w:space="0" w:color="CCCCCC"/>
            </w:tcBorders>
            <w:shd w:fill="3F3F3F"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372"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09" w:type="dxa"/>
            <w:tcBorders/>
            <w:tcMar>
              <w:bottom w:w="0" w:type="dxa"/>
            </w:tcMar>
            <w:vAlign w:val="center"/>
          </w:tcPr>
          <w:p>
            <w:pPr>
              <w:pStyle w:val="TableContents"/>
              <w:bidi w:val="0"/>
              <w:spacing w:lineRule="atLeast" w:line="208" w:before="0" w:after="0"/>
              <w:jc w:val="left"/>
              <w:rPr/>
            </w:pPr>
            <w:r>
              <w:rPr>
                <w:spacing w:val="-1"/>
              </w:rPr>
              <w:t>We place the health and safety of people ahead of all else.</w:t>
            </w:r>
            <w:r>
              <w:rPr/>
              <w:t xml:space="preserve"> </w:t>
            </w:r>
          </w:p>
          <w:p>
            <w:pPr>
              <w:pStyle w:val="TableContents"/>
              <w:bidi w:val="0"/>
              <w:spacing w:lineRule="atLeast" w:line="208" w:before="40" w:after="283"/>
              <w:jc w:val="left"/>
              <w:rPr>
                <w:spacing w:val="-1"/>
              </w:rPr>
            </w:pPr>
            <w:r>
              <w:rPr>
                <w:spacing w:val="-1"/>
              </w:rPr>
              <w:t xml:space="preserve">We cultivate respect </w:t>
              <w:br/>
              <w:t xml:space="preserve">for individuals and for their diversity of cultures, beliefs, and perspectives.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2" w:type="dxa"/>
            <w:tcBorders/>
            <w:tcMar>
              <w:bottom w:w="0" w:type="dxa"/>
            </w:tcMar>
            <w:vAlign w:val="center"/>
          </w:tcPr>
          <w:p>
            <w:pPr>
              <w:pStyle w:val="TableContents"/>
              <w:bidi w:val="0"/>
              <w:spacing w:lineRule="atLeast" w:line="208" w:before="0" w:after="0"/>
              <w:jc w:val="left"/>
              <w:rPr/>
            </w:pPr>
            <w:r>
              <w:rPr>
                <w:spacing w:val="-1"/>
              </w:rPr>
              <w:t>We foster relationships with our customers based on trust and mutual benefit.</w:t>
            </w:r>
            <w:r>
              <w:rPr/>
              <w:t xml:space="preserve"> </w:t>
            </w:r>
          </w:p>
          <w:p>
            <w:pPr>
              <w:pStyle w:val="TableContents"/>
              <w:bidi w:val="0"/>
              <w:spacing w:lineRule="atLeast" w:line="208" w:before="40" w:after="283"/>
              <w:jc w:val="left"/>
              <w:rPr>
                <w:spacing w:val="-1"/>
              </w:rPr>
            </w:pPr>
            <w:r>
              <w:rPr>
                <w:spacing w:val="-1"/>
              </w:rPr>
              <w:t xml:space="preserve">We strive to enhance value to customers through improved product quality, customer service, and innovation.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0" w:type="dxa"/>
            <w:tcBorders/>
            <w:tcMar>
              <w:bottom w:w="0" w:type="dxa"/>
            </w:tcMar>
            <w:vAlign w:val="center"/>
          </w:tcPr>
          <w:p>
            <w:pPr>
              <w:pStyle w:val="TableContents"/>
              <w:bidi w:val="0"/>
              <w:spacing w:lineRule="atLeast" w:line="208" w:before="0" w:after="0"/>
              <w:jc w:val="left"/>
              <w:rPr/>
            </w:pPr>
            <w:r>
              <w:rPr>
                <w:spacing w:val="-1"/>
              </w:rPr>
              <w:t>We deliver profitable growth and higher returns for our stakeholders.</w:t>
            </w:r>
            <w:r>
              <w:rPr/>
              <w:t xml:space="preserve"> </w:t>
            </w:r>
          </w:p>
          <w:p>
            <w:pPr>
              <w:pStyle w:val="TableContents"/>
              <w:bidi w:val="0"/>
              <w:spacing w:lineRule="atLeast" w:line="208" w:before="40" w:after="283"/>
              <w:jc w:val="left"/>
              <w:rPr/>
            </w:pPr>
            <w:r>
              <w:rPr>
                <w:spacing w:val="-1"/>
              </w:rPr>
              <w:t>We manage our operations, our capital, and our business opportunities in a sustainable manner.</w:t>
            </w:r>
            <w:r>
              <w:rPr/>
              <w:t xml:space="preserve"> </w:t>
            </w:r>
          </w:p>
          <w:p>
            <w:pPr>
              <w:pStyle w:val="TableContents"/>
              <w:bidi w:val="0"/>
              <w:spacing w:before="40" w:after="283"/>
              <w:jc w:val="left"/>
              <w:rPr>
                <w:spacing w:val="-1"/>
              </w:rPr>
            </w:pPr>
            <w:r>
              <w:rPr>
                <w:spacing w:val="-1"/>
              </w:rPr>
              <w:t xml:space="preserve">We serve as good stewards of natural resources, and we employ sound environmental practices to protect the communities in which we operate.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tcBorders/>
            <w:tcMar>
              <w:bottom w:w="0" w:type="dxa"/>
            </w:tcMar>
            <w:vAlign w:val="center"/>
          </w:tcPr>
          <w:p>
            <w:pPr>
              <w:pStyle w:val="TableContents"/>
              <w:bidi w:val="0"/>
              <w:spacing w:lineRule="atLeast" w:line="208" w:before="0" w:after="0"/>
              <w:jc w:val="left"/>
              <w:rPr/>
            </w:pPr>
            <w:r>
              <w:rPr>
                <w:spacing w:val="-1"/>
              </w:rPr>
              <w:t>We constantly seek new, innovative technologies and efficient business processes to remain a market leader.</w:t>
            </w:r>
            <w:r>
              <w:rPr/>
              <w:t xml:space="preserve"> </w:t>
            </w:r>
          </w:p>
          <w:p>
            <w:pPr>
              <w:pStyle w:val="TableContents"/>
              <w:bidi w:val="0"/>
              <w:spacing w:before="40" w:after="283"/>
              <w:jc w:val="left"/>
              <w:rPr>
                <w:spacing w:val="-1"/>
              </w:rPr>
            </w:pPr>
            <w:r>
              <w:rPr>
                <w:spacing w:val="-1"/>
              </w:rPr>
              <w:t xml:space="preserve">We drive for success by focusing on continuous improvement in all facets of the business — processes, systems, products, services, and people.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8" w:type="dxa"/>
            <w:tcBorders/>
            <w:tcMar>
              <w:bottom w:w="0" w:type="dxa"/>
            </w:tcMar>
            <w:vAlign w:val="center"/>
          </w:tcPr>
          <w:p>
            <w:pPr>
              <w:pStyle w:val="TableContents"/>
              <w:bidi w:val="0"/>
              <w:spacing w:lineRule="atLeast" w:line="208" w:before="0" w:after="0"/>
              <w:jc w:val="left"/>
              <w:rPr/>
            </w:pPr>
            <w:r>
              <w:rPr>
                <w:spacing w:val="-1"/>
              </w:rPr>
              <w:t>We value honest, open, and ongoing communications with our employees, customers, shareholders, suppliers, and the communities in which we do business.</w:t>
            </w:r>
            <w:r>
              <w:rPr/>
              <w:t xml:space="preserve"> </w:t>
            </w:r>
          </w:p>
          <w:p>
            <w:pPr>
              <w:pStyle w:val="TableContents"/>
              <w:bidi w:val="0"/>
              <w:spacing w:before="40" w:after="283"/>
              <w:jc w:val="left"/>
              <w:rPr>
                <w:spacing w:val="-1"/>
              </w:rPr>
            </w:pPr>
            <w:r>
              <w:rPr>
                <w:spacing w:val="-1"/>
              </w:rPr>
              <w:t xml:space="preserve">We uphold the spirit and intent of the law and conduct our affairs ethically.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20" w:before="296"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focus on continuous improvement in all facets of our business processes, systems, products, services, people, cost reduction, productivity, mining and reclamation, and elimination of waste. As illustrated further below, we have seven culture-based Lead Teams dedicated to the environment, health and safety, operational excellence, technology and innovation, diversity and inclusion, mining, expense optimization, and sustainable growth. These cross-functional lead teams report directly to the Chief Executive Officer and are assisted by a senior executive appointed to bring additional expertise. The Board of Directors receives updates on a regular basis from all of the lead teams. At least once a year, the Board receives detailed reviews directly from each Lead Team on current objectives, status, progress, and future plans.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24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tbl>
      <w:tblPr>
        <w:tblW w:w="14225" w:type="dxa"/>
        <w:jc w:val="left"/>
        <w:tblInd w:w="1020" w:type="dxa"/>
        <w:tblLayout w:type="fixed"/>
        <w:tblCellMar>
          <w:top w:w="0" w:type="dxa"/>
          <w:left w:w="0" w:type="dxa"/>
          <w:bottom w:w="0" w:type="dxa"/>
          <w:right w:w="0" w:type="dxa"/>
        </w:tblCellMar>
      </w:tblPr>
      <w:tblGrid>
        <w:gridCol w:w="124"/>
        <w:gridCol w:w="1726"/>
        <w:gridCol w:w="109"/>
        <w:gridCol w:w="109"/>
        <w:gridCol w:w="446"/>
        <w:gridCol w:w="109"/>
        <w:gridCol w:w="109"/>
        <w:gridCol w:w="1441"/>
        <w:gridCol w:w="109"/>
        <w:gridCol w:w="109"/>
        <w:gridCol w:w="109"/>
        <w:gridCol w:w="1166"/>
        <w:gridCol w:w="109"/>
        <w:gridCol w:w="109"/>
        <w:gridCol w:w="109"/>
        <w:gridCol w:w="2466"/>
        <w:gridCol w:w="109"/>
        <w:gridCol w:w="109"/>
        <w:gridCol w:w="109"/>
        <w:gridCol w:w="1316"/>
        <w:gridCol w:w="109"/>
        <w:gridCol w:w="109"/>
        <w:gridCol w:w="109"/>
        <w:gridCol w:w="936"/>
        <w:gridCol w:w="109"/>
        <w:gridCol w:w="109"/>
        <w:gridCol w:w="109"/>
        <w:gridCol w:w="771"/>
        <w:gridCol w:w="109"/>
        <w:gridCol w:w="109"/>
        <w:gridCol w:w="109"/>
        <w:gridCol w:w="1281"/>
        <w:gridCol w:w="154"/>
      </w:tblGrid>
      <w:tr>
        <w:trPr/>
        <w:tc>
          <w:tcPr>
            <w:tcW w:w="124" w:type="dxa"/>
            <w:vMerge w:val="restart"/>
            <w:tcBorders/>
            <w:shd w:fill="323232" w:val="clear"/>
            <w:vAlign w:val="center"/>
          </w:tcPr>
          <w:p>
            <w:pPr>
              <w:pStyle w:val="TableContents"/>
              <w:bidi w:val="0"/>
              <w:spacing w:before="0" w:after="283"/>
              <w:jc w:val="left"/>
              <w:rPr/>
            </w:pPr>
            <w:r>
              <w:rPr/>
              <w:t>​</w:t>
            </w:r>
          </w:p>
        </w:tc>
        <w:tc>
          <w:tcPr>
            <w:tcW w:w="1726" w:type="dxa"/>
            <w:vMerge w:val="restart"/>
            <w:tcBorders/>
            <w:shd w:fill="323232" w:val="clear"/>
            <w:vAlign w:val="center"/>
          </w:tcPr>
          <w:p>
            <w:pPr>
              <w:pStyle w:val="TableContents"/>
              <w:bidi w:val="0"/>
              <w:spacing w:lineRule="atLeast" w:line="196" w:before="0" w:after="0"/>
              <w:jc w:val="left"/>
              <w:rPr/>
            </w:pPr>
            <w:r>
              <w:rPr>
                <w:spacing w:val="-10"/>
              </w:rPr>
              <w:t>BOARD OF DIRECTORS, CORPORATE GOVERNANCE AND NOMINATING COMMITTEE</w:t>
            </w:r>
            <w:r>
              <w:rPr/>
              <w:t xml:space="preserve"> </w:t>
              <w:br/>
            </w:r>
            <w:r>
              <w:rPr>
                <w:spacing w:val="-6"/>
              </w:rPr>
              <w:t>receive performance metrics and regular updates with detailed review annually</w:t>
            </w:r>
            <w:r>
              <w:rPr/>
              <w:t xml:space="preserve"> </w:t>
            </w:r>
          </w:p>
        </w:tc>
        <w:tc>
          <w:tcPr>
            <w:tcW w:w="109" w:type="dxa"/>
            <w:vMerge w:val="restart"/>
            <w:tcBorders/>
            <w:shd w:fill="323232"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1339" w:type="dxa"/>
            <w:gridSpan w:val="25"/>
            <w:tcBorders/>
            <w:shd w:fill="002F56" w:val="clear"/>
            <w:vAlign w:val="center"/>
          </w:tcPr>
          <w:p>
            <w:pPr>
              <w:pStyle w:val="TableContents"/>
              <w:bidi w:val="0"/>
              <w:spacing w:lineRule="atLeast" w:line="198" w:before="0" w:after="0"/>
              <w:jc w:val="center"/>
              <w:rPr>
                <w:sz w:val="18"/>
              </w:rPr>
            </w:pPr>
            <w:r>
              <w:rPr>
                <w:spacing w:val="-11"/>
                <w:sz w:val="18"/>
              </w:rPr>
              <w:t>CHIEF EXECUTIVE OFFICER</w:t>
            </w:r>
            <w:r>
              <w:rPr>
                <w:color w:val="000000"/>
                <w:sz w:val="18"/>
              </w:rPr>
              <w:t>​</w:t>
            </w:r>
            <w:r>
              <w:rPr>
                <w:sz w:val="18"/>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vMerge w:val="continue"/>
            <w:tcBorders/>
            <w:shd w:fill="323232" w:val="clear"/>
            <w:vAlign w:val="center"/>
          </w:tcPr>
          <w:p>
            <w:pPr>
              <w:pStyle w:val="Normal"/>
              <w:bidi w:val="0"/>
              <w:jc w:val="left"/>
              <w:rPr/>
            </w:pPr>
            <w:r>
              <w:rPr/>
            </w:r>
          </w:p>
        </w:tc>
        <w:tc>
          <w:tcPr>
            <w:tcW w:w="1726" w:type="dxa"/>
            <w:vMerge w:val="continue"/>
            <w:tcBorders/>
            <w:shd w:fill="323232" w:val="clear"/>
            <w:vAlign w:val="center"/>
          </w:tcPr>
          <w:p>
            <w:pPr>
              <w:pStyle w:val="Normal"/>
              <w:bidi w:val="0"/>
              <w:jc w:val="left"/>
              <w:rPr/>
            </w:pPr>
            <w:r>
              <w:rPr/>
            </w:r>
          </w:p>
        </w:tc>
        <w:tc>
          <w:tcPr>
            <w:tcW w:w="109" w:type="dxa"/>
            <w:vMerge w:val="continue"/>
            <w:tcBorders/>
            <w:shd w:fill="323232" w:val="cle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8" w:space="0" w:color="71B1C8"/>
            </w:tcBorders>
            <w:tcMar>
              <w:bottom w:w="28" w:type="dxa"/>
            </w:tcMar>
            <w:vAlign w:val="center"/>
          </w:tcPr>
          <w:p>
            <w:pPr>
              <w:pStyle w:val="TableContents"/>
              <w:bidi w:val="0"/>
              <w:spacing w:before="0" w:after="283"/>
              <w:jc w:val="left"/>
              <w:rPr/>
            </w:pPr>
            <w:r>
              <w:rPr/>
              <w:t>​</w:t>
            </w:r>
          </w:p>
        </w:tc>
        <w:tc>
          <w:tcPr>
            <w:tcW w:w="11339" w:type="dxa"/>
            <w:gridSpan w:val="25"/>
            <w:tcBorders>
              <w:bottom w:val="single" w:sz="28" w:space="0" w:color="71B1C8"/>
            </w:tcBorders>
            <w:tcMar>
              <w:bottom w:w="28" w:type="dxa"/>
            </w:tcMar>
            <w:vAlign w:val="center"/>
          </w:tcPr>
          <w:p>
            <w:pPr>
              <w:pStyle w:val="TableContents"/>
              <w:bidi w:val="0"/>
              <w:spacing w:before="0" w:after="0"/>
              <w:jc w:val="center"/>
              <w:rPr/>
            </w:pPr>
            <w:r>
              <w:rPr/>
              <w:drawing>
                <wp:inline distT="0" distB="0" distL="0" distR="0">
                  <wp:extent cx="123825" cy="228600"/>
                  <wp:effectExtent l="0" t="0" r="0" b="0"/>
                  <wp:docPr id="48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219" descr=""/>
                          <pic:cNvPicPr>
                            <a:picLocks noChangeAspect="1" noChangeArrowheads="1"/>
                          </pic:cNvPicPr>
                        </pic:nvPicPr>
                        <pic:blipFill>
                          <a:blip r:embed="rId230"/>
                          <a:stretch>
                            <a:fillRect/>
                          </a:stretch>
                        </pic:blipFill>
                        <pic:spPr bwMode="auto">
                          <a:xfrm>
                            <a:off x="0" y="0"/>
                            <a:ext cx="123825" cy="228600"/>
                          </a:xfrm>
                          <a:prstGeom prst="rect">
                            <a:avLst/>
                          </a:prstGeom>
                        </pic:spPr>
                      </pic:pic>
                    </a:graphicData>
                  </a:graphic>
                </wp:inline>
              </w:drawing>
            </w:r>
            <w:r>
              <w:rPr/>
              <w:t xml:space="preserve"> </w:t>
            </w:r>
          </w:p>
        </w:tc>
        <w:tc>
          <w:tcPr>
            <w:tcW w:w="154" w:type="dxa"/>
            <w:tcBorders>
              <w:bottom w:val="single" w:sz="28" w:space="0" w:color="71B1C8"/>
            </w:tcBorders>
            <w:tcMar>
              <w:bottom w:w="28" w:type="dxa"/>
            </w:tcMar>
            <w:vAlign w:val="center"/>
          </w:tcPr>
          <w:p>
            <w:pPr>
              <w:pStyle w:val="TableContents"/>
              <w:bidi w:val="0"/>
              <w:spacing w:before="0" w:after="283"/>
              <w:jc w:val="left"/>
              <w:rPr/>
            </w:pPr>
            <w:r>
              <w:rPr/>
              <w:t>​</w:t>
            </w:r>
          </w:p>
        </w:tc>
      </w:tr>
      <w:tr>
        <w:trPr/>
        <w:tc>
          <w:tcPr>
            <w:tcW w:w="124" w:type="dxa"/>
            <w:vMerge w:val="continue"/>
            <w:tcBorders/>
            <w:shd w:fill="323232" w:val="clear"/>
            <w:vAlign w:val="center"/>
          </w:tcPr>
          <w:p>
            <w:pPr>
              <w:pStyle w:val="Normal"/>
              <w:bidi w:val="0"/>
              <w:jc w:val="left"/>
              <w:rPr/>
            </w:pPr>
            <w:r>
              <w:rPr/>
            </w:r>
          </w:p>
        </w:tc>
        <w:tc>
          <w:tcPr>
            <w:tcW w:w="1726" w:type="dxa"/>
            <w:vMerge w:val="continue"/>
            <w:tcBorders/>
            <w:shd w:fill="323232" w:val="clear"/>
            <w:vAlign w:val="center"/>
          </w:tcPr>
          <w:p>
            <w:pPr>
              <w:pStyle w:val="Normal"/>
              <w:bidi w:val="0"/>
              <w:jc w:val="left"/>
              <w:rPr/>
            </w:pPr>
            <w:r>
              <w:rPr/>
            </w:r>
          </w:p>
        </w:tc>
        <w:tc>
          <w:tcPr>
            <w:tcW w:w="109" w:type="dxa"/>
            <w:vMerge w:val="continue"/>
            <w:tcBorders/>
            <w:shd w:fill="323232" w:val="clear"/>
            <w:vAlign w:val="center"/>
          </w:tcPr>
          <w:p>
            <w:pPr>
              <w:pStyle w:val="Normal"/>
              <w:bidi w:val="0"/>
              <w:jc w:val="left"/>
              <w:rPr/>
            </w:pPr>
            <w:r>
              <w:rPr/>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446" w:type="dxa"/>
            <w:tcBorders>
              <w:bottom w:val="single" w:sz="12" w:space="0" w:color="FFFFFF"/>
            </w:tcBorders>
            <w:tcMar>
              <w:bottom w:w="28" w:type="dxa"/>
            </w:tcMar>
            <w:vAlign w:val="center"/>
          </w:tcPr>
          <w:p>
            <w:pPr>
              <w:pStyle w:val="TableContents"/>
              <w:bidi w:val="0"/>
              <w:spacing w:before="0" w:after="0"/>
              <w:jc w:val="center"/>
              <w:rPr/>
            </w:pPr>
            <w:r>
              <w:rPr/>
              <w:drawing>
                <wp:inline distT="0" distB="0" distL="0" distR="0">
                  <wp:extent cx="228600" cy="123825"/>
                  <wp:effectExtent l="0" t="0" r="0" b="0"/>
                  <wp:docPr id="49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20" descr=""/>
                          <pic:cNvPicPr>
                            <a:picLocks noChangeAspect="1" noChangeArrowheads="1"/>
                          </pic:cNvPicPr>
                        </pic:nvPicPr>
                        <pic:blipFill>
                          <a:blip r:embed="rId231"/>
                          <a:stretch>
                            <a:fillRect/>
                          </a:stretch>
                        </pic:blipFill>
                        <pic:spPr bwMode="auto">
                          <a:xfrm>
                            <a:off x="0" y="0"/>
                            <a:ext cx="228600" cy="123825"/>
                          </a:xfrm>
                          <a:prstGeom prst="rect">
                            <a:avLst/>
                          </a:prstGeom>
                        </pic:spPr>
                      </pic:pic>
                    </a:graphicData>
                  </a:graphic>
                </wp:inline>
              </w:drawing>
            </w:r>
            <w:r>
              <w:rPr/>
              <w:t xml:space="preserv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EFEFE"/>
            </w:tcBorders>
            <w:shd w:fill="002F56" w:val="clear"/>
            <w:tcMar>
              <w:bottom w:w="28" w:type="dxa"/>
            </w:tcMar>
            <w:vAlign w:val="center"/>
          </w:tcPr>
          <w:p>
            <w:pPr>
              <w:pStyle w:val="TableContents"/>
              <w:bidi w:val="0"/>
              <w:spacing w:before="0" w:after="283"/>
              <w:jc w:val="left"/>
              <w:rPr/>
            </w:pPr>
            <w:r>
              <w:rPr/>
              <w:t>​</w:t>
            </w:r>
          </w:p>
        </w:tc>
        <w:tc>
          <w:tcPr>
            <w:tcW w:w="11339" w:type="dxa"/>
            <w:gridSpan w:val="25"/>
            <w:tcBorders>
              <w:bottom w:val="single" w:sz="12" w:space="0" w:color="FEFEFE"/>
            </w:tcBorders>
            <w:shd w:fill="002F56" w:val="clear"/>
            <w:tcMar>
              <w:bottom w:w="28" w:type="dxa"/>
            </w:tcMar>
            <w:vAlign w:val="center"/>
          </w:tcPr>
          <w:p>
            <w:pPr>
              <w:pStyle w:val="TableContents"/>
              <w:bidi w:val="0"/>
              <w:spacing w:lineRule="atLeast" w:line="220" w:before="0" w:after="0"/>
              <w:jc w:val="center"/>
              <w:rPr>
                <w:b/>
                <w:color w:val="71B1C8"/>
                <w:sz w:val="18"/>
              </w:rPr>
            </w:pPr>
            <w:r>
              <w:rPr>
                <w:b/>
                <w:color w:val="71B1C8"/>
                <w:spacing w:val="-11"/>
                <w:sz w:val="18"/>
              </w:rPr>
              <w:t>LEAD TEAMS</w:t>
            </w:r>
            <w:r>
              <w:rPr>
                <w:b/>
                <w:color w:val="71B1C8"/>
                <w:sz w:val="18"/>
              </w:rPr>
              <w:t xml:space="preserve">​ </w:t>
            </w:r>
          </w:p>
        </w:tc>
        <w:tc>
          <w:tcPr>
            <w:tcW w:w="154" w:type="dxa"/>
            <w:tcBorders>
              <w:bottom w:val="single" w:sz="12" w:space="0" w:color="FEFEFE"/>
            </w:tcBorders>
            <w:shd w:fill="002F56" w:val="clear"/>
            <w:tcMar>
              <w:bottom w:w="28" w:type="dxa"/>
            </w:tcMar>
            <w:vAlign w:val="center"/>
          </w:tcPr>
          <w:p>
            <w:pPr>
              <w:pStyle w:val="TableContents"/>
              <w:bidi w:val="0"/>
              <w:spacing w:before="0" w:after="283"/>
              <w:jc w:val="left"/>
              <w:rPr/>
            </w:pPr>
            <w:r>
              <w:rPr/>
              <w:t>​</w:t>
            </w:r>
          </w:p>
        </w:tc>
      </w:tr>
      <w:tr>
        <w:trPr/>
        <w:tc>
          <w:tcPr>
            <w:tcW w:w="124" w:type="dxa"/>
            <w:vMerge w:val="continue"/>
            <w:tcBorders/>
            <w:shd w:fill="323232" w:val="clear"/>
            <w:vAlign w:val="center"/>
          </w:tcPr>
          <w:p>
            <w:pPr>
              <w:pStyle w:val="Normal"/>
              <w:bidi w:val="0"/>
              <w:jc w:val="left"/>
              <w:rPr/>
            </w:pPr>
            <w:r>
              <w:rPr/>
            </w:r>
          </w:p>
        </w:tc>
        <w:tc>
          <w:tcPr>
            <w:tcW w:w="1726" w:type="dxa"/>
            <w:vMerge w:val="continue"/>
            <w:tcBorders/>
            <w:shd w:fill="323232" w:val="clear"/>
            <w:vAlign w:val="center"/>
          </w:tcPr>
          <w:p>
            <w:pPr>
              <w:pStyle w:val="Normal"/>
              <w:bidi w:val="0"/>
              <w:jc w:val="left"/>
              <w:rPr/>
            </w:pPr>
            <w:r>
              <w:rPr/>
            </w:r>
          </w:p>
        </w:tc>
        <w:tc>
          <w:tcPr>
            <w:tcW w:w="109" w:type="dxa"/>
            <w:vMerge w:val="continue"/>
            <w:tcBorders/>
            <w:shd w:fill="323232" w:val="cle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4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441" w:type="dxa"/>
            <w:tcBorders/>
            <w:shd w:fill="71B1C8" w:val="clear"/>
            <w:vAlign w:val="center"/>
          </w:tcPr>
          <w:p>
            <w:pPr>
              <w:pStyle w:val="TableContents"/>
              <w:bidi w:val="0"/>
              <w:spacing w:lineRule="atLeast" w:line="177" w:before="0" w:after="0"/>
              <w:jc w:val="center"/>
              <w:rPr/>
            </w:pPr>
            <w:r>
              <w:rPr>
                <w:spacing w:val="-5"/>
              </w:rPr>
              <w:t xml:space="preserve">Environmental </w:t>
              <w:br/>
              <w:t xml:space="preserve">Health &amp; </w:t>
              <w:br/>
              <w:t>Safety</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166" w:type="dxa"/>
            <w:tcBorders/>
            <w:shd w:fill="71B1C8" w:val="clear"/>
            <w:vAlign w:val="center"/>
          </w:tcPr>
          <w:p>
            <w:pPr>
              <w:pStyle w:val="TableContents"/>
              <w:bidi w:val="0"/>
              <w:spacing w:lineRule="atLeast" w:line="177" w:before="0" w:after="0"/>
              <w:jc w:val="center"/>
              <w:rPr/>
            </w:pPr>
            <w:r>
              <w:rPr>
                <w:spacing w:val="-5"/>
              </w:rPr>
              <w:t>Operational Excellence</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2466" w:type="dxa"/>
            <w:tcBorders/>
            <w:shd w:fill="71B1C8" w:val="clear"/>
            <w:vAlign w:val="center"/>
          </w:tcPr>
          <w:p>
            <w:pPr>
              <w:pStyle w:val="TableContents"/>
              <w:bidi w:val="0"/>
              <w:spacing w:lineRule="atLeast" w:line="177" w:before="0" w:after="0"/>
              <w:jc w:val="center"/>
              <w:rPr/>
            </w:pPr>
            <w:r>
              <w:rPr>
                <w:spacing w:val="-5"/>
              </w:rPr>
              <w:t>Technology &amp; Innovation</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316" w:type="dxa"/>
            <w:tcBorders/>
            <w:shd w:fill="71B1C8" w:val="clear"/>
            <w:vAlign w:val="center"/>
          </w:tcPr>
          <w:p>
            <w:pPr>
              <w:pStyle w:val="TableContents"/>
              <w:bidi w:val="0"/>
              <w:spacing w:lineRule="atLeast" w:line="178" w:before="0" w:after="0"/>
              <w:jc w:val="center"/>
              <w:rPr/>
            </w:pPr>
            <w:r>
              <w:rPr>
                <w:spacing w:val="-5"/>
              </w:rPr>
              <w:t>Sustainability</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936" w:type="dxa"/>
            <w:tcBorders/>
            <w:shd w:fill="71B1C8" w:val="clear"/>
            <w:vAlign w:val="center"/>
          </w:tcPr>
          <w:p>
            <w:pPr>
              <w:pStyle w:val="TableContents"/>
              <w:bidi w:val="0"/>
              <w:spacing w:lineRule="atLeast" w:line="177" w:before="0" w:after="0"/>
              <w:jc w:val="center"/>
              <w:rPr/>
            </w:pPr>
            <w:r>
              <w:rPr>
                <w:spacing w:val="-5"/>
              </w:rPr>
              <w:t>Global Inclusion Council</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771" w:type="dxa"/>
            <w:tcBorders/>
            <w:shd w:fill="71B1C8" w:val="clear"/>
            <w:vAlign w:val="center"/>
          </w:tcPr>
          <w:p>
            <w:pPr>
              <w:pStyle w:val="TableContents"/>
              <w:bidi w:val="0"/>
              <w:spacing w:lineRule="atLeast" w:line="178" w:before="0" w:after="0"/>
              <w:jc w:val="center"/>
              <w:rPr/>
            </w:pPr>
            <w:r>
              <w:rPr>
                <w:spacing w:val="-5"/>
              </w:rPr>
              <w:t>Mining</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281" w:type="dxa"/>
            <w:tcBorders/>
            <w:shd w:fill="71B1C8" w:val="clear"/>
            <w:vAlign w:val="center"/>
          </w:tcPr>
          <w:p>
            <w:pPr>
              <w:pStyle w:val="TableContents"/>
              <w:bidi w:val="0"/>
              <w:spacing w:lineRule="atLeast" w:line="177" w:before="0" w:after="0"/>
              <w:jc w:val="center"/>
              <w:rPr/>
            </w:pPr>
            <w:r>
              <w:rPr>
                <w:spacing w:val="-5"/>
              </w:rPr>
              <w:t>Expense Optimization</w:t>
            </w:r>
            <w:r>
              <w:rPr/>
              <w:t xml:space="preserve"> </w:t>
            </w:r>
          </w:p>
        </w:tc>
        <w:tc>
          <w:tcPr>
            <w:tcW w:w="154" w:type="dxa"/>
            <w:tcBorders/>
            <w:shd w:fill="71B1C8" w:val="clear"/>
            <w:vAlign w:val="center"/>
          </w:tcPr>
          <w:p>
            <w:pPr>
              <w:pStyle w:val="TableContents"/>
              <w:bidi w:val="0"/>
              <w:spacing w:before="0" w:after="283"/>
              <w:jc w:val="left"/>
              <w:rPr/>
            </w:pPr>
            <w:r>
              <w:rPr/>
              <w:t>​</w:t>
            </w:r>
          </w:p>
        </w:tc>
      </w:tr>
    </w:tbl>
    <w:p>
      <w:pPr>
        <w:pStyle w:val="TextBody"/>
        <w:bidi w:val="0"/>
        <w:spacing w:lineRule="atLeast" w:line="210" w:before="28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of Directors has primary responsibility for oversight of risk and strategy for the Company, which includes areas that impact our sustainability efforts and the Company’s human rights policies. The Corporate Governance and Nominating Committee is directly responsible for reviewing and evaluating our programs, policies, and practices relating to social, environmental, and governance issues which could impact the long-term sustainability of our business. There are many aspects of sustainability that are reviewed, including strategy and risk, environmental performance, diversity and inclusion, talent and leadership development, safety, human rights policy, and ethics and compliance. The Corporate Governance and Nominating Committee reviews and approves each publication of our Corporate Sustainability Report.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SUSTAINABILITY</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Sustainability and delivering value to various stakeholders are essential to the Company’s strategies, management performance criteria, employee engagement activities, innovation pipeline, policies, and reporting systems.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dedicated Sustainability Lead Team includes senior leaders from various functional areas of expertise across our global footprint and meets regularly. It reports directly to the CEO and directly interacts with the Board of Directors, Leadership Council, and business leaders.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 to be rated in the top quartile of companies for our sustainability practices by outside rating agencies such as MSCI, ISS, and Sustainalytics. These ratings recognize our continued high standards in reducing emissions, water usage, and waste across our facilities and our robust policies, governance, and social practices.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10" w:after="283"/>
        <w:jc w:val="center"/>
        <w:rPr>
          <w:caps w:val="false"/>
          <w:smallCaps w:val="false"/>
          <w:color w:val="000000"/>
        </w:rPr>
      </w:pPr>
      <w:r>
        <w:rPr>
          <w:caps w:val="false"/>
          <w:smallCaps w:val="false"/>
          <w:color w:val="000000"/>
        </w:rPr>
        <w:drawing>
          <wp:inline distT="0" distB="0" distL="0" distR="0">
            <wp:extent cx="6210300" cy="942975"/>
            <wp:effectExtent l="0" t="0" r="0" b="0"/>
            <wp:docPr id="49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21" descr=""/>
                    <pic:cNvPicPr>
                      <a:picLocks noChangeAspect="1" noChangeArrowheads="1"/>
                    </pic:cNvPicPr>
                  </pic:nvPicPr>
                  <pic:blipFill>
                    <a:blip r:embed="rId232"/>
                    <a:stretch>
                      <a:fillRect/>
                    </a:stretch>
                  </pic:blipFill>
                  <pic:spPr bwMode="auto">
                    <a:xfrm>
                      <a:off x="0" y="0"/>
                      <a:ext cx="6210300" cy="9429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SAFETY AND ENVIRONMENTAL PERFORMANCE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is provided with a comprehensive safety and environmental briefing each quarter at Board meetings, and receives the following information each month: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1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recordable injury rate,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49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lost workday injury rate,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49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injury details by business unit and geographic region,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49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sustainability initiatives including environmental releases / performance against emission reduction targets,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49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safety initiatives and policies.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49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least once a year, the Board receives detailed reviews on the current environmental and safety status, progress, metrics, and future plans for strategic discussions with our CEO.</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2402"/>
        <w:gridCol w:w="109"/>
        <w:gridCol w:w="109"/>
        <w:gridCol w:w="109"/>
        <w:gridCol w:w="2878"/>
        <w:gridCol w:w="109"/>
        <w:gridCol w:w="109"/>
        <w:gridCol w:w="109"/>
        <w:gridCol w:w="2972"/>
        <w:gridCol w:w="155"/>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6" w:type="dxa"/>
            <w:gridSpan w:val="9"/>
            <w:tcBorders>
              <w:bottom w:val="single" w:sz="24" w:space="0" w:color="FEFEFE"/>
            </w:tcBorders>
            <w:shd w:fill="002F56" w:val="clear"/>
            <w:tcMar>
              <w:bottom w:w="70" w:type="dxa"/>
            </w:tcMar>
            <w:vAlign w:val="center"/>
          </w:tcPr>
          <w:p>
            <w:pPr>
              <w:pStyle w:val="TableContents"/>
              <w:bidi w:val="0"/>
              <w:spacing w:lineRule="atLeast" w:line="240" w:before="0" w:after="0"/>
              <w:jc w:val="center"/>
              <w:rPr>
                <w:spacing w:val="-7"/>
              </w:rPr>
            </w:pPr>
            <w:r>
              <w:rPr>
                <w:spacing w:val="-7"/>
              </w:rPr>
              <w:t xml:space="preserve">2025 SAFETY PERFORMANCE </w:t>
            </w:r>
          </w:p>
        </w:tc>
        <w:tc>
          <w:tcPr>
            <w:tcW w:w="155"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2402" w:type="dxa"/>
            <w:tcBorders/>
            <w:shd w:fill="71B1C8" w:val="clear"/>
            <w:tcMar>
              <w:bottom w:w="0" w:type="dxa"/>
            </w:tcMar>
            <w:vAlign w:val="center"/>
          </w:tcPr>
          <w:p>
            <w:pPr>
              <w:pStyle w:val="TableContents"/>
              <w:bidi w:val="0"/>
              <w:spacing w:before="0" w:after="0"/>
              <w:jc w:val="center"/>
              <w:rPr/>
            </w:pPr>
            <w:r>
              <w:rPr/>
              <w:drawing>
                <wp:inline distT="0" distB="0" distL="0" distR="0">
                  <wp:extent cx="257175" cy="381000"/>
                  <wp:effectExtent l="0" t="0" r="0" b="0"/>
                  <wp:docPr id="497"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222" descr=""/>
                          <pic:cNvPicPr>
                            <a:picLocks noChangeAspect="1" noChangeArrowheads="1"/>
                          </pic:cNvPicPr>
                        </pic:nvPicPr>
                        <pic:blipFill>
                          <a:blip r:embed="rId233"/>
                          <a:stretch>
                            <a:fillRect/>
                          </a:stretch>
                        </pic:blipFill>
                        <pic:spPr bwMode="auto">
                          <a:xfrm>
                            <a:off x="0" y="0"/>
                            <a:ext cx="257175" cy="381000"/>
                          </a:xfrm>
                          <a:prstGeom prst="rect">
                            <a:avLst/>
                          </a:prstGeom>
                        </pic:spPr>
                      </pic:pic>
                    </a:graphicData>
                  </a:graphic>
                </wp:inline>
              </w:drawing>
            </w:r>
            <w:r>
              <w:rPr/>
              <w:t xml:space="preserve"> </w:t>
            </w:r>
          </w:p>
          <w:p>
            <w:pPr>
              <w:pStyle w:val="TableContents"/>
              <w:bidi w:val="0"/>
              <w:spacing w:lineRule="atLeast" w:line="480" w:before="100" w:after="283"/>
              <w:jc w:val="center"/>
              <w:rPr>
                <w:sz w:val="44"/>
              </w:rPr>
            </w:pPr>
            <w:r>
              <w:rPr>
                <w:spacing w:val="-3"/>
                <w:sz w:val="44"/>
              </w:rPr>
              <w:t>90%</w:t>
            </w:r>
            <w:r>
              <w:rPr>
                <w:sz w:val="44"/>
              </w:rPr>
              <w:t xml:space="preserve"> </w:t>
            </w:r>
          </w:p>
          <w:p>
            <w:pPr>
              <w:pStyle w:val="TableContents"/>
              <w:bidi w:val="0"/>
              <w:spacing w:lineRule="atLeast" w:line="220" w:before="40" w:after="283"/>
              <w:jc w:val="center"/>
              <w:rPr>
                <w:spacing w:val="-1"/>
              </w:rPr>
            </w:pPr>
            <w:r>
              <w:rPr>
                <w:spacing w:val="-1"/>
              </w:rPr>
              <w:t xml:space="preserve">OF OPERATING SITES </w:t>
              <w:br/>
              <w:t xml:space="preserve">INJURY-FREE FOR 2025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878" w:type="dxa"/>
            <w:tcBorders/>
            <w:shd w:fill="002F56" w:val="clear"/>
            <w:tcMar>
              <w:bottom w:w="0" w:type="dxa"/>
            </w:tcMar>
            <w:vAlign w:val="center"/>
          </w:tcPr>
          <w:p>
            <w:pPr>
              <w:pStyle w:val="TableContents"/>
              <w:bidi w:val="0"/>
              <w:spacing w:before="0" w:after="0"/>
              <w:jc w:val="center"/>
              <w:rPr/>
            </w:pPr>
            <w:r>
              <w:rPr/>
              <w:drawing>
                <wp:inline distT="0" distB="0" distL="0" distR="0">
                  <wp:extent cx="323850" cy="381000"/>
                  <wp:effectExtent l="0" t="0" r="0" b="0"/>
                  <wp:docPr id="498"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23" descr=""/>
                          <pic:cNvPicPr>
                            <a:picLocks noChangeAspect="1" noChangeArrowheads="1"/>
                          </pic:cNvPicPr>
                        </pic:nvPicPr>
                        <pic:blipFill>
                          <a:blip r:embed="rId234"/>
                          <a:stretch>
                            <a:fillRect/>
                          </a:stretch>
                        </pic:blipFill>
                        <pic:spPr bwMode="auto">
                          <a:xfrm>
                            <a:off x="0" y="0"/>
                            <a:ext cx="323850" cy="381000"/>
                          </a:xfrm>
                          <a:prstGeom prst="rect">
                            <a:avLst/>
                          </a:prstGeom>
                        </pic:spPr>
                      </pic:pic>
                    </a:graphicData>
                  </a:graphic>
                </wp:inline>
              </w:drawing>
            </w:r>
            <w:r>
              <w:rPr/>
              <w:t xml:space="preserve"> </w:t>
            </w:r>
          </w:p>
          <w:p>
            <w:pPr>
              <w:pStyle w:val="TableContents"/>
              <w:bidi w:val="0"/>
              <w:spacing w:lineRule="atLeast" w:line="480" w:before="100" w:after="283"/>
              <w:jc w:val="center"/>
              <w:rPr>
                <w:sz w:val="44"/>
              </w:rPr>
            </w:pPr>
            <w:r>
              <w:rPr>
                <w:spacing w:val="-3"/>
                <w:sz w:val="44"/>
              </w:rPr>
              <w:t>0.54</w:t>
            </w:r>
            <w:r>
              <w:rPr>
                <w:sz w:val="44"/>
              </w:rPr>
              <w:t xml:space="preserve"> </w:t>
            </w:r>
          </w:p>
          <w:p>
            <w:pPr>
              <w:pStyle w:val="TableContents"/>
              <w:bidi w:val="0"/>
              <w:spacing w:lineRule="atLeast" w:line="220" w:before="40" w:after="283"/>
              <w:jc w:val="center"/>
              <w:rPr>
                <w:spacing w:val="-1"/>
              </w:rPr>
            </w:pPr>
            <w:r>
              <w:rPr>
                <w:spacing w:val="-1"/>
              </w:rPr>
              <w:t xml:space="preserve">RECORDABLE INJURY RATE </w:t>
              <w:br/>
              <w:t xml:space="preserve">(WORLD CLASS: 1.0)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2972" w:type="dxa"/>
            <w:tcBorders/>
            <w:shd w:fill="7F7F7F" w:val="clear"/>
            <w:tcMar>
              <w:bottom w:w="0" w:type="dxa"/>
            </w:tcMar>
            <w:vAlign w:val="center"/>
          </w:tcPr>
          <w:p>
            <w:pPr>
              <w:pStyle w:val="TableContents"/>
              <w:bidi w:val="0"/>
              <w:spacing w:before="0" w:after="0"/>
              <w:jc w:val="center"/>
              <w:rPr/>
            </w:pPr>
            <w:r>
              <w:rPr/>
              <w:drawing>
                <wp:inline distT="0" distB="0" distL="0" distR="0">
                  <wp:extent cx="390525" cy="390525"/>
                  <wp:effectExtent l="0" t="0" r="0" b="0"/>
                  <wp:docPr id="499"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24" descr=""/>
                          <pic:cNvPicPr>
                            <a:picLocks noChangeAspect="1" noChangeArrowheads="1"/>
                          </pic:cNvPicPr>
                        </pic:nvPicPr>
                        <pic:blipFill>
                          <a:blip r:embed="rId235"/>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480" w:before="100" w:after="283"/>
              <w:jc w:val="center"/>
              <w:rPr>
                <w:sz w:val="44"/>
              </w:rPr>
            </w:pPr>
            <w:r>
              <w:rPr>
                <w:spacing w:val="-3"/>
                <w:sz w:val="44"/>
              </w:rPr>
              <w:t>0.14</w:t>
            </w:r>
            <w:r>
              <w:rPr>
                <w:sz w:val="44"/>
              </w:rPr>
              <w:t xml:space="preserve"> </w:t>
            </w:r>
          </w:p>
          <w:p>
            <w:pPr>
              <w:pStyle w:val="TableContents"/>
              <w:bidi w:val="0"/>
              <w:spacing w:lineRule="atLeast" w:line="220" w:before="40" w:after="283"/>
              <w:jc w:val="center"/>
              <w:rPr/>
            </w:pPr>
            <w:r>
              <w:rPr>
                <w:spacing w:val="-1"/>
              </w:rPr>
              <w:t xml:space="preserve">LOST WORKDAY INJURY RATE </w:t>
              <w:br/>
              <w:t>(WORLD CLASS: 0.1)</w:t>
            </w:r>
            <w:r>
              <w:rPr/>
              <w:t xml:space="preserve"> </w:t>
            </w:r>
          </w:p>
        </w:tc>
        <w:tc>
          <w:tcPr>
            <w:tcW w:w="155" w:type="dxa"/>
            <w:tcBorders/>
            <w:shd w:fill="7F7F7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52" w:after="283"/>
        <w:ind w:left="11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Injury Rate = Injuries/100 Employees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25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2018, we identified 12 environmental targets that we committed to achieving by 2025. Annually, our Sustainability Report discloses our progress in meeting our targets. In our 2025 Sustainability Report, we expect to report our achievement of all of the targets we set in 2018 — set forth in more detail in the following chart — and new 10-year sustainability targets.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638"/>
        <w:gridCol w:w="109"/>
        <w:gridCol w:w="109"/>
        <w:gridCol w:w="4829"/>
        <w:gridCol w:w="109"/>
        <w:gridCol w:w="109"/>
        <w:gridCol w:w="1271"/>
        <w:gridCol w:w="109"/>
        <w:gridCol w:w="109"/>
        <w:gridCol w:w="1513"/>
        <w:gridCol w:w="156"/>
      </w:tblGrid>
      <w:tr>
        <w:trPr/>
        <w:tc>
          <w:tcPr>
            <w:tcW w:w="124" w:type="dxa"/>
            <w:tcBorders>
              <w:bottom w:val="single" w:sz="20" w:space="0" w:color="FEFEFE"/>
            </w:tcBorders>
            <w:shd w:fill="002F56" w:val="clear"/>
            <w:vAlign w:val="center"/>
          </w:tcPr>
          <w:p>
            <w:pPr>
              <w:pStyle w:val="TableContents"/>
              <w:bidi w:val="0"/>
              <w:spacing w:before="0" w:after="283"/>
              <w:jc w:val="left"/>
              <w:rPr/>
            </w:pPr>
            <w:r>
              <w:rPr/>
              <w:t>​</w:t>
            </w:r>
          </w:p>
        </w:tc>
        <w:tc>
          <w:tcPr>
            <w:tcW w:w="8905" w:type="dxa"/>
            <w:gridSpan w:val="10"/>
            <w:tcBorders>
              <w:bottom w:val="single" w:sz="20" w:space="0" w:color="FEFEFE"/>
            </w:tcBorders>
            <w:shd w:fill="002F56" w:val="clear"/>
            <w:tcMar>
              <w:bottom w:w="75" w:type="dxa"/>
            </w:tcMar>
            <w:vAlign w:val="center"/>
          </w:tcPr>
          <w:p>
            <w:pPr>
              <w:pStyle w:val="TableContents"/>
              <w:bidi w:val="0"/>
              <w:spacing w:before="0" w:after="0"/>
              <w:jc w:val="center"/>
              <w:rPr>
                <w:spacing w:val="-6"/>
              </w:rPr>
            </w:pPr>
            <w:r>
              <w:rPr>
                <w:spacing w:val="-6"/>
              </w:rPr>
              <w:t xml:space="preserve">2025 ENVIRONMENTAL PERFORMANCE AND ACHIEVEMENT OF 2025 TARGETS </w:t>
            </w:r>
          </w:p>
        </w:tc>
        <w:tc>
          <w:tcPr>
            <w:tcW w:w="156" w:type="dxa"/>
            <w:tcBorders>
              <w:bottom w:val="single" w:sz="20"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638"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4829" w:type="dxa"/>
            <w:tcBorders/>
            <w:shd w:fill="002F56" w:val="clear"/>
            <w:tcMar>
              <w:bottom w:w="0" w:type="dxa"/>
            </w:tcMar>
            <w:vAlign w:val="center"/>
          </w:tcPr>
          <w:p>
            <w:pPr>
              <w:pStyle w:val="TableContents"/>
              <w:bidi w:val="0"/>
              <w:spacing w:before="0" w:after="0"/>
              <w:jc w:val="left"/>
              <w:rPr>
                <w:spacing w:val="0"/>
              </w:rPr>
            </w:pPr>
            <w:r>
              <w:rPr>
                <w:spacing w:val="0"/>
              </w:rPr>
              <w:t xml:space="preserve">Metric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271" w:type="dxa"/>
            <w:tcBorders/>
            <w:shd w:fill="002F56" w:val="clear"/>
            <w:tcMar>
              <w:bottom w:w="0" w:type="dxa"/>
            </w:tcMar>
            <w:vAlign w:val="center"/>
          </w:tcPr>
          <w:p>
            <w:pPr>
              <w:pStyle w:val="TableContents"/>
              <w:bidi w:val="0"/>
              <w:spacing w:lineRule="atLeast" w:line="190" w:before="0" w:after="0"/>
              <w:jc w:val="center"/>
              <w:rPr/>
            </w:pPr>
            <w:r>
              <w:rPr>
                <w:spacing w:val="0"/>
              </w:rPr>
              <w:t>Percent</w:t>
            </w:r>
            <w:r>
              <w:rPr>
                <w:spacing w:val="-2"/>
              </w:rPr>
              <w:t xml:space="preserve"> </w:t>
            </w:r>
            <w:r>
              <w:rPr/>
              <w:br/>
            </w:r>
            <w:r>
              <w:rPr>
                <w:spacing w:val="0"/>
              </w:rPr>
              <w:t xml:space="preserve">Reduction </w:t>
              <w:br/>
              <w:t xml:space="preserve">Since 2018*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513" w:type="dxa"/>
            <w:tcBorders/>
            <w:shd w:fill="002F56" w:val="clear"/>
            <w:tcMar>
              <w:bottom w:w="0" w:type="dxa"/>
            </w:tcMar>
            <w:vAlign w:val="center"/>
          </w:tcPr>
          <w:p>
            <w:pPr>
              <w:pStyle w:val="TableContents"/>
              <w:bidi w:val="0"/>
              <w:spacing w:lineRule="atLeast" w:line="190" w:before="0" w:after="0"/>
              <w:jc w:val="center"/>
              <w:rPr/>
            </w:pPr>
            <w:r>
              <w:rPr>
                <w:spacing w:val="0"/>
              </w:rPr>
              <w:t xml:space="preserve">Percentage of </w:t>
              <w:br/>
              <w:t xml:space="preserve">2025 Target </w:t>
              <w:br/>
              <w:t>Accomplished</w:t>
            </w:r>
            <w:r>
              <w:rPr/>
              <w:t xml:space="preserve"> </w:t>
            </w:r>
          </w:p>
        </w:tc>
        <w:tc>
          <w:tcPr>
            <w:tcW w:w="156" w:type="dxa"/>
            <w:tcBorders/>
            <w:shd w:fill="002F56" w:val="clear"/>
            <w:tcMar>
              <w:bottom w:w="0" w:type="dxa"/>
            </w:tcMar>
            <w:vAlign w:val="center"/>
          </w:tcPr>
          <w:p>
            <w:pPr>
              <w:pStyle w:val="TableContents"/>
              <w:bidi w:val="0"/>
              <w:spacing w:before="0" w:after="283"/>
              <w:jc w:val="left"/>
              <w:rPr/>
            </w:pPr>
            <w:r>
              <w:rPr/>
              <w:t>​</w:t>
            </w:r>
          </w:p>
        </w:tc>
      </w:tr>
      <w:tr>
        <w:trPr/>
        <w:tc>
          <w:tcPr>
            <w:tcW w:w="124"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638" w:type="dxa"/>
            <w:vMerge w:val="restart"/>
            <w:tcBorders>
              <w:bottom w:val="single" w:sz="16" w:space="0" w:color="CCCCCC"/>
            </w:tcBorders>
            <w:shd w:fill="71B1C8" w:val="clear"/>
            <w:vAlign w:val="center"/>
          </w:tcPr>
          <w:p>
            <w:pPr>
              <w:pStyle w:val="TableContents"/>
              <w:bidi w:val="0"/>
              <w:spacing w:before="0" w:after="0"/>
              <w:jc w:val="center"/>
              <w:rPr/>
            </w:pPr>
            <w:r>
              <w:rPr/>
              <w:drawing>
                <wp:inline distT="0" distB="0" distL="0" distR="0">
                  <wp:extent cx="323850" cy="285750"/>
                  <wp:effectExtent l="0" t="0" r="0" b="0"/>
                  <wp:docPr id="500"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225" descr=""/>
                          <pic:cNvPicPr>
                            <a:picLocks noChangeAspect="1" noChangeArrowheads="1"/>
                          </pic:cNvPicPr>
                        </pic:nvPicPr>
                        <pic:blipFill>
                          <a:blip r:embed="rId236"/>
                          <a:stretch>
                            <a:fillRect/>
                          </a:stretch>
                        </pic:blipFill>
                        <pic:spPr bwMode="auto">
                          <a:xfrm>
                            <a:off x="0" y="0"/>
                            <a:ext cx="323850" cy="285750"/>
                          </a:xfrm>
                          <a:prstGeom prst="rect">
                            <a:avLst/>
                          </a:prstGeom>
                        </pic:spPr>
                      </pic:pic>
                    </a:graphicData>
                  </a:graphic>
                </wp:inline>
              </w:drawing>
            </w:r>
            <w:r>
              <w:rPr/>
              <w:t xml:space="preserve"> </w:t>
            </w:r>
          </w:p>
        </w:tc>
        <w:tc>
          <w:tcPr>
            <w:tcW w:w="109"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4829" w:type="dxa"/>
            <w:tcBorders>
              <w:bottom w:val="single" w:sz="12" w:space="0" w:color="FFFFFF"/>
            </w:tcBorders>
            <w:shd w:fill="EAF3F7" w:val="clear"/>
            <w:tcMar>
              <w:bottom w:w="60" w:type="dxa"/>
            </w:tcMar>
            <w:vAlign w:val="center"/>
          </w:tcPr>
          <w:p>
            <w:pPr>
              <w:pStyle w:val="TableContents"/>
              <w:bidi w:val="0"/>
              <w:spacing w:before="0" w:after="0"/>
              <w:jc w:val="left"/>
              <w:rPr>
                <w:b/>
              </w:rPr>
            </w:pPr>
            <w:r>
              <w:rPr>
                <w:b/>
                <w:spacing w:val="0"/>
              </w:rPr>
              <w:t>Scope 1 Absolute Emissions</w:t>
            </w:r>
            <w:r>
              <w:rPr>
                <w:b/>
                <w:spacing w:val="-1"/>
              </w:rPr>
              <w:t xml:space="preserve"> </w:t>
            </w:r>
            <w:r>
              <w:rPr>
                <w:b w:val="false"/>
                <w:spacing w:val="-1"/>
              </w:rPr>
              <w:t xml:space="preserve">(tons) </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271" w:type="dxa"/>
            <w:tcBorders>
              <w:bottom w:val="single" w:sz="12" w:space="0" w:color="CCCCCC"/>
            </w:tcBorders>
            <w:tcMar>
              <w:bottom w:w="60" w:type="dxa"/>
            </w:tcMar>
            <w:vAlign w:val="center"/>
          </w:tcPr>
          <w:p>
            <w:pPr>
              <w:pStyle w:val="TableContents"/>
              <w:bidi w:val="0"/>
              <w:spacing w:before="0" w:after="0"/>
              <w:jc w:val="center"/>
              <w:rPr>
                <w:spacing w:val="-1"/>
              </w:rPr>
            </w:pPr>
            <w:r>
              <w:rPr>
                <w:spacing w:val="-1"/>
              </w:rPr>
              <w:t xml:space="preserve">34% </w:t>
            </w:r>
          </w:p>
        </w:tc>
        <w:tc>
          <w:tcPr>
            <w:tcW w:w="109" w:type="dxa"/>
            <w:tcBorders>
              <w:bottom w:val="single" w:sz="12" w:space="0" w:color="CCCCCC"/>
            </w:tcBorders>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513" w:type="dxa"/>
            <w:tcBorders>
              <w:bottom w:val="single" w:sz="12" w:space="0" w:color="CCCCCC"/>
            </w:tcBorders>
            <w:tcMar>
              <w:bottom w:w="60" w:type="dxa"/>
            </w:tcMar>
            <w:vAlign w:val="center"/>
          </w:tcPr>
          <w:p>
            <w:pPr>
              <w:pStyle w:val="TableContents"/>
              <w:bidi w:val="0"/>
              <w:spacing w:before="0" w:after="0"/>
              <w:jc w:val="center"/>
              <w:rPr>
                <w:b/>
              </w:rPr>
            </w:pPr>
            <w:r>
              <w:rPr>
                <w:b/>
                <w:spacing w:val="-2"/>
              </w:rPr>
              <w:t>135%</w:t>
            </w:r>
            <w:r>
              <w:rPr>
                <w:b/>
              </w:rPr>
              <w:t xml:space="preserve"> </w:t>
            </w:r>
          </w:p>
        </w:tc>
        <w:tc>
          <w:tcPr>
            <w:tcW w:w="156" w:type="dxa"/>
            <w:tcBorders>
              <w:bottom w:val="single" w:sz="12" w:space="0" w:color="CCCCCC"/>
            </w:tcBorders>
            <w:vAlign w:val="center"/>
          </w:tcPr>
          <w:p>
            <w:pPr>
              <w:pStyle w:val="TableContents"/>
              <w:bidi w:val="0"/>
              <w:spacing w:before="0" w:after="283"/>
              <w:jc w:val="left"/>
              <w:rPr/>
            </w:pPr>
            <w:r>
              <w:rPr/>
              <w:t>​</w:t>
            </w:r>
          </w:p>
        </w:tc>
      </w:tr>
      <w:tr>
        <w:trPr/>
        <w:tc>
          <w:tcPr>
            <w:tcW w:w="124" w:type="dxa"/>
            <w:vMerge w:val="continue"/>
            <w:tcBorders>
              <w:bottom w:val="single" w:sz="16" w:space="0" w:color="CCCCCC"/>
            </w:tcBorders>
            <w:shd w:fill="71B1C8" w:val="clear"/>
            <w:vAlign w:val="center"/>
          </w:tcPr>
          <w:p>
            <w:pPr>
              <w:pStyle w:val="Normal"/>
              <w:bidi w:val="0"/>
              <w:jc w:val="left"/>
              <w:rPr/>
            </w:pPr>
            <w:r>
              <w:rPr/>
            </w:r>
          </w:p>
        </w:tc>
        <w:tc>
          <w:tcPr>
            <w:tcW w:w="638" w:type="dxa"/>
            <w:vMerge w:val="continue"/>
            <w:tcBorders>
              <w:bottom w:val="single" w:sz="16" w:space="0" w:color="CCCCCC"/>
            </w:tcBorders>
            <w:shd w:fill="71B1C8" w:val="clear"/>
            <w:vAlign w:val="center"/>
          </w:tcPr>
          <w:p>
            <w:pPr>
              <w:pStyle w:val="Normal"/>
              <w:bidi w:val="0"/>
              <w:jc w:val="left"/>
              <w:rPr/>
            </w:pPr>
            <w:r>
              <w:rPr/>
            </w:r>
          </w:p>
        </w:tc>
        <w:tc>
          <w:tcPr>
            <w:tcW w:w="109" w:type="dxa"/>
            <w:vMerge w:val="continue"/>
            <w:tcBorders>
              <w:bottom w:val="single" w:sz="16" w:space="0" w:color="CCCCCC"/>
            </w:tcBorders>
            <w:shd w:fill="71B1C8" w:val="clear"/>
            <w:vAlign w:val="center"/>
          </w:tcPr>
          <w:p>
            <w:pPr>
              <w:pStyle w:val="Normal"/>
              <w:bidi w:val="0"/>
              <w:jc w:val="left"/>
              <w:rPr/>
            </w:pPr>
            <w:r>
              <w:rPr/>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4829" w:type="dxa"/>
            <w:tcBorders>
              <w:bottom w:val="single" w:sz="16" w:space="0" w:color="CCCCCC"/>
            </w:tcBorders>
            <w:shd w:fill="EAF3F7" w:val="clear"/>
            <w:tcMar>
              <w:bottom w:w="60" w:type="dxa"/>
            </w:tcMar>
            <w:vAlign w:val="center"/>
          </w:tcPr>
          <w:p>
            <w:pPr>
              <w:pStyle w:val="TableContents"/>
              <w:bidi w:val="0"/>
              <w:spacing w:lineRule="atLeast" w:line="208" w:before="0" w:after="0"/>
              <w:jc w:val="left"/>
              <w:rPr/>
            </w:pPr>
            <w:r>
              <w:rPr>
                <w:b/>
                <w:spacing w:val="0"/>
              </w:rPr>
              <w:t>Scope 1 Intensity Emissions</w:t>
            </w:r>
            <w:r>
              <w:rPr>
                <w:spacing w:val="-1"/>
              </w:rPr>
              <w:t xml:space="preserve"> (lbs. CO</w:t>
            </w:r>
            <w:r>
              <w:rPr>
                <w:spacing w:val="-1"/>
                <w:sz w:val="13"/>
              </w:rPr>
              <w:t>2</w:t>
            </w:r>
            <w:r>
              <w:rPr>
                <w:spacing w:val="-1"/>
              </w:rPr>
              <w:t xml:space="preserve">/ton produced) </w:t>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271" w:type="dxa"/>
            <w:tcBorders>
              <w:bottom w:val="single" w:sz="16" w:space="0" w:color="CCCCCC"/>
            </w:tcBorders>
            <w:tcMar>
              <w:bottom w:w="60" w:type="dxa"/>
            </w:tcMar>
            <w:vAlign w:val="center"/>
          </w:tcPr>
          <w:p>
            <w:pPr>
              <w:pStyle w:val="TableContents"/>
              <w:bidi w:val="0"/>
              <w:spacing w:lineRule="atLeast" w:line="208" w:before="0" w:after="0"/>
              <w:jc w:val="center"/>
              <w:rPr>
                <w:spacing w:val="-1"/>
              </w:rPr>
            </w:pPr>
            <w:r>
              <w:rPr>
                <w:spacing w:val="-1"/>
              </w:rPr>
              <w:t xml:space="preserve">47% </w:t>
            </w:r>
          </w:p>
        </w:tc>
        <w:tc>
          <w:tcPr>
            <w:tcW w:w="109" w:type="dxa"/>
            <w:tcBorders>
              <w:bottom w:val="single" w:sz="16" w:space="0" w:color="CCCCCC"/>
            </w:tcBorders>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513" w:type="dxa"/>
            <w:tcBorders>
              <w:bottom w:val="single" w:sz="16" w:space="0" w:color="CCCCCC"/>
            </w:tcBorders>
            <w:tcMar>
              <w:bottom w:w="60" w:type="dxa"/>
            </w:tcMar>
            <w:vAlign w:val="center"/>
          </w:tcPr>
          <w:p>
            <w:pPr>
              <w:pStyle w:val="TableContents"/>
              <w:bidi w:val="0"/>
              <w:spacing w:lineRule="atLeast" w:line="208" w:before="0" w:after="0"/>
              <w:jc w:val="center"/>
              <w:rPr>
                <w:b/>
                <w:color w:val="002F56"/>
              </w:rPr>
            </w:pPr>
            <w:r>
              <w:rPr>
                <w:b/>
                <w:color w:val="002F56"/>
                <w:spacing w:val="-2"/>
              </w:rPr>
              <w:t>142%</w:t>
            </w:r>
            <w:r>
              <w:rPr>
                <w:b/>
                <w:color w:val="002F56"/>
              </w:rPr>
              <w:t xml:space="preserve"> </w:t>
            </w:r>
          </w:p>
        </w:tc>
        <w:tc>
          <w:tcPr>
            <w:tcW w:w="156" w:type="dxa"/>
            <w:tcBorders>
              <w:bottom w:val="single" w:sz="16" w:space="0" w:color="CCCCCC"/>
            </w:tcBorders>
            <w:vAlign w:val="center"/>
          </w:tcPr>
          <w:p>
            <w:pPr>
              <w:pStyle w:val="TableContents"/>
              <w:bidi w:val="0"/>
              <w:spacing w:before="0" w:after="283"/>
              <w:jc w:val="left"/>
              <w:rPr/>
            </w:pPr>
            <w:r>
              <w:rPr/>
              <w:t>​</w:t>
            </w:r>
          </w:p>
        </w:tc>
      </w:tr>
      <w:tr>
        <w:trPr/>
        <w:tc>
          <w:tcPr>
            <w:tcW w:w="124"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638" w:type="dxa"/>
            <w:vMerge w:val="restart"/>
            <w:tcBorders>
              <w:bottom w:val="single" w:sz="16" w:space="0" w:color="CCCCCC"/>
            </w:tcBorders>
            <w:shd w:fill="71B1C8" w:val="clear"/>
            <w:vAlign w:val="center"/>
          </w:tcPr>
          <w:p>
            <w:pPr>
              <w:pStyle w:val="TableContents"/>
              <w:bidi w:val="0"/>
              <w:spacing w:before="0" w:after="0"/>
              <w:jc w:val="center"/>
              <w:rPr/>
            </w:pPr>
            <w:r>
              <w:rPr/>
              <w:drawing>
                <wp:inline distT="0" distB="0" distL="0" distR="0">
                  <wp:extent cx="142875" cy="304800"/>
                  <wp:effectExtent l="0" t="0" r="0" b="0"/>
                  <wp:docPr id="501"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226" descr=""/>
                          <pic:cNvPicPr>
                            <a:picLocks noChangeAspect="1" noChangeArrowheads="1"/>
                          </pic:cNvPicPr>
                        </pic:nvPicPr>
                        <pic:blipFill>
                          <a:blip r:embed="rId237"/>
                          <a:stretch>
                            <a:fillRect/>
                          </a:stretch>
                        </pic:blipFill>
                        <pic:spPr bwMode="auto">
                          <a:xfrm>
                            <a:off x="0" y="0"/>
                            <a:ext cx="142875" cy="304800"/>
                          </a:xfrm>
                          <a:prstGeom prst="rect">
                            <a:avLst/>
                          </a:prstGeom>
                        </pic:spPr>
                      </pic:pic>
                    </a:graphicData>
                  </a:graphic>
                </wp:inline>
              </w:drawing>
            </w:r>
            <w:r>
              <w:rPr/>
              <w:t xml:space="preserve"> </w:t>
            </w:r>
          </w:p>
        </w:tc>
        <w:tc>
          <w:tcPr>
            <w:tcW w:w="109"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4829" w:type="dxa"/>
            <w:tcBorders>
              <w:bottom w:val="single" w:sz="12" w:space="0" w:color="FFFFFF"/>
            </w:tcBorders>
            <w:shd w:fill="EAF3F7" w:val="clear"/>
            <w:tcMar>
              <w:bottom w:w="60" w:type="dxa"/>
            </w:tcMar>
            <w:vAlign w:val="center"/>
          </w:tcPr>
          <w:p>
            <w:pPr>
              <w:pStyle w:val="TableContents"/>
              <w:bidi w:val="0"/>
              <w:spacing w:before="0" w:after="0"/>
              <w:jc w:val="left"/>
              <w:rPr>
                <w:b/>
              </w:rPr>
            </w:pPr>
            <w:r>
              <w:rPr>
                <w:b/>
                <w:spacing w:val="0"/>
              </w:rPr>
              <w:t>Scope 2 Absolute Emissions</w:t>
            </w:r>
            <w:r>
              <w:rPr>
                <w:b/>
                <w:spacing w:val="-1"/>
              </w:rPr>
              <w:t xml:space="preserve"> </w:t>
            </w:r>
            <w:r>
              <w:rPr>
                <w:b w:val="false"/>
                <w:spacing w:val="-1"/>
              </w:rPr>
              <w:t xml:space="preserve">(tons) </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271" w:type="dxa"/>
            <w:tcBorders>
              <w:bottom w:val="single" w:sz="12" w:space="0" w:color="CCCCCC"/>
            </w:tcBorders>
            <w:tcMar>
              <w:bottom w:w="60" w:type="dxa"/>
            </w:tcMar>
            <w:vAlign w:val="center"/>
          </w:tcPr>
          <w:p>
            <w:pPr>
              <w:pStyle w:val="TableContents"/>
              <w:bidi w:val="0"/>
              <w:spacing w:before="0" w:after="0"/>
              <w:jc w:val="center"/>
              <w:rPr>
                <w:spacing w:val="-1"/>
              </w:rPr>
            </w:pPr>
            <w:r>
              <w:rPr>
                <w:spacing w:val="-1"/>
              </w:rPr>
              <w:t xml:space="preserve">40% </w:t>
            </w:r>
          </w:p>
        </w:tc>
        <w:tc>
          <w:tcPr>
            <w:tcW w:w="109" w:type="dxa"/>
            <w:tcBorders>
              <w:bottom w:val="single" w:sz="12" w:space="0" w:color="CCCCCC"/>
            </w:tcBorders>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513" w:type="dxa"/>
            <w:tcBorders>
              <w:bottom w:val="single" w:sz="12" w:space="0" w:color="CCCCCC"/>
            </w:tcBorders>
            <w:tcMar>
              <w:bottom w:w="60" w:type="dxa"/>
            </w:tcMar>
            <w:vAlign w:val="center"/>
          </w:tcPr>
          <w:p>
            <w:pPr>
              <w:pStyle w:val="TableContents"/>
              <w:bidi w:val="0"/>
              <w:spacing w:before="0" w:after="0"/>
              <w:jc w:val="center"/>
              <w:rPr>
                <w:b/>
              </w:rPr>
            </w:pPr>
            <w:r>
              <w:rPr>
                <w:b/>
                <w:spacing w:val="-2"/>
              </w:rPr>
              <w:t>100%</w:t>
            </w:r>
            <w:r>
              <w:rPr>
                <w:b/>
              </w:rPr>
              <w:t xml:space="preserve"> </w:t>
            </w:r>
          </w:p>
        </w:tc>
        <w:tc>
          <w:tcPr>
            <w:tcW w:w="156" w:type="dxa"/>
            <w:tcBorders>
              <w:bottom w:val="single" w:sz="12" w:space="0" w:color="CCCCCC"/>
            </w:tcBorders>
            <w:vAlign w:val="center"/>
          </w:tcPr>
          <w:p>
            <w:pPr>
              <w:pStyle w:val="TableContents"/>
              <w:bidi w:val="0"/>
              <w:spacing w:before="0" w:after="283"/>
              <w:jc w:val="left"/>
              <w:rPr/>
            </w:pPr>
            <w:r>
              <w:rPr/>
              <w:t>​</w:t>
            </w:r>
          </w:p>
        </w:tc>
      </w:tr>
      <w:tr>
        <w:trPr/>
        <w:tc>
          <w:tcPr>
            <w:tcW w:w="124" w:type="dxa"/>
            <w:vMerge w:val="continue"/>
            <w:tcBorders>
              <w:bottom w:val="single" w:sz="16" w:space="0" w:color="CCCCCC"/>
            </w:tcBorders>
            <w:shd w:fill="71B1C8" w:val="clear"/>
            <w:vAlign w:val="center"/>
          </w:tcPr>
          <w:p>
            <w:pPr>
              <w:pStyle w:val="Normal"/>
              <w:bidi w:val="0"/>
              <w:jc w:val="left"/>
              <w:rPr/>
            </w:pPr>
            <w:r>
              <w:rPr/>
            </w:r>
          </w:p>
        </w:tc>
        <w:tc>
          <w:tcPr>
            <w:tcW w:w="638" w:type="dxa"/>
            <w:vMerge w:val="continue"/>
            <w:tcBorders>
              <w:bottom w:val="single" w:sz="16" w:space="0" w:color="CCCCCC"/>
            </w:tcBorders>
            <w:shd w:fill="71B1C8" w:val="clear"/>
            <w:vAlign w:val="center"/>
          </w:tcPr>
          <w:p>
            <w:pPr>
              <w:pStyle w:val="Normal"/>
              <w:bidi w:val="0"/>
              <w:jc w:val="left"/>
              <w:rPr/>
            </w:pPr>
            <w:r>
              <w:rPr/>
            </w:r>
          </w:p>
        </w:tc>
        <w:tc>
          <w:tcPr>
            <w:tcW w:w="109" w:type="dxa"/>
            <w:vMerge w:val="continue"/>
            <w:tcBorders>
              <w:bottom w:val="single" w:sz="16" w:space="0" w:color="CCCCCC"/>
            </w:tcBorders>
            <w:shd w:fill="71B1C8" w:val="clear"/>
            <w:vAlign w:val="center"/>
          </w:tcPr>
          <w:p>
            <w:pPr>
              <w:pStyle w:val="Normal"/>
              <w:bidi w:val="0"/>
              <w:jc w:val="left"/>
              <w:rPr/>
            </w:pPr>
            <w:r>
              <w:rPr/>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4829" w:type="dxa"/>
            <w:tcBorders>
              <w:bottom w:val="single" w:sz="16" w:space="0" w:color="CCCCCC"/>
            </w:tcBorders>
            <w:shd w:fill="EAF3F7" w:val="clear"/>
            <w:tcMar>
              <w:bottom w:w="60" w:type="dxa"/>
            </w:tcMar>
            <w:vAlign w:val="center"/>
          </w:tcPr>
          <w:p>
            <w:pPr>
              <w:pStyle w:val="TableContents"/>
              <w:bidi w:val="0"/>
              <w:spacing w:lineRule="atLeast" w:line="208" w:before="0" w:after="0"/>
              <w:jc w:val="left"/>
              <w:rPr/>
            </w:pPr>
            <w:r>
              <w:rPr>
                <w:b/>
                <w:spacing w:val="0"/>
              </w:rPr>
              <w:t>Scope 2 Intensity Emissions</w:t>
            </w:r>
            <w:r>
              <w:rPr>
                <w:spacing w:val="-1"/>
              </w:rPr>
              <w:t xml:space="preserve"> (lbs. CO</w:t>
            </w:r>
            <w:r>
              <w:rPr>
                <w:spacing w:val="-1"/>
                <w:sz w:val="13"/>
              </w:rPr>
              <w:t>2</w:t>
            </w:r>
            <w:r>
              <w:rPr>
                <w:spacing w:val="-1"/>
              </w:rPr>
              <w:t xml:space="preserve">/ton produced) </w:t>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271" w:type="dxa"/>
            <w:tcBorders>
              <w:bottom w:val="single" w:sz="16" w:space="0" w:color="CCCCCC"/>
            </w:tcBorders>
            <w:tcMar>
              <w:bottom w:w="60" w:type="dxa"/>
            </w:tcMar>
            <w:vAlign w:val="center"/>
          </w:tcPr>
          <w:p>
            <w:pPr>
              <w:pStyle w:val="TableContents"/>
              <w:bidi w:val="0"/>
              <w:spacing w:lineRule="atLeast" w:line="208" w:before="0" w:after="0"/>
              <w:jc w:val="center"/>
              <w:rPr>
                <w:spacing w:val="-1"/>
              </w:rPr>
            </w:pPr>
            <w:r>
              <w:rPr>
                <w:spacing w:val="-1"/>
              </w:rPr>
              <w:t xml:space="preserve">52% </w:t>
            </w:r>
          </w:p>
        </w:tc>
        <w:tc>
          <w:tcPr>
            <w:tcW w:w="109" w:type="dxa"/>
            <w:tcBorders>
              <w:bottom w:val="single" w:sz="16" w:space="0" w:color="CCCCCC"/>
            </w:tcBorders>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513" w:type="dxa"/>
            <w:tcBorders>
              <w:bottom w:val="single" w:sz="16" w:space="0" w:color="CCCCCC"/>
            </w:tcBorders>
            <w:tcMar>
              <w:bottom w:w="60" w:type="dxa"/>
            </w:tcMar>
            <w:vAlign w:val="center"/>
          </w:tcPr>
          <w:p>
            <w:pPr>
              <w:pStyle w:val="TableContents"/>
              <w:bidi w:val="0"/>
              <w:spacing w:lineRule="atLeast" w:line="208" w:before="0" w:after="0"/>
              <w:jc w:val="center"/>
              <w:rPr>
                <w:b/>
                <w:color w:val="002F56"/>
              </w:rPr>
            </w:pPr>
            <w:r>
              <w:rPr>
                <w:b/>
                <w:color w:val="002F56"/>
                <w:spacing w:val="-2"/>
              </w:rPr>
              <w:t>130%</w:t>
            </w:r>
            <w:r>
              <w:rPr>
                <w:b/>
                <w:color w:val="002F56"/>
              </w:rPr>
              <w:t xml:space="preserve"> </w:t>
            </w:r>
          </w:p>
        </w:tc>
        <w:tc>
          <w:tcPr>
            <w:tcW w:w="156" w:type="dxa"/>
            <w:tcBorders>
              <w:bottom w:val="single" w:sz="16" w:space="0" w:color="CCCCCC"/>
            </w:tcBorders>
            <w:vAlign w:val="center"/>
          </w:tcPr>
          <w:p>
            <w:pPr>
              <w:pStyle w:val="TableContents"/>
              <w:bidi w:val="0"/>
              <w:spacing w:before="0" w:after="283"/>
              <w:jc w:val="left"/>
              <w:rPr/>
            </w:pPr>
            <w:r>
              <w:rPr/>
              <w:t>​</w:t>
            </w:r>
          </w:p>
        </w:tc>
      </w:tr>
      <w:tr>
        <w:trPr/>
        <w:tc>
          <w:tcPr>
            <w:tcW w:w="124"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638" w:type="dxa"/>
            <w:vMerge w:val="restart"/>
            <w:tcBorders>
              <w:bottom w:val="single" w:sz="16" w:space="0" w:color="CCCCCC"/>
            </w:tcBorders>
            <w:shd w:fill="71B1C8" w:val="clear"/>
            <w:vAlign w:val="center"/>
          </w:tcPr>
          <w:p>
            <w:pPr>
              <w:pStyle w:val="TableContents"/>
              <w:bidi w:val="0"/>
              <w:spacing w:before="0" w:after="0"/>
              <w:jc w:val="center"/>
              <w:rPr/>
            </w:pPr>
            <w:r>
              <w:rPr/>
              <w:drawing>
                <wp:inline distT="0" distB="0" distL="0" distR="0">
                  <wp:extent cx="304800" cy="304800"/>
                  <wp:effectExtent l="0" t="0" r="0" b="0"/>
                  <wp:docPr id="50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27" descr=""/>
                          <pic:cNvPicPr>
                            <a:picLocks noChangeAspect="1" noChangeArrowheads="1"/>
                          </pic:cNvPicPr>
                        </pic:nvPicPr>
                        <pic:blipFill>
                          <a:blip r:embed="rId238"/>
                          <a:stretch>
                            <a:fillRect/>
                          </a:stretch>
                        </pic:blipFill>
                        <pic:spPr bwMode="auto">
                          <a:xfrm>
                            <a:off x="0" y="0"/>
                            <a:ext cx="304800" cy="304800"/>
                          </a:xfrm>
                          <a:prstGeom prst="rect">
                            <a:avLst/>
                          </a:prstGeom>
                        </pic:spPr>
                      </pic:pic>
                    </a:graphicData>
                  </a:graphic>
                </wp:inline>
              </w:drawing>
            </w:r>
            <w:r>
              <w:rPr/>
              <w:t xml:space="preserve"> </w:t>
            </w:r>
          </w:p>
        </w:tc>
        <w:tc>
          <w:tcPr>
            <w:tcW w:w="109"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4829" w:type="dxa"/>
            <w:tcBorders>
              <w:bottom w:val="single" w:sz="12" w:space="0" w:color="FFFFFF"/>
            </w:tcBorders>
            <w:shd w:fill="EAF3F7" w:val="clear"/>
            <w:tcMar>
              <w:bottom w:w="60" w:type="dxa"/>
            </w:tcMar>
            <w:vAlign w:val="center"/>
          </w:tcPr>
          <w:p>
            <w:pPr>
              <w:pStyle w:val="TableContents"/>
              <w:bidi w:val="0"/>
              <w:spacing w:before="0" w:after="0"/>
              <w:jc w:val="left"/>
              <w:rPr>
                <w:b/>
              </w:rPr>
            </w:pPr>
            <w:r>
              <w:rPr>
                <w:b/>
                <w:spacing w:val="0"/>
              </w:rPr>
              <w:t>Airborne Pollutants Absolute Emissions</w:t>
            </w:r>
            <w:r>
              <w:rPr>
                <w:b/>
                <w:spacing w:val="-1"/>
              </w:rPr>
              <w:t xml:space="preserve"> </w:t>
            </w:r>
            <w:r>
              <w:rPr>
                <w:b w:val="false"/>
                <w:spacing w:val="-1"/>
              </w:rPr>
              <w:t xml:space="preserve">(tons) </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271" w:type="dxa"/>
            <w:tcBorders>
              <w:bottom w:val="single" w:sz="12" w:space="0" w:color="CCCCCC"/>
            </w:tcBorders>
            <w:tcMar>
              <w:bottom w:w="60" w:type="dxa"/>
            </w:tcMar>
            <w:vAlign w:val="center"/>
          </w:tcPr>
          <w:p>
            <w:pPr>
              <w:pStyle w:val="TableContents"/>
              <w:bidi w:val="0"/>
              <w:spacing w:before="0" w:after="0"/>
              <w:jc w:val="center"/>
              <w:rPr>
                <w:spacing w:val="-1"/>
              </w:rPr>
            </w:pPr>
            <w:r>
              <w:rPr>
                <w:spacing w:val="-1"/>
              </w:rPr>
              <w:t xml:space="preserve">74% </w:t>
            </w:r>
          </w:p>
        </w:tc>
        <w:tc>
          <w:tcPr>
            <w:tcW w:w="109" w:type="dxa"/>
            <w:tcBorders>
              <w:bottom w:val="single" w:sz="12" w:space="0" w:color="CCCCCC"/>
            </w:tcBorders>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513" w:type="dxa"/>
            <w:tcBorders>
              <w:bottom w:val="single" w:sz="12" w:space="0" w:color="CCCCCC"/>
            </w:tcBorders>
            <w:tcMar>
              <w:bottom w:w="60" w:type="dxa"/>
            </w:tcMar>
            <w:vAlign w:val="center"/>
          </w:tcPr>
          <w:p>
            <w:pPr>
              <w:pStyle w:val="TableContents"/>
              <w:bidi w:val="0"/>
              <w:spacing w:before="0" w:after="0"/>
              <w:jc w:val="center"/>
              <w:rPr>
                <w:b/>
                <w:color w:val="002F56"/>
              </w:rPr>
            </w:pPr>
            <w:r>
              <w:rPr>
                <w:b/>
                <w:color w:val="002F56"/>
                <w:spacing w:val="-2"/>
              </w:rPr>
              <w:t>135%</w:t>
            </w:r>
            <w:r>
              <w:rPr>
                <w:b/>
                <w:color w:val="002F56"/>
              </w:rPr>
              <w:t xml:space="preserve"> </w:t>
            </w:r>
          </w:p>
        </w:tc>
        <w:tc>
          <w:tcPr>
            <w:tcW w:w="156" w:type="dxa"/>
            <w:tcBorders>
              <w:bottom w:val="single" w:sz="12" w:space="0" w:color="CCCCCC"/>
            </w:tcBorders>
            <w:vAlign w:val="center"/>
          </w:tcPr>
          <w:p>
            <w:pPr>
              <w:pStyle w:val="TableContents"/>
              <w:bidi w:val="0"/>
              <w:spacing w:before="0" w:after="283"/>
              <w:jc w:val="left"/>
              <w:rPr/>
            </w:pPr>
            <w:r>
              <w:rPr/>
              <w:t>​</w:t>
            </w:r>
          </w:p>
        </w:tc>
      </w:tr>
      <w:tr>
        <w:trPr/>
        <w:tc>
          <w:tcPr>
            <w:tcW w:w="124" w:type="dxa"/>
            <w:vMerge w:val="continue"/>
            <w:tcBorders>
              <w:bottom w:val="single" w:sz="16" w:space="0" w:color="CCCCCC"/>
            </w:tcBorders>
            <w:shd w:fill="71B1C8" w:val="clear"/>
            <w:vAlign w:val="center"/>
          </w:tcPr>
          <w:p>
            <w:pPr>
              <w:pStyle w:val="Normal"/>
              <w:bidi w:val="0"/>
              <w:jc w:val="left"/>
              <w:rPr/>
            </w:pPr>
            <w:r>
              <w:rPr/>
            </w:r>
          </w:p>
        </w:tc>
        <w:tc>
          <w:tcPr>
            <w:tcW w:w="638" w:type="dxa"/>
            <w:vMerge w:val="continue"/>
            <w:tcBorders>
              <w:bottom w:val="single" w:sz="16" w:space="0" w:color="CCCCCC"/>
            </w:tcBorders>
            <w:shd w:fill="71B1C8" w:val="clear"/>
            <w:vAlign w:val="center"/>
          </w:tcPr>
          <w:p>
            <w:pPr>
              <w:pStyle w:val="Normal"/>
              <w:bidi w:val="0"/>
              <w:jc w:val="left"/>
              <w:rPr/>
            </w:pPr>
            <w:r>
              <w:rPr/>
            </w:r>
          </w:p>
        </w:tc>
        <w:tc>
          <w:tcPr>
            <w:tcW w:w="109" w:type="dxa"/>
            <w:vMerge w:val="continue"/>
            <w:tcBorders>
              <w:bottom w:val="single" w:sz="16" w:space="0" w:color="CCCCCC"/>
            </w:tcBorders>
            <w:shd w:fill="71B1C8" w:val="clear"/>
            <w:vAlign w:val="center"/>
          </w:tcPr>
          <w:p>
            <w:pPr>
              <w:pStyle w:val="Normal"/>
              <w:bidi w:val="0"/>
              <w:jc w:val="left"/>
              <w:rPr/>
            </w:pPr>
            <w:r>
              <w:rPr/>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4829" w:type="dxa"/>
            <w:tcBorders>
              <w:bottom w:val="single" w:sz="16" w:space="0" w:color="CCCCCC"/>
            </w:tcBorders>
            <w:shd w:fill="EAF3F7" w:val="clear"/>
            <w:tcMar>
              <w:bottom w:w="60" w:type="dxa"/>
            </w:tcMar>
            <w:vAlign w:val="center"/>
          </w:tcPr>
          <w:p>
            <w:pPr>
              <w:pStyle w:val="TableContents"/>
              <w:bidi w:val="0"/>
              <w:spacing w:before="0" w:after="0"/>
              <w:jc w:val="left"/>
              <w:rPr>
                <w:sz w:val="16"/>
              </w:rPr>
            </w:pPr>
            <w:r>
              <w:rPr>
                <w:b/>
                <w:spacing w:val="0"/>
                <w:sz w:val="17"/>
              </w:rPr>
              <w:t>Airborne Pollutants Intensity Emissions</w:t>
            </w:r>
            <w:r>
              <w:rPr>
                <w:spacing w:val="-1"/>
                <w:sz w:val="16"/>
              </w:rPr>
              <w:t xml:space="preserve"> </w:t>
            </w:r>
            <w:r>
              <w:rPr>
                <w:spacing w:val="-1"/>
                <w:sz w:val="17"/>
              </w:rPr>
              <w:t>(lbs. pollutants/ton produced)</w:t>
            </w:r>
            <w:r>
              <w:rPr>
                <w:sz w:val="16"/>
              </w:rPr>
              <w:t xml:space="preserve">​ </w:t>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271" w:type="dxa"/>
            <w:tcBorders>
              <w:bottom w:val="single" w:sz="16" w:space="0" w:color="CCCCCC"/>
            </w:tcBorders>
            <w:tcMar>
              <w:bottom w:w="60" w:type="dxa"/>
            </w:tcMar>
            <w:vAlign w:val="center"/>
          </w:tcPr>
          <w:p>
            <w:pPr>
              <w:pStyle w:val="TableContents"/>
              <w:bidi w:val="0"/>
              <w:spacing w:before="0" w:after="0"/>
              <w:jc w:val="center"/>
              <w:rPr>
                <w:spacing w:val="-1"/>
              </w:rPr>
            </w:pPr>
            <w:r>
              <w:rPr>
                <w:spacing w:val="-1"/>
              </w:rPr>
              <w:t xml:space="preserve">79% </w:t>
            </w:r>
          </w:p>
        </w:tc>
        <w:tc>
          <w:tcPr>
            <w:tcW w:w="109" w:type="dxa"/>
            <w:tcBorders>
              <w:bottom w:val="single" w:sz="16" w:space="0" w:color="CCCCCC"/>
            </w:tcBorders>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513" w:type="dxa"/>
            <w:tcBorders>
              <w:bottom w:val="single" w:sz="16" w:space="0" w:color="CCCCCC"/>
            </w:tcBorders>
            <w:tcMar>
              <w:bottom w:w="60" w:type="dxa"/>
            </w:tcMar>
            <w:vAlign w:val="center"/>
          </w:tcPr>
          <w:p>
            <w:pPr>
              <w:pStyle w:val="TableContents"/>
              <w:bidi w:val="0"/>
              <w:spacing w:before="0" w:after="0"/>
              <w:jc w:val="center"/>
              <w:rPr>
                <w:b/>
                <w:color w:val="002F56"/>
              </w:rPr>
            </w:pPr>
            <w:r>
              <w:rPr>
                <w:b/>
                <w:color w:val="002F56"/>
                <w:spacing w:val="-2"/>
              </w:rPr>
              <w:t>144%</w:t>
            </w:r>
            <w:r>
              <w:rPr>
                <w:b/>
                <w:color w:val="002F56"/>
              </w:rPr>
              <w:t xml:space="preserve"> </w:t>
            </w:r>
          </w:p>
        </w:tc>
        <w:tc>
          <w:tcPr>
            <w:tcW w:w="156" w:type="dxa"/>
            <w:tcBorders>
              <w:bottom w:val="single" w:sz="16" w:space="0" w:color="CCCCCC"/>
            </w:tcBorders>
            <w:vAlign w:val="center"/>
          </w:tcPr>
          <w:p>
            <w:pPr>
              <w:pStyle w:val="TableContents"/>
              <w:bidi w:val="0"/>
              <w:spacing w:before="0" w:after="283"/>
              <w:jc w:val="left"/>
              <w:rPr/>
            </w:pPr>
            <w:r>
              <w:rPr/>
              <w:t>​</w:t>
            </w:r>
          </w:p>
        </w:tc>
      </w:tr>
      <w:tr>
        <w:trPr/>
        <w:tc>
          <w:tcPr>
            <w:tcW w:w="124"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638" w:type="dxa"/>
            <w:vMerge w:val="restart"/>
            <w:tcBorders>
              <w:bottom w:val="single" w:sz="16" w:space="0" w:color="CCCCCC"/>
            </w:tcBorders>
            <w:shd w:fill="71B1C8" w:val="clear"/>
            <w:vAlign w:val="center"/>
          </w:tcPr>
          <w:p>
            <w:pPr>
              <w:pStyle w:val="TableContents"/>
              <w:bidi w:val="0"/>
              <w:spacing w:before="0" w:after="0"/>
              <w:jc w:val="center"/>
              <w:rPr/>
            </w:pPr>
            <w:r>
              <w:rPr/>
              <w:drawing>
                <wp:inline distT="0" distB="0" distL="0" distR="0">
                  <wp:extent cx="295275" cy="295275"/>
                  <wp:effectExtent l="0" t="0" r="0" b="0"/>
                  <wp:docPr id="503"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28" descr=""/>
                          <pic:cNvPicPr>
                            <a:picLocks noChangeAspect="1" noChangeArrowheads="1"/>
                          </pic:cNvPicPr>
                        </pic:nvPicPr>
                        <pic:blipFill>
                          <a:blip r:embed="rId239"/>
                          <a:stretch>
                            <a:fillRect/>
                          </a:stretch>
                        </pic:blipFill>
                        <pic:spPr bwMode="auto">
                          <a:xfrm>
                            <a:off x="0" y="0"/>
                            <a:ext cx="295275" cy="295275"/>
                          </a:xfrm>
                          <a:prstGeom prst="rect">
                            <a:avLst/>
                          </a:prstGeom>
                        </pic:spPr>
                      </pic:pic>
                    </a:graphicData>
                  </a:graphic>
                </wp:inline>
              </w:drawing>
            </w:r>
            <w:r>
              <w:rPr/>
              <w:t xml:space="preserve"> </w:t>
            </w:r>
          </w:p>
        </w:tc>
        <w:tc>
          <w:tcPr>
            <w:tcW w:w="109"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4829" w:type="dxa"/>
            <w:tcBorders>
              <w:bottom w:val="single" w:sz="12" w:space="0" w:color="FFFFFF"/>
            </w:tcBorders>
            <w:shd w:fill="EAF3F7" w:val="clear"/>
            <w:tcMar>
              <w:bottom w:w="60" w:type="dxa"/>
            </w:tcMar>
            <w:vAlign w:val="center"/>
          </w:tcPr>
          <w:p>
            <w:pPr>
              <w:pStyle w:val="TableContents"/>
              <w:bidi w:val="0"/>
              <w:spacing w:before="0" w:after="0"/>
              <w:jc w:val="left"/>
              <w:rPr>
                <w:b/>
              </w:rPr>
            </w:pPr>
            <w:r>
              <w:rPr>
                <w:b/>
                <w:spacing w:val="0"/>
              </w:rPr>
              <w:t xml:space="preserve">Water Withdrawn Absolute </w:t>
            </w:r>
            <w:r>
              <w:rPr>
                <w:b w:val="false"/>
                <w:spacing w:val="-1"/>
              </w:rPr>
              <w:t xml:space="preserve">(billion gallons) </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271" w:type="dxa"/>
            <w:tcBorders>
              <w:bottom w:val="single" w:sz="12" w:space="0" w:color="CCCCCC"/>
            </w:tcBorders>
            <w:tcMar>
              <w:bottom w:w="60" w:type="dxa"/>
            </w:tcMar>
            <w:vAlign w:val="center"/>
          </w:tcPr>
          <w:p>
            <w:pPr>
              <w:pStyle w:val="TableContents"/>
              <w:bidi w:val="0"/>
              <w:spacing w:before="0" w:after="0"/>
              <w:jc w:val="center"/>
              <w:rPr>
                <w:spacing w:val="-1"/>
              </w:rPr>
            </w:pPr>
            <w:r>
              <w:rPr>
                <w:spacing w:val="-1"/>
              </w:rPr>
              <w:t xml:space="preserve">32% </w:t>
            </w:r>
          </w:p>
        </w:tc>
        <w:tc>
          <w:tcPr>
            <w:tcW w:w="109" w:type="dxa"/>
            <w:tcBorders>
              <w:bottom w:val="single" w:sz="12" w:space="0" w:color="CCCCCC"/>
            </w:tcBorders>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513" w:type="dxa"/>
            <w:tcBorders>
              <w:bottom w:val="single" w:sz="12" w:space="0" w:color="CCCCCC"/>
            </w:tcBorders>
            <w:tcMar>
              <w:bottom w:w="60" w:type="dxa"/>
            </w:tcMar>
            <w:vAlign w:val="center"/>
          </w:tcPr>
          <w:p>
            <w:pPr>
              <w:pStyle w:val="TableContents"/>
              <w:bidi w:val="0"/>
              <w:spacing w:before="0" w:after="0"/>
              <w:jc w:val="center"/>
              <w:rPr>
                <w:b/>
                <w:color w:val="002F56"/>
              </w:rPr>
            </w:pPr>
            <w:r>
              <w:rPr>
                <w:b/>
                <w:color w:val="002F56"/>
                <w:spacing w:val="-2"/>
              </w:rPr>
              <w:t>157%</w:t>
            </w:r>
            <w:r>
              <w:rPr>
                <w:b/>
                <w:color w:val="002F56"/>
              </w:rPr>
              <w:t xml:space="preserve"> </w:t>
            </w:r>
          </w:p>
        </w:tc>
        <w:tc>
          <w:tcPr>
            <w:tcW w:w="156" w:type="dxa"/>
            <w:tcBorders>
              <w:bottom w:val="single" w:sz="12" w:space="0" w:color="CCCCCC"/>
            </w:tcBorders>
            <w:vAlign w:val="center"/>
          </w:tcPr>
          <w:p>
            <w:pPr>
              <w:pStyle w:val="TableContents"/>
              <w:bidi w:val="0"/>
              <w:spacing w:before="0" w:after="283"/>
              <w:jc w:val="left"/>
              <w:rPr/>
            </w:pPr>
            <w:r>
              <w:rPr/>
              <w:t>​</w:t>
            </w:r>
          </w:p>
        </w:tc>
      </w:tr>
      <w:tr>
        <w:trPr/>
        <w:tc>
          <w:tcPr>
            <w:tcW w:w="124" w:type="dxa"/>
            <w:vMerge w:val="continue"/>
            <w:tcBorders>
              <w:bottom w:val="single" w:sz="16" w:space="0" w:color="CCCCCC"/>
            </w:tcBorders>
            <w:shd w:fill="71B1C8" w:val="clear"/>
            <w:vAlign w:val="center"/>
          </w:tcPr>
          <w:p>
            <w:pPr>
              <w:pStyle w:val="Normal"/>
              <w:bidi w:val="0"/>
              <w:jc w:val="left"/>
              <w:rPr/>
            </w:pPr>
            <w:r>
              <w:rPr/>
            </w:r>
          </w:p>
        </w:tc>
        <w:tc>
          <w:tcPr>
            <w:tcW w:w="638" w:type="dxa"/>
            <w:vMerge w:val="continue"/>
            <w:tcBorders>
              <w:bottom w:val="single" w:sz="16" w:space="0" w:color="CCCCCC"/>
            </w:tcBorders>
            <w:shd w:fill="71B1C8" w:val="clear"/>
            <w:vAlign w:val="center"/>
          </w:tcPr>
          <w:p>
            <w:pPr>
              <w:pStyle w:val="Normal"/>
              <w:bidi w:val="0"/>
              <w:jc w:val="left"/>
              <w:rPr/>
            </w:pPr>
            <w:r>
              <w:rPr/>
            </w:r>
          </w:p>
        </w:tc>
        <w:tc>
          <w:tcPr>
            <w:tcW w:w="109" w:type="dxa"/>
            <w:vMerge w:val="continue"/>
            <w:tcBorders>
              <w:bottom w:val="single" w:sz="16" w:space="0" w:color="CCCCCC"/>
            </w:tcBorders>
            <w:shd w:fill="71B1C8" w:val="clear"/>
            <w:vAlign w:val="center"/>
          </w:tcPr>
          <w:p>
            <w:pPr>
              <w:pStyle w:val="Normal"/>
              <w:bidi w:val="0"/>
              <w:jc w:val="left"/>
              <w:rPr/>
            </w:pPr>
            <w:r>
              <w:rPr/>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4829" w:type="dxa"/>
            <w:tcBorders>
              <w:bottom w:val="single" w:sz="16" w:space="0" w:color="CCCCCC"/>
            </w:tcBorders>
            <w:shd w:fill="EAF3F7" w:val="clear"/>
            <w:tcMar>
              <w:bottom w:w="60" w:type="dxa"/>
            </w:tcMar>
            <w:vAlign w:val="center"/>
          </w:tcPr>
          <w:p>
            <w:pPr>
              <w:pStyle w:val="TableContents"/>
              <w:bidi w:val="0"/>
              <w:spacing w:lineRule="atLeast" w:line="208" w:before="0" w:after="0"/>
              <w:jc w:val="left"/>
              <w:rPr>
                <w:b/>
              </w:rPr>
            </w:pPr>
            <w:r>
              <w:rPr>
                <w:b/>
                <w:spacing w:val="0"/>
              </w:rPr>
              <w:t xml:space="preserve">Water Withdrawn Intensity </w:t>
            </w:r>
            <w:r>
              <w:rPr>
                <w:b w:val="false"/>
                <w:spacing w:val="-1"/>
              </w:rPr>
              <w:t xml:space="preserve">(gallons/ton produced) </w:t>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271" w:type="dxa"/>
            <w:tcBorders>
              <w:bottom w:val="single" w:sz="16" w:space="0" w:color="CCCCCC"/>
            </w:tcBorders>
            <w:tcMar>
              <w:bottom w:w="60" w:type="dxa"/>
            </w:tcMar>
            <w:vAlign w:val="center"/>
          </w:tcPr>
          <w:p>
            <w:pPr>
              <w:pStyle w:val="TableContents"/>
              <w:bidi w:val="0"/>
              <w:spacing w:lineRule="atLeast" w:line="208" w:before="0" w:after="0"/>
              <w:jc w:val="center"/>
              <w:rPr>
                <w:spacing w:val="-1"/>
              </w:rPr>
            </w:pPr>
            <w:r>
              <w:rPr>
                <w:spacing w:val="-1"/>
              </w:rPr>
              <w:t xml:space="preserve">47% </w:t>
            </w:r>
          </w:p>
        </w:tc>
        <w:tc>
          <w:tcPr>
            <w:tcW w:w="109" w:type="dxa"/>
            <w:tcBorders>
              <w:bottom w:val="single" w:sz="16" w:space="0" w:color="CCCCCC"/>
            </w:tcBorders>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513" w:type="dxa"/>
            <w:tcBorders>
              <w:bottom w:val="single" w:sz="16" w:space="0" w:color="CCCCCC"/>
            </w:tcBorders>
            <w:tcMar>
              <w:bottom w:w="60" w:type="dxa"/>
            </w:tcMar>
            <w:vAlign w:val="center"/>
          </w:tcPr>
          <w:p>
            <w:pPr>
              <w:pStyle w:val="TableContents"/>
              <w:bidi w:val="0"/>
              <w:spacing w:lineRule="atLeast" w:line="208" w:before="0" w:after="0"/>
              <w:jc w:val="center"/>
              <w:rPr>
                <w:b/>
                <w:color w:val="002F56"/>
              </w:rPr>
            </w:pPr>
            <w:r>
              <w:rPr>
                <w:b/>
                <w:color w:val="002F56"/>
                <w:spacing w:val="-2"/>
              </w:rPr>
              <w:t>156%</w:t>
            </w:r>
            <w:r>
              <w:rPr>
                <w:b/>
                <w:color w:val="002F56"/>
              </w:rPr>
              <w:t xml:space="preserve"> </w:t>
            </w:r>
          </w:p>
        </w:tc>
        <w:tc>
          <w:tcPr>
            <w:tcW w:w="156" w:type="dxa"/>
            <w:tcBorders>
              <w:bottom w:val="single" w:sz="16" w:space="0" w:color="CCCCCC"/>
            </w:tcBorders>
            <w:vAlign w:val="center"/>
          </w:tcPr>
          <w:p>
            <w:pPr>
              <w:pStyle w:val="TableContents"/>
              <w:bidi w:val="0"/>
              <w:spacing w:before="0" w:after="283"/>
              <w:jc w:val="left"/>
              <w:rPr/>
            </w:pPr>
            <w:r>
              <w:rPr/>
              <w:t>​</w:t>
            </w:r>
          </w:p>
        </w:tc>
      </w:tr>
      <w:tr>
        <w:trPr/>
        <w:tc>
          <w:tcPr>
            <w:tcW w:w="124"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638" w:type="dxa"/>
            <w:vMerge w:val="restart"/>
            <w:tcBorders>
              <w:bottom w:val="single" w:sz="16" w:space="0" w:color="CCCCCC"/>
            </w:tcBorders>
            <w:shd w:fill="71B1C8" w:val="clear"/>
            <w:vAlign w:val="center"/>
          </w:tcPr>
          <w:p>
            <w:pPr>
              <w:pStyle w:val="TableContents"/>
              <w:bidi w:val="0"/>
              <w:spacing w:before="0" w:after="0"/>
              <w:jc w:val="center"/>
              <w:rPr/>
            </w:pPr>
            <w:r>
              <w:rPr/>
              <w:drawing>
                <wp:inline distT="0" distB="0" distL="0" distR="0">
                  <wp:extent cx="285750" cy="295275"/>
                  <wp:effectExtent l="0" t="0" r="0" b="0"/>
                  <wp:docPr id="504"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29" descr=""/>
                          <pic:cNvPicPr>
                            <a:picLocks noChangeAspect="1" noChangeArrowheads="1"/>
                          </pic:cNvPicPr>
                        </pic:nvPicPr>
                        <pic:blipFill>
                          <a:blip r:embed="rId240"/>
                          <a:stretch>
                            <a:fillRect/>
                          </a:stretch>
                        </pic:blipFill>
                        <pic:spPr bwMode="auto">
                          <a:xfrm>
                            <a:off x="0" y="0"/>
                            <a:ext cx="285750" cy="295275"/>
                          </a:xfrm>
                          <a:prstGeom prst="rect">
                            <a:avLst/>
                          </a:prstGeom>
                        </pic:spPr>
                      </pic:pic>
                    </a:graphicData>
                  </a:graphic>
                </wp:inline>
              </w:drawing>
            </w:r>
            <w:r>
              <w:rPr/>
              <w:t xml:space="preserve"> </w:t>
            </w:r>
          </w:p>
        </w:tc>
        <w:tc>
          <w:tcPr>
            <w:tcW w:w="109" w:type="dxa"/>
            <w:vMerge w:val="restart"/>
            <w:tcBorders>
              <w:bottom w:val="single" w:sz="16" w:space="0" w:color="CCCCCC"/>
            </w:tcBorders>
            <w:shd w:fill="71B1C8" w:val="clear"/>
            <w:vAlign w:val="center"/>
          </w:tcPr>
          <w:p>
            <w:pPr>
              <w:pStyle w:val="TableContents"/>
              <w:bidi w:val="0"/>
              <w:spacing w:before="0" w:after="283"/>
              <w:jc w:val="left"/>
              <w:rPr/>
            </w:pPr>
            <w:r>
              <w:rPr/>
              <w:t>​</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4829" w:type="dxa"/>
            <w:tcBorders>
              <w:bottom w:val="single" w:sz="12" w:space="0" w:color="FFFFFF"/>
            </w:tcBorders>
            <w:shd w:fill="EAF3F7" w:val="clear"/>
            <w:tcMar>
              <w:bottom w:w="60" w:type="dxa"/>
            </w:tcMar>
            <w:vAlign w:val="center"/>
          </w:tcPr>
          <w:p>
            <w:pPr>
              <w:pStyle w:val="TableContents"/>
              <w:bidi w:val="0"/>
              <w:spacing w:before="0" w:after="0"/>
              <w:jc w:val="left"/>
              <w:rPr>
                <w:b/>
              </w:rPr>
            </w:pPr>
            <w:r>
              <w:rPr>
                <w:b/>
                <w:spacing w:val="0"/>
              </w:rPr>
              <w:t>Water Discharged Absolute</w:t>
            </w:r>
            <w:r>
              <w:rPr>
                <w:b/>
                <w:spacing w:val="-1"/>
              </w:rPr>
              <w:t xml:space="preserve"> </w:t>
            </w:r>
            <w:r>
              <w:rPr>
                <w:b w:val="false"/>
                <w:spacing w:val="-1"/>
              </w:rPr>
              <w:t xml:space="preserve">(billion gallons) </w:t>
            </w:r>
          </w:p>
        </w:tc>
        <w:tc>
          <w:tcPr>
            <w:tcW w:w="109" w:type="dxa"/>
            <w:tcBorders>
              <w:bottom w:val="single" w:sz="12" w:space="0" w:color="FFFFFF"/>
            </w:tcBorders>
            <w:shd w:fill="EAF3F7" w:val="clear"/>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271" w:type="dxa"/>
            <w:tcBorders>
              <w:bottom w:val="single" w:sz="12" w:space="0" w:color="CCCCCC"/>
            </w:tcBorders>
            <w:tcMar>
              <w:bottom w:w="60" w:type="dxa"/>
            </w:tcMar>
            <w:vAlign w:val="center"/>
          </w:tcPr>
          <w:p>
            <w:pPr>
              <w:pStyle w:val="TableContents"/>
              <w:bidi w:val="0"/>
              <w:spacing w:before="0" w:after="0"/>
              <w:jc w:val="center"/>
              <w:rPr>
                <w:spacing w:val="-1"/>
              </w:rPr>
            </w:pPr>
            <w:r>
              <w:rPr>
                <w:spacing w:val="-1"/>
              </w:rPr>
              <w:t xml:space="preserve">56% </w:t>
            </w:r>
          </w:p>
        </w:tc>
        <w:tc>
          <w:tcPr>
            <w:tcW w:w="109" w:type="dxa"/>
            <w:tcBorders>
              <w:bottom w:val="single" w:sz="12" w:space="0" w:color="CCCCCC"/>
            </w:tcBorders>
            <w:vAlign w:val="center"/>
          </w:tcPr>
          <w:p>
            <w:pPr>
              <w:pStyle w:val="TableContents"/>
              <w:bidi w:val="0"/>
              <w:spacing w:before="0" w:after="283"/>
              <w:jc w:val="left"/>
              <w:rPr/>
            </w:pPr>
            <w:r>
              <w:rPr/>
              <w:t>​</w:t>
            </w:r>
          </w:p>
        </w:tc>
        <w:tc>
          <w:tcPr>
            <w:tcW w:w="109" w:type="dxa"/>
            <w:tcBorders>
              <w:bottom w:val="single" w:sz="12" w:space="0" w:color="CCCCCC"/>
            </w:tcBorders>
            <w:vAlign w:val="center"/>
          </w:tcPr>
          <w:p>
            <w:pPr>
              <w:pStyle w:val="TableContents"/>
              <w:bidi w:val="0"/>
              <w:spacing w:before="0" w:after="283"/>
              <w:jc w:val="left"/>
              <w:rPr/>
            </w:pPr>
            <w:r>
              <w:rPr/>
              <w:t>​</w:t>
            </w:r>
          </w:p>
        </w:tc>
        <w:tc>
          <w:tcPr>
            <w:tcW w:w="1513" w:type="dxa"/>
            <w:tcBorders>
              <w:bottom w:val="single" w:sz="12" w:space="0" w:color="CCCCCC"/>
            </w:tcBorders>
            <w:tcMar>
              <w:bottom w:w="60" w:type="dxa"/>
            </w:tcMar>
            <w:vAlign w:val="center"/>
          </w:tcPr>
          <w:p>
            <w:pPr>
              <w:pStyle w:val="TableContents"/>
              <w:bidi w:val="0"/>
              <w:spacing w:before="0" w:after="0"/>
              <w:jc w:val="center"/>
              <w:rPr>
                <w:b/>
                <w:color w:val="002F56"/>
              </w:rPr>
            </w:pPr>
            <w:r>
              <w:rPr>
                <w:b/>
                <w:color w:val="002F56"/>
                <w:spacing w:val="-2"/>
              </w:rPr>
              <w:t>281%</w:t>
            </w:r>
            <w:r>
              <w:rPr>
                <w:b/>
                <w:color w:val="002F56"/>
              </w:rPr>
              <w:t xml:space="preserve"> </w:t>
            </w:r>
          </w:p>
        </w:tc>
        <w:tc>
          <w:tcPr>
            <w:tcW w:w="156" w:type="dxa"/>
            <w:tcBorders>
              <w:bottom w:val="single" w:sz="12" w:space="0" w:color="CCCCCC"/>
            </w:tcBorders>
            <w:vAlign w:val="center"/>
          </w:tcPr>
          <w:p>
            <w:pPr>
              <w:pStyle w:val="TableContents"/>
              <w:bidi w:val="0"/>
              <w:spacing w:before="0" w:after="283"/>
              <w:jc w:val="left"/>
              <w:rPr/>
            </w:pPr>
            <w:r>
              <w:rPr/>
              <w:t>​</w:t>
            </w:r>
          </w:p>
        </w:tc>
      </w:tr>
      <w:tr>
        <w:trPr/>
        <w:tc>
          <w:tcPr>
            <w:tcW w:w="124" w:type="dxa"/>
            <w:vMerge w:val="continue"/>
            <w:tcBorders>
              <w:bottom w:val="single" w:sz="16" w:space="0" w:color="CCCCCC"/>
            </w:tcBorders>
            <w:shd w:fill="71B1C8" w:val="clear"/>
            <w:vAlign w:val="center"/>
          </w:tcPr>
          <w:p>
            <w:pPr>
              <w:pStyle w:val="Normal"/>
              <w:bidi w:val="0"/>
              <w:jc w:val="left"/>
              <w:rPr/>
            </w:pPr>
            <w:r>
              <w:rPr/>
            </w:r>
          </w:p>
        </w:tc>
        <w:tc>
          <w:tcPr>
            <w:tcW w:w="638" w:type="dxa"/>
            <w:vMerge w:val="continue"/>
            <w:tcBorders>
              <w:bottom w:val="single" w:sz="16" w:space="0" w:color="CCCCCC"/>
            </w:tcBorders>
            <w:shd w:fill="71B1C8" w:val="clear"/>
            <w:vAlign w:val="center"/>
          </w:tcPr>
          <w:p>
            <w:pPr>
              <w:pStyle w:val="Normal"/>
              <w:bidi w:val="0"/>
              <w:jc w:val="left"/>
              <w:rPr/>
            </w:pPr>
            <w:r>
              <w:rPr/>
            </w:r>
          </w:p>
        </w:tc>
        <w:tc>
          <w:tcPr>
            <w:tcW w:w="109" w:type="dxa"/>
            <w:vMerge w:val="continue"/>
            <w:tcBorders>
              <w:bottom w:val="single" w:sz="16" w:space="0" w:color="CCCCCC"/>
            </w:tcBorders>
            <w:shd w:fill="71B1C8" w:val="clear"/>
            <w:vAlign w:val="center"/>
          </w:tcPr>
          <w:p>
            <w:pPr>
              <w:pStyle w:val="Normal"/>
              <w:bidi w:val="0"/>
              <w:jc w:val="left"/>
              <w:rPr/>
            </w:pPr>
            <w:r>
              <w:rPr/>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4829" w:type="dxa"/>
            <w:tcBorders>
              <w:bottom w:val="single" w:sz="16" w:space="0" w:color="CCCCCC"/>
            </w:tcBorders>
            <w:shd w:fill="EAF3F7" w:val="clear"/>
            <w:tcMar>
              <w:bottom w:w="60" w:type="dxa"/>
            </w:tcMar>
            <w:vAlign w:val="center"/>
          </w:tcPr>
          <w:p>
            <w:pPr>
              <w:pStyle w:val="TableContents"/>
              <w:bidi w:val="0"/>
              <w:spacing w:lineRule="atLeast" w:line="208" w:before="0" w:after="0"/>
              <w:jc w:val="left"/>
              <w:rPr>
                <w:b/>
              </w:rPr>
            </w:pPr>
            <w:r>
              <w:rPr>
                <w:b/>
                <w:spacing w:val="0"/>
              </w:rPr>
              <w:t>Water Discharged Intensity</w:t>
            </w:r>
            <w:r>
              <w:rPr>
                <w:b/>
                <w:spacing w:val="-1"/>
              </w:rPr>
              <w:t xml:space="preserve"> </w:t>
            </w:r>
            <w:r>
              <w:rPr>
                <w:b w:val="false"/>
                <w:spacing w:val="-1"/>
              </w:rPr>
              <w:t xml:space="preserve">(gallons/ton produced) </w:t>
            </w:r>
          </w:p>
        </w:tc>
        <w:tc>
          <w:tcPr>
            <w:tcW w:w="109" w:type="dxa"/>
            <w:tcBorders>
              <w:bottom w:val="single" w:sz="16" w:space="0" w:color="CCCCCC"/>
            </w:tcBorders>
            <w:shd w:fill="EAF3F7" w:val="clear"/>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271" w:type="dxa"/>
            <w:tcBorders>
              <w:bottom w:val="single" w:sz="16" w:space="0" w:color="CCCCCC"/>
            </w:tcBorders>
            <w:tcMar>
              <w:bottom w:w="60" w:type="dxa"/>
            </w:tcMar>
            <w:vAlign w:val="center"/>
          </w:tcPr>
          <w:p>
            <w:pPr>
              <w:pStyle w:val="TableContents"/>
              <w:bidi w:val="0"/>
              <w:spacing w:lineRule="atLeast" w:line="208" w:before="0" w:after="0"/>
              <w:jc w:val="center"/>
              <w:rPr>
                <w:spacing w:val="-1"/>
              </w:rPr>
            </w:pPr>
            <w:r>
              <w:rPr>
                <w:spacing w:val="-1"/>
              </w:rPr>
              <w:t xml:space="preserve">66% </w:t>
            </w:r>
          </w:p>
        </w:tc>
        <w:tc>
          <w:tcPr>
            <w:tcW w:w="109" w:type="dxa"/>
            <w:tcBorders>
              <w:bottom w:val="single" w:sz="16" w:space="0" w:color="CCCCCC"/>
            </w:tcBorders>
            <w:vAlign w:val="center"/>
          </w:tcPr>
          <w:p>
            <w:pPr>
              <w:pStyle w:val="TableContents"/>
              <w:bidi w:val="0"/>
              <w:spacing w:before="0" w:after="283"/>
              <w:jc w:val="left"/>
              <w:rPr/>
            </w:pPr>
            <w:r>
              <w:rPr/>
              <w:t>​</w:t>
            </w:r>
          </w:p>
        </w:tc>
        <w:tc>
          <w:tcPr>
            <w:tcW w:w="109" w:type="dxa"/>
            <w:tcBorders>
              <w:bottom w:val="single" w:sz="16" w:space="0" w:color="CCCCCC"/>
            </w:tcBorders>
            <w:vAlign w:val="center"/>
          </w:tcPr>
          <w:p>
            <w:pPr>
              <w:pStyle w:val="TableContents"/>
              <w:bidi w:val="0"/>
              <w:spacing w:before="0" w:after="283"/>
              <w:jc w:val="left"/>
              <w:rPr/>
            </w:pPr>
            <w:r>
              <w:rPr/>
              <w:t>​</w:t>
            </w:r>
          </w:p>
        </w:tc>
        <w:tc>
          <w:tcPr>
            <w:tcW w:w="1513" w:type="dxa"/>
            <w:tcBorders>
              <w:bottom w:val="single" w:sz="16" w:space="0" w:color="CCCCCC"/>
            </w:tcBorders>
            <w:tcMar>
              <w:bottom w:w="60" w:type="dxa"/>
            </w:tcMar>
            <w:vAlign w:val="center"/>
          </w:tcPr>
          <w:p>
            <w:pPr>
              <w:pStyle w:val="TableContents"/>
              <w:bidi w:val="0"/>
              <w:spacing w:lineRule="atLeast" w:line="208" w:before="0" w:after="0"/>
              <w:jc w:val="center"/>
              <w:rPr>
                <w:b/>
                <w:color w:val="002F56"/>
              </w:rPr>
            </w:pPr>
            <w:r>
              <w:rPr>
                <w:b/>
                <w:color w:val="002F56"/>
                <w:spacing w:val="-2"/>
              </w:rPr>
              <w:t>199%</w:t>
            </w:r>
            <w:r>
              <w:rPr>
                <w:b/>
                <w:color w:val="002F56"/>
              </w:rPr>
              <w:t xml:space="preserve"> </w:t>
            </w:r>
          </w:p>
        </w:tc>
        <w:tc>
          <w:tcPr>
            <w:tcW w:w="156" w:type="dxa"/>
            <w:tcBorders>
              <w:bottom w:val="single" w:sz="16" w:space="0" w:color="CCCCCC"/>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shd w:fill="71B1C8" w:val="clear"/>
            <w:vAlign w:val="center"/>
          </w:tcPr>
          <w:p>
            <w:pPr>
              <w:pStyle w:val="TableContents"/>
              <w:bidi w:val="0"/>
              <w:spacing w:before="0" w:after="283"/>
              <w:jc w:val="left"/>
              <w:rPr/>
            </w:pPr>
            <w:r>
              <w:rPr/>
              <w:t>​</w:t>
            </w:r>
          </w:p>
        </w:tc>
        <w:tc>
          <w:tcPr>
            <w:tcW w:w="638" w:type="dxa"/>
            <w:vMerge w:val="restart"/>
            <w:tcBorders>
              <w:bottom w:val="single" w:sz="12" w:space="0" w:color="71B1C8"/>
            </w:tcBorders>
            <w:shd w:fill="71B1C8" w:val="clear"/>
            <w:vAlign w:val="center"/>
          </w:tcPr>
          <w:p>
            <w:pPr>
              <w:pStyle w:val="TableContents"/>
              <w:bidi w:val="0"/>
              <w:spacing w:before="0" w:after="0"/>
              <w:jc w:val="center"/>
              <w:rPr/>
            </w:pPr>
            <w:r>
              <w:rPr/>
              <w:drawing>
                <wp:inline distT="0" distB="0" distL="0" distR="0">
                  <wp:extent cx="228600" cy="295275"/>
                  <wp:effectExtent l="0" t="0" r="0" b="0"/>
                  <wp:docPr id="505"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30" descr=""/>
                          <pic:cNvPicPr>
                            <a:picLocks noChangeAspect="1" noChangeArrowheads="1"/>
                          </pic:cNvPicPr>
                        </pic:nvPicPr>
                        <pic:blipFill>
                          <a:blip r:embed="rId241"/>
                          <a:stretch>
                            <a:fillRect/>
                          </a:stretch>
                        </pic:blipFill>
                        <pic:spPr bwMode="auto">
                          <a:xfrm>
                            <a:off x="0" y="0"/>
                            <a:ext cx="228600" cy="295275"/>
                          </a:xfrm>
                          <a:prstGeom prst="rect">
                            <a:avLst/>
                          </a:prstGeom>
                        </pic:spPr>
                      </pic:pic>
                    </a:graphicData>
                  </a:graphic>
                </wp:inline>
              </w:drawing>
            </w:r>
            <w:r>
              <w:rPr/>
              <w:t xml:space="preserve"> </w:t>
            </w:r>
          </w:p>
        </w:tc>
        <w:tc>
          <w:tcPr>
            <w:tcW w:w="109" w:type="dxa"/>
            <w:vMerge w:val="restart"/>
            <w:tcBorders>
              <w:bottom w:val="single" w:sz="12" w:space="0" w:color="71B1C8"/>
            </w:tcBorders>
            <w:shd w:fill="71B1C8" w:val="clear"/>
            <w:vAlign w:val="center"/>
          </w:tcPr>
          <w:p>
            <w:pPr>
              <w:pStyle w:val="TableContents"/>
              <w:bidi w:val="0"/>
              <w:spacing w:before="0" w:after="283"/>
              <w:jc w:val="left"/>
              <w:rPr/>
            </w:pPr>
            <w:r>
              <w:rPr/>
              <w:t>​</w:t>
            </w:r>
          </w:p>
        </w:tc>
        <w:tc>
          <w:tcPr>
            <w:tcW w:w="109" w:type="dxa"/>
            <w:tcBorders>
              <w:bottom w:val="single" w:sz="2" w:space="0" w:color="FFFFFF"/>
            </w:tcBorders>
            <w:shd w:fill="EAF3F7" w:val="clear"/>
            <w:vAlign w:val="center"/>
          </w:tcPr>
          <w:p>
            <w:pPr>
              <w:pStyle w:val="TableContents"/>
              <w:bidi w:val="0"/>
              <w:spacing w:before="0" w:after="283"/>
              <w:jc w:val="left"/>
              <w:rPr/>
            </w:pPr>
            <w:r>
              <w:rPr/>
              <w:t>​</w:t>
            </w:r>
          </w:p>
        </w:tc>
        <w:tc>
          <w:tcPr>
            <w:tcW w:w="4829" w:type="dxa"/>
            <w:tcBorders>
              <w:bottom w:val="single" w:sz="2" w:space="0" w:color="FFFFFF"/>
            </w:tcBorders>
            <w:shd w:fill="EAF3F7" w:val="clear"/>
            <w:tcMar>
              <w:bottom w:w="60" w:type="dxa"/>
            </w:tcMar>
            <w:vAlign w:val="center"/>
          </w:tcPr>
          <w:p>
            <w:pPr>
              <w:pStyle w:val="TableContents"/>
              <w:bidi w:val="0"/>
              <w:spacing w:before="0" w:after="0"/>
              <w:jc w:val="left"/>
              <w:rPr>
                <w:b/>
              </w:rPr>
            </w:pPr>
            <w:r>
              <w:rPr>
                <w:b/>
                <w:spacing w:val="0"/>
              </w:rPr>
              <w:t>Landfill Waste Absolute Disposed</w:t>
            </w:r>
            <w:r>
              <w:rPr>
                <w:b/>
                <w:spacing w:val="-1"/>
              </w:rPr>
              <w:t xml:space="preserve"> </w:t>
            </w:r>
            <w:r>
              <w:rPr>
                <w:b w:val="false"/>
                <w:spacing w:val="-1"/>
              </w:rPr>
              <w:t xml:space="preserve">(tons) </w:t>
            </w:r>
          </w:p>
        </w:tc>
        <w:tc>
          <w:tcPr>
            <w:tcW w:w="109" w:type="dxa"/>
            <w:tcBorders>
              <w:bottom w:val="single" w:sz="2" w:space="0" w:color="FFFFFF"/>
            </w:tcBorders>
            <w:shd w:fill="EAF3F7" w:val="clear"/>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271" w:type="dxa"/>
            <w:tcBorders>
              <w:bottom w:val="single" w:sz="2" w:space="0" w:color="CCCCCC"/>
            </w:tcBorders>
            <w:tcMar>
              <w:bottom w:w="60" w:type="dxa"/>
            </w:tcMar>
            <w:vAlign w:val="center"/>
          </w:tcPr>
          <w:p>
            <w:pPr>
              <w:pStyle w:val="TableContents"/>
              <w:bidi w:val="0"/>
              <w:spacing w:before="0" w:after="0"/>
              <w:jc w:val="center"/>
              <w:rPr>
                <w:spacing w:val="-1"/>
              </w:rPr>
            </w:pPr>
            <w:r>
              <w:rPr>
                <w:spacing w:val="-1"/>
              </w:rPr>
              <w:t xml:space="preserve">44% </w:t>
            </w:r>
          </w:p>
        </w:tc>
        <w:tc>
          <w:tcPr>
            <w:tcW w:w="109" w:type="dxa"/>
            <w:tcBorders>
              <w:bottom w:val="single" w:sz="2" w:space="0" w:color="CCCCCC"/>
            </w:tcBorders>
            <w:vAlign w:val="center"/>
          </w:tcPr>
          <w:p>
            <w:pPr>
              <w:pStyle w:val="TableContents"/>
              <w:bidi w:val="0"/>
              <w:spacing w:before="0" w:after="283"/>
              <w:jc w:val="left"/>
              <w:rPr/>
            </w:pPr>
            <w:r>
              <w:rPr/>
              <w:t>​</w:t>
            </w:r>
          </w:p>
        </w:tc>
        <w:tc>
          <w:tcPr>
            <w:tcW w:w="109" w:type="dxa"/>
            <w:tcBorders>
              <w:bottom w:val="single" w:sz="2" w:space="0" w:color="CCCCCC"/>
            </w:tcBorders>
            <w:vAlign w:val="center"/>
          </w:tcPr>
          <w:p>
            <w:pPr>
              <w:pStyle w:val="TableContents"/>
              <w:bidi w:val="0"/>
              <w:spacing w:before="0" w:after="283"/>
              <w:jc w:val="left"/>
              <w:rPr/>
            </w:pPr>
            <w:r>
              <w:rPr/>
              <w:t>​</w:t>
            </w:r>
          </w:p>
        </w:tc>
        <w:tc>
          <w:tcPr>
            <w:tcW w:w="1513" w:type="dxa"/>
            <w:tcBorders>
              <w:bottom w:val="single" w:sz="2" w:space="0" w:color="CCCCCC"/>
            </w:tcBorders>
            <w:tcMar>
              <w:bottom w:w="60" w:type="dxa"/>
            </w:tcMar>
            <w:vAlign w:val="center"/>
          </w:tcPr>
          <w:p>
            <w:pPr>
              <w:pStyle w:val="TableContents"/>
              <w:bidi w:val="0"/>
              <w:spacing w:before="0" w:after="0"/>
              <w:jc w:val="center"/>
              <w:rPr>
                <w:b/>
                <w:color w:val="002F56"/>
              </w:rPr>
            </w:pPr>
            <w:r>
              <w:rPr>
                <w:b/>
                <w:color w:val="002F56"/>
                <w:spacing w:val="-2"/>
              </w:rPr>
              <w:t>218%</w:t>
            </w:r>
            <w:r>
              <w:rPr>
                <w:b/>
                <w:color w:val="002F56"/>
              </w:rPr>
              <w:t xml:space="preserve"> </w:t>
            </w:r>
          </w:p>
        </w:tc>
        <w:tc>
          <w:tcPr>
            <w:tcW w:w="156" w:type="dxa"/>
            <w:tcBorders>
              <w:bottom w:val="single" w:sz="2"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shd w:fill="71B1C8" w:val="clear"/>
            <w:vAlign w:val="center"/>
          </w:tcPr>
          <w:p>
            <w:pPr>
              <w:pStyle w:val="Normal"/>
              <w:bidi w:val="0"/>
              <w:jc w:val="left"/>
              <w:rPr/>
            </w:pPr>
            <w:r>
              <w:rPr/>
            </w:r>
          </w:p>
        </w:tc>
        <w:tc>
          <w:tcPr>
            <w:tcW w:w="638" w:type="dxa"/>
            <w:vMerge w:val="continue"/>
            <w:tcBorders>
              <w:bottom w:val="single" w:sz="12" w:space="0" w:color="71B1C8"/>
            </w:tcBorders>
            <w:shd w:fill="71B1C8" w:val="clear"/>
            <w:vAlign w:val="center"/>
          </w:tcPr>
          <w:p>
            <w:pPr>
              <w:pStyle w:val="Normal"/>
              <w:bidi w:val="0"/>
              <w:jc w:val="left"/>
              <w:rPr/>
            </w:pPr>
            <w:r>
              <w:rPr/>
            </w:r>
          </w:p>
        </w:tc>
        <w:tc>
          <w:tcPr>
            <w:tcW w:w="109" w:type="dxa"/>
            <w:vMerge w:val="continue"/>
            <w:tcBorders>
              <w:bottom w:val="single" w:sz="12" w:space="0" w:color="71B1C8"/>
            </w:tcBorders>
            <w:shd w:fill="71B1C8" w:val="clear"/>
            <w:vAlign w:val="center"/>
          </w:tcPr>
          <w:p>
            <w:pPr>
              <w:pStyle w:val="Normal"/>
              <w:bidi w:val="0"/>
              <w:jc w:val="left"/>
              <w:rPr/>
            </w:pPr>
            <w:r>
              <w:rPr/>
            </w:r>
          </w:p>
        </w:tc>
        <w:tc>
          <w:tcPr>
            <w:tcW w:w="109" w:type="dxa"/>
            <w:tcBorders>
              <w:bottom w:val="single" w:sz="12" w:space="0" w:color="71B1C8"/>
            </w:tcBorders>
            <w:shd w:fill="EAF3F7" w:val="clear"/>
            <w:vAlign w:val="center"/>
          </w:tcPr>
          <w:p>
            <w:pPr>
              <w:pStyle w:val="TableContents"/>
              <w:bidi w:val="0"/>
              <w:spacing w:before="0" w:after="283"/>
              <w:jc w:val="left"/>
              <w:rPr/>
            </w:pPr>
            <w:r>
              <w:rPr/>
              <w:t>​</w:t>
            </w:r>
          </w:p>
        </w:tc>
        <w:tc>
          <w:tcPr>
            <w:tcW w:w="4829" w:type="dxa"/>
            <w:tcBorders>
              <w:bottom w:val="single" w:sz="12" w:space="0" w:color="71B1C8"/>
            </w:tcBorders>
            <w:shd w:fill="EAF3F7" w:val="clear"/>
            <w:tcMar>
              <w:bottom w:w="80" w:type="dxa"/>
            </w:tcMar>
            <w:vAlign w:val="center"/>
          </w:tcPr>
          <w:p>
            <w:pPr>
              <w:pStyle w:val="TableContents"/>
              <w:bidi w:val="0"/>
              <w:spacing w:lineRule="atLeast" w:line="208" w:before="0" w:after="0"/>
              <w:jc w:val="left"/>
              <w:rPr>
                <w:b/>
              </w:rPr>
            </w:pPr>
            <w:r>
              <w:rPr>
                <w:b/>
                <w:spacing w:val="0"/>
              </w:rPr>
              <w:t>Landfill Waste Intensity Disposed</w:t>
            </w:r>
            <w:r>
              <w:rPr>
                <w:b/>
                <w:spacing w:val="-1"/>
              </w:rPr>
              <w:t xml:space="preserve"> </w:t>
            </w:r>
            <w:r>
              <w:rPr>
                <w:b w:val="false"/>
                <w:spacing w:val="-1"/>
              </w:rPr>
              <w:t xml:space="preserve">(lbs. disposed/ton produced) </w:t>
            </w:r>
          </w:p>
        </w:tc>
        <w:tc>
          <w:tcPr>
            <w:tcW w:w="109" w:type="dxa"/>
            <w:tcBorders>
              <w:bottom w:val="single" w:sz="12" w:space="0" w:color="71B1C8"/>
            </w:tcBorders>
            <w:shd w:fill="EAF3F7" w:val="clear"/>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71" w:type="dxa"/>
            <w:tcBorders>
              <w:bottom w:val="single" w:sz="12" w:space="0" w:color="71B1C8"/>
            </w:tcBorders>
            <w:tcMar>
              <w:bottom w:w="80" w:type="dxa"/>
            </w:tcMar>
            <w:vAlign w:val="center"/>
          </w:tcPr>
          <w:p>
            <w:pPr>
              <w:pStyle w:val="TableContents"/>
              <w:bidi w:val="0"/>
              <w:spacing w:lineRule="atLeast" w:line="208" w:before="0" w:after="0"/>
              <w:jc w:val="center"/>
              <w:rPr>
                <w:spacing w:val="-1"/>
              </w:rPr>
            </w:pPr>
            <w:r>
              <w:rPr>
                <w:spacing w:val="-1"/>
              </w:rPr>
              <w:t xml:space="preserve">55%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513" w:type="dxa"/>
            <w:tcBorders>
              <w:bottom w:val="single" w:sz="12" w:space="0" w:color="71B1C8"/>
            </w:tcBorders>
            <w:tcMar>
              <w:bottom w:w="80" w:type="dxa"/>
            </w:tcMar>
            <w:vAlign w:val="center"/>
          </w:tcPr>
          <w:p>
            <w:pPr>
              <w:pStyle w:val="TableContents"/>
              <w:bidi w:val="0"/>
              <w:spacing w:lineRule="atLeast" w:line="208" w:before="0" w:after="0"/>
              <w:jc w:val="center"/>
              <w:rPr>
                <w:b/>
                <w:color w:val="002F56"/>
              </w:rPr>
            </w:pPr>
            <w:r>
              <w:rPr>
                <w:b/>
                <w:color w:val="002F56"/>
                <w:spacing w:val="-2"/>
              </w:rPr>
              <w:t>184%</w:t>
            </w:r>
            <w:r>
              <w:rPr>
                <w:b/>
                <w:color w:val="002F56"/>
              </w:rPr>
              <w:t xml:space="preserve"> </w:t>
            </w:r>
          </w:p>
        </w:tc>
        <w:tc>
          <w:tcPr>
            <w:tcW w:w="156"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7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2025 targets set from 2018 baseline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7950" distB="0" distL="76200" distR="0" simplePos="0" locked="0" layoutInCell="1" allowOverlap="1" relativeHeight="572">
                <wp:simplePos x="0" y="0"/>
                <wp:positionH relativeFrom="column">
                  <wp:align>left</wp:align>
                </wp:positionH>
                <wp:positionV relativeFrom="line">
                  <wp:align>top</wp:align>
                </wp:positionV>
                <wp:extent cx="254000" cy="254000"/>
                <wp:effectExtent l="0" t="0" r="0" b="0"/>
                <wp:wrapSquare wrapText="right"/>
                <wp:docPr id="506" name="Frame26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8.5pt;mso-wrap-distance-bottom:0pt;margin-top:8.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GROWTH AND INNOVATION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New product development is essential to MTI, with the creation and commercialization of innovative technologies serving as a core part of our growth as well as sustainability strategy.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67% of our total company revenue was derived from products and services that enhance both MTI’s and our customers’ sustainability objectives.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partner with customers 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create environmentally friendly and natural end-products,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07"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improve manufacturing processes’ sustainability,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08"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reduce emissions and waste in their operations,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09"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create safer working conditions.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10"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DIVERSITY AND INCLUSION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Diversity and inclusion is integrated into our core values and sustainability strategy. We believe that a diverse workforce, inclusive culture, and empowered teams who confidently express their viewpoints are integral to helping us drive long-term shareholder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commitment to a diverse and inclusive workplace is embodied in numerous policies and procedures including our Diversity Policy and Mission Statement, Equal Opportunity Policy, Employee Code of Conduct, and Human Rights Policy. Our commitment is further evidenced in our performance management processes and leader development programs as well as through our Global Inclusion Council, chaired by our CEO and comprised of business leaders from our key operating regions around the globe. This Council is committed to cultivating a diverse and inclusive work environment in which our differences are respected and valued as essential to MTI’s continued growth and innovation. Its goal is to ensure that all employees experience MTI as a welcoming, equitable, and respectful environment where they are driven to achieve their full potential. Since its inception, the Council has reshaped policies and benefits, trained our leaders, engaged our teams in meaningful dialogue, and provided alignment across the organization.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26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SPAN"/>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SHAREHOLDER PROPOSALS AND NOMINATIONS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by-laws describe the procedures that a shareholder must follow to nominate a candidate for director or to introduce an item of business at a meeting of shareholders. These procedures provide that, except as set forth in “</w:t>
      </w:r>
      <w:r>
        <w:rPr>
          <w:rFonts w:ascii="Arial;Helvetica;sans-serif" w:hAnsi="Arial;Helvetica;sans-serif"/>
          <w:b w:val="false"/>
          <w:i/>
          <w:caps w:val="false"/>
          <w:smallCaps w:val="false"/>
          <w:color w:val="000000"/>
          <w:sz w:val="18"/>
        </w:rPr>
        <w:t>Proxy Access</w:t>
      </w:r>
      <w:r>
        <w:rPr>
          <w:rFonts w:ascii="Arial;Helvetica;sans-serif" w:hAnsi="Arial;Helvetica;sans-serif"/>
          <w:b w:val="false"/>
          <w:i w:val="false"/>
          <w:caps w:val="false"/>
          <w:smallCaps w:val="false"/>
          <w:color w:val="000000"/>
          <w:spacing w:val="-1"/>
          <w:sz w:val="18"/>
        </w:rPr>
        <w:t>” below, nominations for directors and items of business to be introduced at an annual meeting of shareholders must be submitted in writing to:</w:t>
      </w:r>
      <w:r>
        <w:rPr>
          <w:rFonts w:ascii="Arial;Helvetica;sans-serif" w:hAnsi="Arial;Helvetica;sans-serif"/>
          <w:b w:val="false"/>
          <w:i w:val="false"/>
          <w:caps w:val="false"/>
          <w:smallCaps w:val="false"/>
          <w:color w:val="000000"/>
          <w:spacing w:val="4"/>
          <w:sz w:val="18"/>
        </w:rPr>
        <w:t xml:space="preserve"> </w:t>
      </w:r>
    </w:p>
    <w:tbl>
      <w:tblPr>
        <w:tblW w:w="4784" w:type="dxa"/>
        <w:jc w:val="left"/>
        <w:tblInd w:w="1020" w:type="dxa"/>
        <w:tblLayout w:type="fixed"/>
        <w:tblCellMar>
          <w:top w:w="0" w:type="dxa"/>
          <w:left w:w="0" w:type="dxa"/>
          <w:bottom w:w="0" w:type="dxa"/>
          <w:right w:w="0" w:type="dxa"/>
        </w:tblCellMar>
      </w:tblPr>
      <w:tblGrid>
        <w:gridCol w:w="124"/>
        <w:gridCol w:w="656"/>
        <w:gridCol w:w="109"/>
        <w:gridCol w:w="109"/>
        <w:gridCol w:w="109"/>
        <w:gridCol w:w="3523"/>
        <w:gridCol w:w="154"/>
      </w:tblGrid>
      <w:tr>
        <w:trPr/>
        <w:tc>
          <w:tcPr>
            <w:tcW w:w="124" w:type="dxa"/>
            <w:tcBorders/>
            <w:vAlign w:val="center"/>
          </w:tcPr>
          <w:p>
            <w:pPr>
              <w:pStyle w:val="TableContents"/>
              <w:bidi w:val="0"/>
              <w:spacing w:before="0" w:after="283"/>
              <w:jc w:val="left"/>
              <w:rPr/>
            </w:pPr>
            <w:r>
              <w:rPr/>
              <w:t>​</w:t>
            </w:r>
          </w:p>
        </w:tc>
        <w:tc>
          <w:tcPr>
            <w:tcW w:w="656"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23850" cy="323850"/>
                  <wp:effectExtent l="0" t="0" r="0" b="0"/>
                  <wp:docPr id="51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31" descr=""/>
                          <pic:cNvPicPr>
                            <a:picLocks noChangeAspect="1" noChangeArrowheads="1"/>
                          </pic:cNvPicPr>
                        </pic:nvPicPr>
                        <pic:blipFill>
                          <a:blip r:embed="rId242"/>
                          <a:stretch>
                            <a:fillRect/>
                          </a:stretch>
                        </pic:blipFill>
                        <pic:spPr bwMode="auto">
                          <a:xfrm>
                            <a:off x="0" y="0"/>
                            <a:ext cx="323850" cy="3238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23" w:type="dxa"/>
            <w:tcBorders/>
            <w:vAlign w:val="center"/>
          </w:tcPr>
          <w:p>
            <w:pPr>
              <w:pStyle w:val="TableContents"/>
              <w:bidi w:val="0"/>
              <w:spacing w:lineRule="atLeast" w:line="200" w:before="0" w:after="0"/>
              <w:jc w:val="left"/>
              <w:rPr/>
            </w:pPr>
            <w:r>
              <w:rPr>
                <w:spacing w:val="-1"/>
              </w:rPr>
              <w:t xml:space="preserve">Minerals Technologies Inc. </w:t>
              <w:br/>
              <w:t xml:space="preserve">Attention: Secretary </w:t>
              <w:br/>
              <w:t xml:space="preserve">622 Third Avenue, 38th Floor </w:t>
              <w:br/>
              <w:t>New York, New York 10017-6707</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intended to be considered at an annual meeting, the nomination or proposed item of business must be received not less than 70 days nor more than 90 days in advance of the first anniversary of the previous year’s annual meeting. Therefore, for purposes of the 2027 Annual Meeting, any nomination or proposal must be received between February 19 and March 11, 2027. With respect to any other meeting of shareholders, the nomination or item of business must be received not later than the close of business on the tenth day following the date of our public announcement of the date of the meeting. Under the rules of the Securities and Exchange Commission (“SEC”), if a shareholder proposal intended to be presented at the 2027 Annual Meeting is to be included in the proxy statement and form of proxy relating to that meeting, we must receive the proposal at the address above no later than 120 days before the anniversary of the mailing date of the Company’s proxy statement in connection with the 2026 Annual Meeting. Therefore, for purposes of the 2027 Annual Meeting, any such proposal must be received no later than December 3,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nomination or item of business must contain: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name and address of the shareholder giving notice, as they appear in our books (and of the beneficial owner, if other than the shareholder, on whose behalf the proposal is made);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1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class and number of shares of stock owned of record or beneficially by the shareholder giving notice (and by the beneficial owner, if other than the shareholder, on whose behalf the proposal is made);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8">
                <wp:simplePos x="0" y="0"/>
                <wp:positionH relativeFrom="column">
                  <wp:align>left</wp:align>
                </wp:positionH>
                <wp:positionV relativeFrom="line">
                  <wp:align>top</wp:align>
                </wp:positionV>
                <wp:extent cx="127000" cy="350520"/>
                <wp:effectExtent l="0" t="0" r="0" b="0"/>
                <wp:wrapSquare wrapText="right"/>
                <wp:docPr id="51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representation that the shareholder is a holder of record of stock entitled to vote at the meeting, and intends to appear at the meeting in person or by proxy to make the proposal;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1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representation whether the shareholder (or beneficial owner, if any) intends, or is part of a group which intends, to deliver a proxy statement and form of proxy to holders of at least the percentage of outstanding stock required to elect the nominee or approve the proposal and/or otherwise solicit proxies from shareholders in support of the nomination or proposal.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1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notice regarding the introduction of an item of business at a meeting of shareholders must also include: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brief description of the business desired to be brought before the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1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reason for conducting the business at the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1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material interest in the item of business of the shareholder giving notice (and of the beneficial owner, if other than the shareholder, on whose behalf the proposal is made);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51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the business includes a proposal to amend the by-laws, the language of the proposed amendment.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84">
                <wp:simplePos x="0" y="0"/>
                <wp:positionH relativeFrom="column">
                  <wp:align>left</wp:align>
                </wp:positionH>
                <wp:positionV relativeFrom="line">
                  <wp:align>top</wp:align>
                </wp:positionV>
                <wp:extent cx="127000" cy="350520"/>
                <wp:effectExtent l="0" t="0" r="0" b="0"/>
                <wp:wrapSquare wrapText="right"/>
                <wp:docPr id="51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nomination of a candidate for director must also include: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signed consent of the nominee to serve as a director, and a written representation by the nominee that, if elected, he or she will comply with all of the Company’s policies and guidelines applicable to the directors;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585">
                <wp:simplePos x="0" y="0"/>
                <wp:positionH relativeFrom="column">
                  <wp:align>left</wp:align>
                </wp:positionH>
                <wp:positionV relativeFrom="line">
                  <wp:align>top</wp:align>
                </wp:positionV>
                <wp:extent cx="127000" cy="350520"/>
                <wp:effectExtent l="0" t="0" r="0" b="0"/>
                <wp:wrapSquare wrapText="right"/>
                <wp:docPr id="52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name, age, business address, residential address, and principal occupation or employment of the nominee;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86">
                <wp:simplePos x="0" y="0"/>
                <wp:positionH relativeFrom="column">
                  <wp:align>left</wp:align>
                </wp:positionH>
                <wp:positionV relativeFrom="line">
                  <wp:align>top</wp:align>
                </wp:positionV>
                <wp:extent cx="127000" cy="350520"/>
                <wp:effectExtent l="0" t="0" r="0" b="0"/>
                <wp:wrapSquare wrapText="right"/>
                <wp:docPr id="52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number of shares of the Company’s common stock beneficially owned by the nominee;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587">
                <wp:simplePos x="0" y="0"/>
                <wp:positionH relativeFrom="column">
                  <wp:align>left</wp:align>
                </wp:positionH>
                <wp:positionV relativeFrom="line">
                  <wp:align>top</wp:align>
                </wp:positionV>
                <wp:extent cx="127000" cy="350520"/>
                <wp:effectExtent l="0" t="0" r="0" b="0"/>
                <wp:wrapSquare wrapText="right"/>
                <wp:docPr id="52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any additional information that would be required under the rules of the SEC in a proxy statement soliciting proxies for the election of that nominee as a director. </w:t>
      </w:r>
      <w:r>
        <mc:AlternateContent>
          <mc:Choice Requires="wps">
            <w:drawing>
              <wp:anchor behindDoc="0" distT="25400" distB="0" distL="0" distR="0" simplePos="0" locked="0" layoutInCell="1" allowOverlap="1" relativeHeight="588">
                <wp:simplePos x="0" y="0"/>
                <wp:positionH relativeFrom="column">
                  <wp:align>left</wp:align>
                </wp:positionH>
                <wp:positionV relativeFrom="line">
                  <wp:align>top</wp:align>
                </wp:positionV>
                <wp:extent cx="127000" cy="350520"/>
                <wp:effectExtent l="0" t="0" r="0" b="0"/>
                <wp:wrapSquare wrapText="right"/>
                <wp:docPr id="52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27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PRAC"/>
      <w:bookmarkEnd w:id="33"/>
      <w:r>
        <w:rPr>
          <w:rFonts w:ascii="calibri;arial;sans-serif" w:hAnsi="calibri;arial;sans-serif"/>
          <w:b w:val="false"/>
          <w:i w:val="false"/>
          <w:caps w:val="false"/>
          <w:smallCaps w:val="false"/>
          <w:color w:val="000000"/>
          <w:sz w:val="16"/>
        </w:rPr>
        <w:t>​</w:t>
      </w:r>
      <w:bookmarkStart w:id="34" w:name="tMAVO"/>
      <w:bookmarkEnd w:id="34"/>
      <w:r>
        <w:rPr>
          <w:rFonts w:ascii="calibri;arial;sans-serif" w:hAnsi="calibri;arial;sans-serif"/>
          <w:b w:val="false"/>
          <w:i w:val="false"/>
          <w:caps w:val="false"/>
          <w:smallCaps w:val="false"/>
          <w:color w:val="000000"/>
          <w:sz w:val="16"/>
        </w:rPr>
        <w:t>​</w:t>
      </w:r>
      <w:bookmarkStart w:id="35" w:name="tCWD"/>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PROXY ACCESS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to the shareholder nomination process outlined above, our by-laws provide that under certain circumstances, a shareholder or group of shareholders may include director candidates that they have nominated in our annual meeting proxy statement. These “proxy access” provisions of our by-laws provide, among other things, that a shareholder or group of up to twenty shareholders seeking to include director candidates in our annual meeting proxy statement must own 3% or more of our outstanding common stock continuously for at least the previous three years. The number of shareholder-nominated candidates appearing in any annual meeting proxy statement cannot exceed 20% of the number of directors then serving on the Board or two directors, whichever is greater. If 20% is not a whole number, the maximum number of shareholder-nominated candidates would be the closest whole number below 20%. Based on the current Board size of ten directors, the maximum number of proxy access candidates that we would be required to include in our proxy materials for an annual meeting is two. Nominees submitted under the proxy access procedures that are later withdrawn or are included in the proxy materials as Board-nominated candidates will be counted in determining whether the 20% maximum has been reached. If the number of shareholder-nominated candidates exceeds the maximum, each nominating shareholder or group of shareholders may select one nominee for inclusion in our proxy materials until the maximum number is reached. The order of selection would be determined by the amount (largest to smallest) of shares of our common stock held by each nominating shareholder or group of shareholders. The nominating shareholder or group of shareholders also must deliver the information required by our by-laws, and each nominee must meet the qualifications required by our by-laws. Requests to include shareholder-nominated candidates in our proxy materials must be received by the Secretary of Minerals Technologies Inc. no earlier than 150 calendar days and no later than 120 calendar days before the anniversary of the date that the Company mailed its proxy statement for the prior year’s annual meeting of stockholders. Accordingly, any such nominations for next year’s annual meeting must be received not earlier than November 3, 2026 and not later than December 3,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MAJORITY VOTING</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by-laws provide for majority voting for directors. Under the by-laws, in order for a director to be elected at the annual meeting in an uncontested election, a majority of the votes cast with respect to the director’s election must be cast “for” the director. Any nominee for director who is an incumbent director and receives a greater number of votes “withheld” or “against” his or her election than votes “for” his or her election must, under the Company’s Corporate Governance Guidelines, promptly tender his or her resignation to the Chairperson of the Corporate Governance and Nominating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Committee must then recommend to the Board, within 90 days after the election, whether to accept or reject the resignation. Regardless of whether the Board accepts or rejects the tendered resignation, the Company must then promptly file a Current Report on Form 8-K with the SEC in which it publicly discloses and explains the Board’s decision. In the event of a contested election of directors (an election of directors in which the number of candidates for election as directors exceeds the number of directors to be elected), directors will continue to be elected by the vote of a plurality of the shares represented in person or by proxy and entitled to vote on the election of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COMMUNICATIONS WITH DIRECTORS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Shareholders and any other interested parties may communicate by email with the independent members of the Board at the following address: </w:t>
      </w:r>
      <w:r>
        <w:rPr>
          <w:rFonts w:ascii="Arial;Helvetica;sans-serif" w:hAnsi="Arial;Helvetica;sans-serif"/>
          <w:b w:val="false"/>
          <w:i w:val="false"/>
          <w:caps w:val="false"/>
          <w:smallCaps w:val="false"/>
          <w:color w:val="002F56"/>
          <w:spacing w:val="-1"/>
          <w:sz w:val="18"/>
        </w:rPr>
        <w:t>independent.directors@mineralstech.com</w:t>
      </w:r>
      <w:r>
        <w:rPr>
          <w:rFonts w:ascii="Arial;Helvetica;sans-serif" w:hAnsi="Arial;Helvetica;sans-serif"/>
          <w:b w:val="false"/>
          <w:i w:val="false"/>
          <w:caps w:val="false"/>
          <w:smallCaps w:val="false"/>
          <w:color w:val="000000"/>
          <w:spacing w:val="-1"/>
          <w:sz w:val="18"/>
        </w:rPr>
        <w:t xml:space="preserve">. The independent members of the Board have access to all messages sent to this address; the messages are monitored by the office of the General Counsel of the Company. No message sent to this address will be deleted without the approval of the chair of the committee of the Board with primary responsibility for the principal subject matter of the message.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28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RAR"/>
      <w:bookmarkEnd w:id="36"/>
      <w:r>
        <w:rPr>
          <w:rFonts w:ascii="calibri;arial;sans-serif" w:hAnsi="calibri;arial;sans-serif"/>
          <w:b w:val="false"/>
          <w:i w:val="false"/>
          <w:caps w:val="false"/>
          <w:smallCaps w:val="false"/>
          <w:color w:val="000000"/>
          <w:sz w:val="16"/>
        </w:rPr>
        <w:t>​</w:t>
      </w:r>
      <w:bookmarkStart w:id="37" w:name="tDC2"/>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CERTAIN RELATIONSHIPS AND RELATED TRANSACTIONS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320" w:before="38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POLICIES AND PROCEDURES FOR APPROVAL OF RELATED PARTY TRANSACTIONS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2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recognizes that related party transactions can present potential or actual conflicts of interest and create the appearance that Company decisions are based on considerations other than the Company’s best interests and those of our shareholders. Therefore, our Board has adopted a formal, written policy with respect to related party transactions.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the purpose of the policy, a “related party transaction” is a transaction in which the Company participates and in which any related party has a direct or indirect material interest, other than (1) transactions available to all employees or customers generally or (2) transactions involving less than $120,000 when aggregated with all similar transactions during the course of the fiscal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policy, a related party transaction may be entered into only (1) if the Corporate Governance and Nominating Committee approves or ratifies such transaction and if the transaction is on terms comparable to those that could be obtained in arm’s-length dealings with an unrelated third party, or (2) if the transaction has been approved by the disinterested members of the Board. Related party transactions may be approved or ratified only if the Corporate Governance and Nominating Committee or the disinterested members of the Board determine that, under all of the circumstances, the transaction is in the best interests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2025 RELATED PARTY TRANSACTIONS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2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Since January 1, 2025, there has not been, nor is there currently proposed, any related party transaction in which the amount involved exceeded or will exceed $120,000 and in which any related person had or will have a direct or indirect material interest.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DIRECTOR COMPENSATION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2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summarizes the annual compensation for the Company’s independent, non-employee directors during 2025. Each compensation element is discussed in the text following the table.</w:t>
      </w:r>
      <w:r>
        <w:rPr>
          <w:rFonts w:ascii="Arial;Helvetica;sans-serif" w:hAnsi="Arial;Helvetica;sans-serif"/>
          <w:b w:val="false"/>
          <w:i w:val="false"/>
          <w:caps w:val="false"/>
          <w:smallCaps w:val="false"/>
          <w:color w:val="000000"/>
          <w:spacing w:val="4"/>
          <w:sz w:val="18"/>
        </w:rPr>
        <w:t xml:space="preserve"> </w:t>
      </w:r>
    </w:p>
    <w:tbl>
      <w:tblPr>
        <w:tblW w:w="9020" w:type="dxa"/>
        <w:jc w:val="left"/>
        <w:tblInd w:w="1020" w:type="dxa"/>
        <w:tblLayout w:type="fixed"/>
        <w:tblCellMar>
          <w:top w:w="0" w:type="dxa"/>
          <w:left w:w="0" w:type="dxa"/>
          <w:bottom w:w="0" w:type="dxa"/>
          <w:right w:w="0" w:type="dxa"/>
        </w:tblCellMar>
      </w:tblPr>
      <w:tblGrid>
        <w:gridCol w:w="124"/>
        <w:gridCol w:w="2461"/>
        <w:gridCol w:w="109"/>
        <w:gridCol w:w="109"/>
        <w:gridCol w:w="114"/>
        <w:gridCol w:w="114"/>
        <w:gridCol w:w="992"/>
        <w:gridCol w:w="114"/>
        <w:gridCol w:w="109"/>
        <w:gridCol w:w="109"/>
        <w:gridCol w:w="109"/>
        <w:gridCol w:w="109"/>
        <w:gridCol w:w="886"/>
        <w:gridCol w:w="109"/>
        <w:gridCol w:w="109"/>
        <w:gridCol w:w="109"/>
        <w:gridCol w:w="163"/>
        <w:gridCol w:w="163"/>
        <w:gridCol w:w="1156"/>
        <w:gridCol w:w="167"/>
        <w:gridCol w:w="109"/>
        <w:gridCol w:w="109"/>
        <w:gridCol w:w="109"/>
        <w:gridCol w:w="109"/>
        <w:gridCol w:w="886"/>
        <w:gridCol w:w="109"/>
        <w:gridCol w:w="154"/>
      </w:tblGrid>
      <w:tr>
        <w:trPr/>
        <w:tc>
          <w:tcPr>
            <w:tcW w:w="124" w:type="dxa"/>
            <w:tcBorders/>
            <w:shd w:fill="002F56" w:val="clear"/>
            <w:vAlign w:val="center"/>
          </w:tcPr>
          <w:p>
            <w:pPr>
              <w:pStyle w:val="TableContents"/>
              <w:bidi w:val="0"/>
              <w:spacing w:before="0" w:after="283"/>
              <w:jc w:val="left"/>
              <w:rPr/>
            </w:pPr>
            <w:r>
              <w:rPr/>
              <w:t>​</w:t>
            </w:r>
          </w:p>
        </w:tc>
        <w:tc>
          <w:tcPr>
            <w:tcW w:w="2461" w:type="dxa"/>
            <w:tcBorders/>
            <w:shd w:fill="002F56" w:val="clear"/>
            <w:vAlign w:val="center"/>
          </w:tcPr>
          <w:p>
            <w:pPr>
              <w:pStyle w:val="TableContents"/>
              <w:bidi w:val="0"/>
              <w:spacing w:before="0" w:after="0"/>
              <w:jc w:val="left"/>
              <w:rPr>
                <w:spacing w:val="0"/>
              </w:rPr>
            </w:pPr>
            <w:r>
              <w:rPr>
                <w:spacing w:val="0"/>
              </w:rPr>
              <w:t xml:space="preserve">Non-Employee Director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34" w:type="dxa"/>
            <w:gridSpan w:val="4"/>
            <w:tcBorders/>
            <w:shd w:fill="002F56" w:val="clear"/>
            <w:vAlign w:val="center"/>
          </w:tcPr>
          <w:p>
            <w:pPr>
              <w:pStyle w:val="TableContents"/>
              <w:bidi w:val="0"/>
              <w:spacing w:lineRule="atLeast" w:line="179" w:before="0" w:after="0"/>
              <w:jc w:val="center"/>
              <w:rPr/>
            </w:pPr>
            <w:r>
              <w:rPr>
                <w:spacing w:val="0"/>
              </w:rPr>
              <w:t xml:space="preserve">Fees Earned </w:t>
              <w:br/>
              <w:t xml:space="preserve">or Paid in </w:t>
              <w:br/>
              <w:t>Cash</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213" w:type="dxa"/>
            <w:gridSpan w:val="4"/>
            <w:tcBorders/>
            <w:shd w:fill="002F56" w:val="clear"/>
            <w:vAlign w:val="center"/>
          </w:tcPr>
          <w:p>
            <w:pPr>
              <w:pStyle w:val="TableContents"/>
              <w:bidi w:val="0"/>
              <w:spacing w:lineRule="atLeast" w:line="142" w:before="0" w:after="0"/>
              <w:jc w:val="center"/>
              <w:rPr/>
            </w:pPr>
            <w:r>
              <w:rPr>
                <w:spacing w:val="0"/>
              </w:rPr>
              <w:t xml:space="preserve">Stock </w:t>
              <w:br/>
              <w:t>Awards</w:t>
            </w:r>
            <w:r>
              <w:rPr>
                <w:spacing w:val="-2"/>
                <w:sz w:val="10"/>
              </w:rPr>
              <w:t>(1)</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649" w:type="dxa"/>
            <w:gridSpan w:val="4"/>
            <w:tcBorders/>
            <w:shd w:fill="002F56" w:val="clear"/>
            <w:vAlign w:val="center"/>
          </w:tcPr>
          <w:p>
            <w:pPr>
              <w:pStyle w:val="TableContents"/>
              <w:bidi w:val="0"/>
              <w:spacing w:lineRule="atLeast" w:line="142" w:before="0" w:after="0"/>
              <w:jc w:val="center"/>
              <w:rPr/>
            </w:pPr>
            <w:r>
              <w:rPr>
                <w:spacing w:val="0"/>
              </w:rPr>
              <w:t xml:space="preserve">All Other </w:t>
              <w:br/>
              <w:t>Compensation</w:t>
            </w:r>
            <w:r>
              <w:rPr>
                <w:spacing w:val="-2"/>
                <w:sz w:val="10"/>
              </w:rPr>
              <w:t>(2)</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213" w:type="dxa"/>
            <w:gridSpan w:val="4"/>
            <w:tcBorders/>
            <w:shd w:fill="002F56" w:val="clear"/>
            <w:vAlign w:val="center"/>
          </w:tcPr>
          <w:p>
            <w:pPr>
              <w:pStyle w:val="TableContents"/>
              <w:bidi w:val="0"/>
              <w:spacing w:lineRule="atLeast" w:line="179" w:before="0" w:after="0"/>
              <w:jc w:val="center"/>
              <w:rPr/>
            </w:pPr>
            <w:r>
              <w:rPr>
                <w:spacing w:val="0"/>
              </w:rPr>
              <w:t>Total</w:t>
            </w:r>
            <w:r>
              <w:rPr/>
              <w:t xml:space="preserve"> </w:t>
              <w:br/>
            </w:r>
            <w:r>
              <w:rPr>
                <w:spacing w:val="-2"/>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Joseph C. Breunig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110,000</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8,499</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263,499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John J. Carmola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 xml:space="preserve">112,500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11,352</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268,852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Robert L. Clark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130,000</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13,918</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288,918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Alison A. Deans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95,000</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6,628</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246,628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Franklin L. Feder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97,500</w:t>
            </w:r>
            <w:r>
              <w:rPr>
                <w:sz w:val="11"/>
              </w:rPr>
              <w:t>(3)</w:t>
            </w:r>
            <w:r>
              <w:rPr/>
              <w:t xml:space="preserve">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9,744</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252,244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Kristina M. Johnson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97,500</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1,550</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244,050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Rocky Motwani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97,500</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2,491</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244,991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461"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Carolyn K. Pittman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14" w:type="dxa"/>
            <w:tcBorders>
              <w:bottom w:val="single" w:sz="6" w:space="0" w:color="BFBFBF"/>
            </w:tcBorders>
            <w:tcMar>
              <w:bottom w:w="47" w:type="dxa"/>
            </w:tcMar>
            <w:vAlign w:val="center"/>
          </w:tcPr>
          <w:p>
            <w:pPr>
              <w:pStyle w:val="TableContents"/>
              <w:bidi w:val="0"/>
              <w:spacing w:before="0" w:after="283"/>
              <w:jc w:val="right"/>
              <w:rPr/>
            </w:pPr>
            <w:r>
              <w:rPr/>
              <w:t>​</w:t>
            </w:r>
          </w:p>
        </w:tc>
        <w:tc>
          <w:tcPr>
            <w:tcW w:w="992" w:type="dxa"/>
            <w:tcBorders>
              <w:bottom w:val="single" w:sz="6" w:space="0" w:color="BFBFBF"/>
            </w:tcBorders>
            <w:tcMar>
              <w:bottom w:w="47" w:type="dxa"/>
            </w:tcMar>
            <w:vAlign w:val="center"/>
          </w:tcPr>
          <w:p>
            <w:pPr>
              <w:pStyle w:val="TableContents"/>
              <w:bidi w:val="0"/>
              <w:spacing w:before="0" w:after="283"/>
              <w:jc w:val="right"/>
              <w:rPr/>
            </w:pPr>
            <w:r>
              <w:rPr/>
              <w:t>97,500</w:t>
            </w:r>
            <w:r>
              <w:rPr>
                <w:sz w:val="11"/>
              </w:rPr>
              <w:t>(3)</w:t>
            </w:r>
            <w:r>
              <w:rPr/>
              <w:t xml:space="preserve"> </w:t>
            </w:r>
          </w:p>
        </w:tc>
        <w:tc>
          <w:tcPr>
            <w:tcW w:w="11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145,000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47" w:type="dxa"/>
            </w:tcMar>
            <w:vAlign w:val="center"/>
          </w:tcPr>
          <w:p>
            <w:pPr>
              <w:pStyle w:val="TableContents"/>
              <w:bidi w:val="0"/>
              <w:spacing w:before="0" w:after="283"/>
              <w:jc w:val="right"/>
              <w:rPr/>
            </w:pPr>
            <w:r>
              <w:rPr/>
              <w:t>​</w:t>
            </w:r>
          </w:p>
        </w:tc>
        <w:tc>
          <w:tcPr>
            <w:tcW w:w="1156" w:type="dxa"/>
            <w:tcBorders>
              <w:bottom w:val="single" w:sz="6" w:space="0" w:color="BFBFBF"/>
            </w:tcBorders>
            <w:tcMar>
              <w:bottom w:w="47" w:type="dxa"/>
            </w:tcMar>
            <w:vAlign w:val="center"/>
          </w:tcPr>
          <w:p>
            <w:pPr>
              <w:pStyle w:val="TableContents"/>
              <w:bidi w:val="0"/>
              <w:spacing w:before="0" w:after="283"/>
              <w:jc w:val="right"/>
              <w:rPr/>
            </w:pPr>
            <w:r>
              <w:rPr/>
              <w:t>7,939</w:t>
            </w:r>
          </w:p>
        </w:tc>
        <w:tc>
          <w:tcPr>
            <w:tcW w:w="167"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886" w:type="dxa"/>
            <w:tcBorders>
              <w:bottom w:val="single" w:sz="6" w:space="0" w:color="BFBFBF"/>
            </w:tcBorders>
            <w:tcMar>
              <w:bottom w:w="47" w:type="dxa"/>
            </w:tcMar>
            <w:vAlign w:val="center"/>
          </w:tcPr>
          <w:p>
            <w:pPr>
              <w:pStyle w:val="TableContents"/>
              <w:bidi w:val="0"/>
              <w:spacing w:before="0" w:after="283"/>
              <w:jc w:val="right"/>
              <w:rPr/>
            </w:pPr>
            <w:r>
              <w:rPr/>
              <w:t>250,439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2461"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Marc E. Robinson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14" w:type="dxa"/>
            <w:tcBorders>
              <w:bottom w:val="single" w:sz="12" w:space="0" w:color="71B1C8"/>
            </w:tcBorders>
            <w:tcMar>
              <w:bottom w:w="28" w:type="dxa"/>
            </w:tcMar>
            <w:vAlign w:val="center"/>
          </w:tcPr>
          <w:p>
            <w:pPr>
              <w:pStyle w:val="TableContents"/>
              <w:bidi w:val="0"/>
              <w:spacing w:before="0" w:after="283"/>
              <w:jc w:val="left"/>
              <w:rPr/>
            </w:pPr>
            <w:r>
              <w:rPr/>
              <w:t>​</w:t>
            </w:r>
          </w:p>
        </w:tc>
        <w:tc>
          <w:tcPr>
            <w:tcW w:w="114" w:type="dxa"/>
            <w:tcBorders>
              <w:bottom w:val="single" w:sz="12" w:space="0" w:color="71B1C8"/>
            </w:tcBorders>
            <w:tcMar>
              <w:bottom w:w="28" w:type="dxa"/>
            </w:tcMar>
            <w:vAlign w:val="center"/>
          </w:tcPr>
          <w:p>
            <w:pPr>
              <w:pStyle w:val="TableContents"/>
              <w:bidi w:val="0"/>
              <w:spacing w:before="0" w:after="283"/>
              <w:jc w:val="right"/>
              <w:rPr/>
            </w:pPr>
            <w:r>
              <w:rPr/>
              <w:t>​</w:t>
            </w:r>
          </w:p>
        </w:tc>
        <w:tc>
          <w:tcPr>
            <w:tcW w:w="992" w:type="dxa"/>
            <w:tcBorders>
              <w:bottom w:val="single" w:sz="12" w:space="0" w:color="71B1C8"/>
            </w:tcBorders>
            <w:tcMar>
              <w:bottom w:w="28" w:type="dxa"/>
            </w:tcMar>
            <w:vAlign w:val="center"/>
          </w:tcPr>
          <w:p>
            <w:pPr>
              <w:pStyle w:val="TableContents"/>
              <w:bidi w:val="0"/>
              <w:spacing w:before="0" w:after="283"/>
              <w:jc w:val="right"/>
              <w:rPr/>
            </w:pPr>
            <w:r>
              <w:rPr/>
              <w:t>117,500</w:t>
            </w:r>
          </w:p>
        </w:tc>
        <w:tc>
          <w:tcPr>
            <w:tcW w:w="114"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886" w:type="dxa"/>
            <w:tcBorders>
              <w:bottom w:val="single" w:sz="12" w:space="0" w:color="71B1C8"/>
            </w:tcBorders>
            <w:tcMar>
              <w:bottom w:w="28" w:type="dxa"/>
            </w:tcMar>
            <w:vAlign w:val="center"/>
          </w:tcPr>
          <w:p>
            <w:pPr>
              <w:pStyle w:val="TableContents"/>
              <w:bidi w:val="0"/>
              <w:spacing w:before="0" w:after="283"/>
              <w:jc w:val="right"/>
              <w:rPr/>
            </w:pPr>
            <w:r>
              <w:rPr/>
              <w:t>145,000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63" w:type="dxa"/>
            <w:tcBorders>
              <w:bottom w:val="single" w:sz="12" w:space="0" w:color="71B1C8"/>
            </w:tcBorders>
            <w:tcMar>
              <w:bottom w:w="28" w:type="dxa"/>
            </w:tcMar>
            <w:vAlign w:val="center"/>
          </w:tcPr>
          <w:p>
            <w:pPr>
              <w:pStyle w:val="TableContents"/>
              <w:bidi w:val="0"/>
              <w:spacing w:before="0" w:after="283"/>
              <w:jc w:val="left"/>
              <w:rPr/>
            </w:pPr>
            <w:r>
              <w:rPr/>
              <w:t>​</w:t>
            </w:r>
          </w:p>
        </w:tc>
        <w:tc>
          <w:tcPr>
            <w:tcW w:w="163" w:type="dxa"/>
            <w:tcBorders>
              <w:bottom w:val="single" w:sz="12" w:space="0" w:color="71B1C8"/>
            </w:tcBorders>
            <w:tcMar>
              <w:bottom w:w="28" w:type="dxa"/>
            </w:tcMar>
            <w:vAlign w:val="center"/>
          </w:tcPr>
          <w:p>
            <w:pPr>
              <w:pStyle w:val="TableContents"/>
              <w:bidi w:val="0"/>
              <w:spacing w:before="0" w:after="283"/>
              <w:jc w:val="right"/>
              <w:rPr/>
            </w:pPr>
            <w:r>
              <w:rPr/>
              <w:t>​</w:t>
            </w:r>
          </w:p>
        </w:tc>
        <w:tc>
          <w:tcPr>
            <w:tcW w:w="1156" w:type="dxa"/>
            <w:tcBorders>
              <w:bottom w:val="single" w:sz="12" w:space="0" w:color="71B1C8"/>
            </w:tcBorders>
            <w:tcMar>
              <w:bottom w:w="28" w:type="dxa"/>
            </w:tcMar>
            <w:vAlign w:val="center"/>
          </w:tcPr>
          <w:p>
            <w:pPr>
              <w:pStyle w:val="TableContents"/>
              <w:bidi w:val="0"/>
              <w:spacing w:before="0" w:after="283"/>
              <w:jc w:val="right"/>
              <w:rPr/>
            </w:pPr>
            <w:r>
              <w:rPr/>
              <w:t>10,888</w:t>
            </w:r>
          </w:p>
        </w:tc>
        <w:tc>
          <w:tcPr>
            <w:tcW w:w="167"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886" w:type="dxa"/>
            <w:tcBorders>
              <w:bottom w:val="single" w:sz="12" w:space="0" w:color="71B1C8"/>
            </w:tcBorders>
            <w:tcMar>
              <w:bottom w:w="28" w:type="dxa"/>
            </w:tcMar>
            <w:vAlign w:val="center"/>
          </w:tcPr>
          <w:p>
            <w:pPr>
              <w:pStyle w:val="TableContents"/>
              <w:bidi w:val="0"/>
              <w:spacing w:before="0" w:after="283"/>
              <w:jc w:val="right"/>
              <w:rPr/>
            </w:pPr>
            <w:r>
              <w:rPr/>
              <w:t>273,388</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44" w:after="0"/>
        <w:ind w:left="15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Amounts shown represent the aggregate grant date fair value computed in accordance with FASB ASC Topic 718 of phantom stock units awarded to each director pursuant to the Nonfunded Deferred Compensation and Unit Award Plan for Non-Employee Directors calculated by multiplying the number of units by the closing price of our common stock on the grant date. Each Non-Employee Director was granted 2,500 phantom stock units on May 14, 2025, on which date the closing price of our common stock was $58.00 per share. Such phantom stock units were non-forfeitable upon grant. </w:t>
      </w:r>
      <w:r>
        <mc:AlternateContent>
          <mc:Choice Requires="wps">
            <w:drawing>
              <wp:anchor behindDoc="0" distT="91440" distB="0" distL="76200" distR="0" simplePos="0" locked="0" layoutInCell="1" allowOverlap="1" relativeHeight="589">
                <wp:simplePos x="0" y="0"/>
                <wp:positionH relativeFrom="column">
                  <wp:align>left</wp:align>
                </wp:positionH>
                <wp:positionV relativeFrom="line">
                  <wp:align>top</wp:align>
                </wp:positionV>
                <wp:extent cx="254000" cy="254000"/>
                <wp:effectExtent l="0" t="0" r="0" b="0"/>
                <wp:wrapSquare wrapText="right"/>
                <wp:docPr id="524" name="Frame28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7.2pt;mso-wrap-distance-bottom:0pt;margin-top:7.2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8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following table lists the total number of phantom stock units held by each non-employee director as of December 31, 2025. The units are payable in cash upon the director’s termination of service on the Board. (See “</w:t>
      </w:r>
      <w:r>
        <w:rPr>
          <w:rFonts w:ascii="Arial;Helvetica;sans-serif" w:hAnsi="Arial;Helvetica;sans-serif"/>
          <w:b w:val="false"/>
          <w:i/>
          <w:caps w:val="false"/>
          <w:smallCaps w:val="false"/>
          <w:color w:val="000000"/>
          <w:sz w:val="16"/>
        </w:rPr>
        <w:t>Nonfunded Deferred Compensation and Unit Award Plan for Non-Employee Directors</w:t>
      </w:r>
      <w:r>
        <w:rPr>
          <w:rFonts w:ascii="Arial;Helvetica;sans-serif" w:hAnsi="Arial;Helvetica;sans-serif"/>
          <w:b w:val="false"/>
          <w:i w:val="false"/>
          <w:caps w:val="false"/>
          <w:smallCaps w:val="false"/>
          <w:color w:val="000000"/>
          <w:spacing w:val="-1"/>
          <w:sz w:val="16"/>
        </w:rPr>
        <w:t>” below.)</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29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tbl>
      <w:tblPr>
        <w:tblW w:w="5838" w:type="dxa"/>
        <w:jc w:val="left"/>
        <w:tblInd w:w="1020" w:type="dxa"/>
        <w:tblLayout w:type="fixed"/>
        <w:tblCellMar>
          <w:top w:w="0" w:type="dxa"/>
          <w:left w:w="0" w:type="dxa"/>
          <w:bottom w:w="0" w:type="dxa"/>
          <w:right w:w="0" w:type="dxa"/>
        </w:tblCellMar>
      </w:tblPr>
      <w:tblGrid>
        <w:gridCol w:w="124"/>
        <w:gridCol w:w="2072"/>
        <w:gridCol w:w="109"/>
        <w:gridCol w:w="109"/>
        <w:gridCol w:w="326"/>
        <w:gridCol w:w="326"/>
        <w:gridCol w:w="2292"/>
        <w:gridCol w:w="326"/>
        <w:gridCol w:w="154"/>
      </w:tblGrid>
      <w:tr>
        <w:trPr/>
        <w:tc>
          <w:tcPr>
            <w:tcW w:w="124" w:type="dxa"/>
            <w:tcBorders/>
            <w:shd w:fill="002F56" w:val="clear"/>
            <w:vAlign w:val="center"/>
          </w:tcPr>
          <w:p>
            <w:pPr>
              <w:pStyle w:val="TableContents"/>
              <w:bidi w:val="0"/>
              <w:spacing w:before="0" w:after="283"/>
              <w:jc w:val="left"/>
              <w:rPr/>
            </w:pPr>
            <w:r>
              <w:rPr/>
              <w:t>​</w:t>
            </w:r>
          </w:p>
        </w:tc>
        <w:tc>
          <w:tcPr>
            <w:tcW w:w="2072" w:type="dxa"/>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270" w:type="dxa"/>
            <w:gridSpan w:val="4"/>
            <w:tcBorders/>
            <w:shd w:fill="002F56" w:val="clear"/>
            <w:vAlign w:val="center"/>
          </w:tcPr>
          <w:p>
            <w:pPr>
              <w:pStyle w:val="TableContents"/>
              <w:bidi w:val="0"/>
              <w:spacing w:before="0" w:after="0"/>
              <w:jc w:val="center"/>
              <w:rPr/>
            </w:pPr>
            <w:r>
              <w:rPr>
                <w:spacing w:val="0"/>
              </w:rPr>
              <w:t>Number of Phantom Stock Units</w:t>
            </w:r>
            <w:r>
              <w:rPr/>
              <w:t xml:space="preserve"> </w:t>
              <w:br/>
            </w:r>
            <w:r>
              <w:rPr>
                <w:spacing w:val="-2"/>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Joseph C. Breunig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19,588</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John J. Carmola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25,957</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Robert L. Clark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31,686</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Alison A. Deans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15,412</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Franklin L. Feder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22,664</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Kristina M. Johnson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4,074</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Rocky Motwani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6,174</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072"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Carolyn K. Pittman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326" w:type="dxa"/>
            <w:tcBorders>
              <w:bottom w:val="single" w:sz="6" w:space="0" w:color="BFBFBF"/>
            </w:tcBorders>
            <w:tcMar>
              <w:bottom w:w="49" w:type="dxa"/>
            </w:tcMar>
            <w:vAlign w:val="center"/>
          </w:tcPr>
          <w:p>
            <w:pPr>
              <w:pStyle w:val="TableContents"/>
              <w:bidi w:val="0"/>
              <w:spacing w:before="0" w:after="283"/>
              <w:jc w:val="right"/>
              <w:rPr/>
            </w:pPr>
            <w:r>
              <w:rPr/>
              <w:t>​</w:t>
            </w:r>
          </w:p>
        </w:tc>
        <w:tc>
          <w:tcPr>
            <w:tcW w:w="2292" w:type="dxa"/>
            <w:tcBorders>
              <w:bottom w:val="single" w:sz="6" w:space="0" w:color="BFBFBF"/>
            </w:tcBorders>
            <w:tcMar>
              <w:bottom w:w="49" w:type="dxa"/>
            </w:tcMar>
            <w:vAlign w:val="center"/>
          </w:tcPr>
          <w:p>
            <w:pPr>
              <w:pStyle w:val="TableContents"/>
              <w:bidi w:val="0"/>
              <w:spacing w:before="0" w:after="283"/>
              <w:jc w:val="right"/>
              <w:rPr/>
            </w:pPr>
            <w:r>
              <w:rPr/>
              <w:t>18,456</w:t>
            </w:r>
          </w:p>
        </w:tc>
        <w:tc>
          <w:tcPr>
            <w:tcW w:w="326"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2072"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Marc E. Robinson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326" w:type="dxa"/>
            <w:tcBorders>
              <w:bottom w:val="single" w:sz="12" w:space="0" w:color="71B1C8"/>
            </w:tcBorders>
            <w:tcMar>
              <w:bottom w:w="28" w:type="dxa"/>
            </w:tcMar>
            <w:vAlign w:val="center"/>
          </w:tcPr>
          <w:p>
            <w:pPr>
              <w:pStyle w:val="TableContents"/>
              <w:bidi w:val="0"/>
              <w:spacing w:before="0" w:after="283"/>
              <w:jc w:val="left"/>
              <w:rPr/>
            </w:pPr>
            <w:r>
              <w:rPr/>
              <w:t>​</w:t>
            </w:r>
          </w:p>
        </w:tc>
        <w:tc>
          <w:tcPr>
            <w:tcW w:w="326" w:type="dxa"/>
            <w:tcBorders>
              <w:bottom w:val="single" w:sz="12" w:space="0" w:color="71B1C8"/>
            </w:tcBorders>
            <w:tcMar>
              <w:bottom w:w="28" w:type="dxa"/>
            </w:tcMar>
            <w:vAlign w:val="center"/>
          </w:tcPr>
          <w:p>
            <w:pPr>
              <w:pStyle w:val="TableContents"/>
              <w:bidi w:val="0"/>
              <w:spacing w:before="0" w:after="283"/>
              <w:jc w:val="right"/>
              <w:rPr/>
            </w:pPr>
            <w:r>
              <w:rPr/>
              <w:t>​</w:t>
            </w:r>
          </w:p>
        </w:tc>
        <w:tc>
          <w:tcPr>
            <w:tcW w:w="2292" w:type="dxa"/>
            <w:tcBorders>
              <w:bottom w:val="single" w:sz="12" w:space="0" w:color="71B1C8"/>
            </w:tcBorders>
            <w:tcMar>
              <w:bottom w:w="28" w:type="dxa"/>
            </w:tcMar>
            <w:vAlign w:val="center"/>
          </w:tcPr>
          <w:p>
            <w:pPr>
              <w:pStyle w:val="TableContents"/>
              <w:bidi w:val="0"/>
              <w:spacing w:before="0" w:after="283"/>
              <w:jc w:val="right"/>
              <w:rPr/>
            </w:pPr>
            <w:r>
              <w:rPr/>
              <w:t>24,921</w:t>
            </w:r>
          </w:p>
        </w:tc>
        <w:tc>
          <w:tcPr>
            <w:tcW w:w="326"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13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Company does not currently compensate its non-employee directors with stock options or non-equity incentive plan compensation, nor do non-employee directors participate in the Company’s pension plans.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All Other Compensation consists of the value of dividends earned on phantom stock units, in the amount of $0.11 per unit awarded quarterly for the first three quarters and $0.12 per unit awarded for the fourth quarter and calculated by multiplying the number of units held by the director on the dividend record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25"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During 2025, Mr. Feder and Ms. Pittman elected to partially defer their fees, in units which have the economic value of one share of the Company’s stock as permitted under the Nonfunded Deferred Compensation and Unit Award Plan for Non-Employee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26"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NONFUNDED DEFERRED COMPENSATION AND UNIT AWARD PLAN FOR NON-EMPLOYEE DIRECTORS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Nonfunded Deferred Compensation and Unit Award Plan for Non-Employee Directors, directors who are not employees of the Company have the right to defer their fees. Deferred fees are credited as phantom stock units, each of which is the equivalent of one share of the Company’s common stock. The number of units credited to a director’s account is calculated by dividing the amount of the deferred fees by the closing price of the Company’s common stock on the date such fees accrue. Amounts credited to a unit account are distributed in cash upon the director’s separation from service.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During 2025, each of the non-employee directors received an annual retainer fee of $225,000, comprised of $80,000 paid in cash and $145,000 in units, for serving as a director. In addition, the following Committee retainer fees were paid: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47700" distR="0" simplePos="0" locked="0" layoutInCell="1" allowOverlap="1" relativeHeight="50">
                <wp:simplePos x="0" y="0"/>
                <wp:positionH relativeFrom="column">
                  <wp:align>left</wp:align>
                </wp:positionH>
                <wp:positionV relativeFrom="line">
                  <wp:posOffset>635</wp:posOffset>
                </wp:positionV>
                <wp:extent cx="2184400" cy="1668145"/>
                <wp:effectExtent l="0" t="0" r="0" b="0"/>
                <wp:wrapSquare wrapText="right"/>
                <wp:docPr id="527" name="Frame286"/>
                <a:graphic xmlns:a="http://schemas.openxmlformats.org/drawingml/2006/main">
                  <a:graphicData uri="http://schemas.microsoft.com/office/word/2010/wordprocessingShape">
                    <wps:wsp>
                      <wps:cNvSpPr txBox="1"/>
                      <wps:spPr>
                        <a:xfrm>
                          <a:off x="0" y="0"/>
                          <a:ext cx="2184400" cy="1668145"/>
                        </a:xfrm>
                        <a:prstGeom prst="rect"/>
                        <a:solidFill>
                          <a:srgbClr val="FFFFFF"/>
                        </a:solidFill>
                      </wps:spPr>
                      <wps:txbx>
                        <w:txbxContent>
                          <w:tbl>
                            <w:tblPr>
                              <w:tblW w:w="3529" w:type="dxa"/>
                              <w:jc w:val="left"/>
                              <w:tblInd w:w="0" w:type="dxa"/>
                              <w:tblLayout w:type="fixed"/>
                              <w:tblCellMar>
                                <w:top w:w="0" w:type="dxa"/>
                                <w:left w:w="0" w:type="dxa"/>
                                <w:bottom w:w="0" w:type="dxa"/>
                                <w:right w:w="0" w:type="dxa"/>
                              </w:tblCellMar>
                            </w:tblPr>
                            <w:tblGrid>
                              <w:gridCol w:w="124"/>
                              <w:gridCol w:w="3251"/>
                              <w:gridCol w:w="154"/>
                            </w:tblGrid>
                            <w:tr>
                              <w:trPr/>
                              <w:tc>
                                <w:tcPr>
                                  <w:tcW w:w="124" w:type="dxa"/>
                                  <w:tcBorders/>
                                  <w:shd w:fill="002F56" w:val="clear"/>
                                  <w:vAlign w:val="center"/>
                                </w:tcPr>
                                <w:p>
                                  <w:pPr>
                                    <w:pStyle w:val="TableContents"/>
                                    <w:bidi w:val="0"/>
                                    <w:spacing w:before="0" w:after="283"/>
                                    <w:jc w:val="left"/>
                                    <w:rPr/>
                                  </w:pPr>
                                  <w:r>
                                    <w:rPr/>
                                    <w:t>​</w:t>
                                  </w:r>
                                </w:p>
                              </w:tc>
                              <w:tc>
                                <w:tcPr>
                                  <w:tcW w:w="3251" w:type="dxa"/>
                                  <w:tcBorders/>
                                  <w:shd w:fill="002F56" w:val="clear"/>
                                  <w:vAlign w:val="center"/>
                                </w:tcPr>
                                <w:p>
                                  <w:pPr>
                                    <w:pStyle w:val="TableContents"/>
                                    <w:bidi w:val="0"/>
                                    <w:spacing w:lineRule="atLeast" w:line="200" w:before="0" w:after="0"/>
                                    <w:jc w:val="center"/>
                                    <w:rPr>
                                      <w:spacing w:val="0"/>
                                    </w:rPr>
                                  </w:pPr>
                                  <w:r>
                                    <w:rPr>
                                      <w:spacing w:val="0"/>
                                    </w:rPr>
                                    <w:t xml:space="preserve">Non-Employee Director </w:t>
                                    <w:br/>
                                    <w:t xml:space="preserve">Annual Retainer Fee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51" w:type="dxa"/>
                                  <w:tcBorders/>
                                  <w:vAlign w:val="center"/>
                                </w:tcPr>
                                <w:p>
                                  <w:pPr>
                                    <w:pStyle w:val="TableContents"/>
                                    <w:bidi w:val="0"/>
                                    <w:spacing w:before="0" w:after="0"/>
                                    <w:jc w:val="center"/>
                                    <w:rPr/>
                                  </w:pPr>
                                  <w:r>
                                    <w:rPr/>
                                    <w:drawing>
                                      <wp:inline distT="0" distB="0" distL="0" distR="0">
                                        <wp:extent cx="1971675" cy="1104900"/>
                                        <wp:effectExtent l="0" t="0" r="0" b="0"/>
                                        <wp:docPr id="52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232" descr=""/>
                                                <pic:cNvPicPr>
                                                  <a:picLocks noChangeAspect="1" noChangeArrowheads="1"/>
                                                </pic:cNvPicPr>
                                              </pic:nvPicPr>
                                              <pic:blipFill>
                                                <a:blip r:embed="rId243"/>
                                                <a:stretch>
                                                  <a:fillRect/>
                                                </a:stretch>
                                              </pic:blipFill>
                                              <pic:spPr bwMode="auto">
                                                <a:xfrm>
                                                  <a:off x="0" y="0"/>
                                                  <a:ext cx="1971675" cy="1104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72pt;height:131.35pt;mso-wrap-distance-left:51pt;mso-wrap-distance-right:0pt;mso-wrap-distance-top:0pt;mso-wrap-distance-bottom:0pt;margin-top:0pt;mso-position-vertical:top;mso-position-vertical-relative:text;margin-left:51pt;mso-position-horizontal:left;mso-position-horizontal-relative:text">
                <v:textbox>
                  <w:txbxContent>
                    <w:tbl>
                      <w:tblPr>
                        <w:tblW w:w="3529" w:type="dxa"/>
                        <w:jc w:val="left"/>
                        <w:tblInd w:w="0" w:type="dxa"/>
                        <w:tblLayout w:type="fixed"/>
                        <w:tblCellMar>
                          <w:top w:w="0" w:type="dxa"/>
                          <w:left w:w="0" w:type="dxa"/>
                          <w:bottom w:w="0" w:type="dxa"/>
                          <w:right w:w="0" w:type="dxa"/>
                        </w:tblCellMar>
                      </w:tblPr>
                      <w:tblGrid>
                        <w:gridCol w:w="124"/>
                        <w:gridCol w:w="3251"/>
                        <w:gridCol w:w="154"/>
                      </w:tblGrid>
                      <w:tr>
                        <w:trPr/>
                        <w:tc>
                          <w:tcPr>
                            <w:tcW w:w="124" w:type="dxa"/>
                            <w:tcBorders/>
                            <w:shd w:fill="002F56" w:val="clear"/>
                            <w:vAlign w:val="center"/>
                          </w:tcPr>
                          <w:p>
                            <w:pPr>
                              <w:pStyle w:val="TableContents"/>
                              <w:bidi w:val="0"/>
                              <w:spacing w:before="0" w:after="283"/>
                              <w:jc w:val="left"/>
                              <w:rPr/>
                            </w:pPr>
                            <w:r>
                              <w:rPr/>
                              <w:t>​</w:t>
                            </w:r>
                          </w:p>
                        </w:tc>
                        <w:tc>
                          <w:tcPr>
                            <w:tcW w:w="3251" w:type="dxa"/>
                            <w:tcBorders/>
                            <w:shd w:fill="002F56" w:val="clear"/>
                            <w:vAlign w:val="center"/>
                          </w:tcPr>
                          <w:p>
                            <w:pPr>
                              <w:pStyle w:val="TableContents"/>
                              <w:bidi w:val="0"/>
                              <w:spacing w:lineRule="atLeast" w:line="200" w:before="0" w:after="0"/>
                              <w:jc w:val="center"/>
                              <w:rPr>
                                <w:spacing w:val="0"/>
                              </w:rPr>
                            </w:pPr>
                            <w:r>
                              <w:rPr>
                                <w:spacing w:val="0"/>
                              </w:rPr>
                              <w:t xml:space="preserve">Non-Employee Director </w:t>
                              <w:br/>
                              <w:t xml:space="preserve">Annual Retainer Fee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51" w:type="dxa"/>
                            <w:tcBorders/>
                            <w:vAlign w:val="center"/>
                          </w:tcPr>
                          <w:p>
                            <w:pPr>
                              <w:pStyle w:val="TableContents"/>
                              <w:bidi w:val="0"/>
                              <w:spacing w:before="0" w:after="0"/>
                              <w:jc w:val="center"/>
                              <w:rPr/>
                            </w:pPr>
                            <w:r>
                              <w:rPr/>
                              <w:drawing>
                                <wp:inline distT="0" distB="0" distL="0" distR="0">
                                  <wp:extent cx="1971675" cy="1104900"/>
                                  <wp:effectExtent l="0" t="0" r="0" b="0"/>
                                  <wp:docPr id="52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232" descr=""/>
                                          <pic:cNvPicPr>
                                            <a:picLocks noChangeAspect="1" noChangeArrowheads="1"/>
                                          </pic:cNvPicPr>
                                        </pic:nvPicPr>
                                        <pic:blipFill>
                                          <a:blip r:embed="rId244"/>
                                          <a:stretch>
                                            <a:fillRect/>
                                          </a:stretch>
                                        </pic:blipFill>
                                        <pic:spPr bwMode="auto">
                                          <a:xfrm>
                                            <a:off x="0" y="0"/>
                                            <a:ext cx="1971675" cy="110490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592">
                <wp:simplePos x="0" y="0"/>
                <wp:positionH relativeFrom="column">
                  <wp:align>left</wp:align>
                </wp:positionH>
                <wp:positionV relativeFrom="line">
                  <wp:posOffset>635</wp:posOffset>
                </wp:positionV>
                <wp:extent cx="3937000" cy="3241040"/>
                <wp:effectExtent l="0" t="0" r="0" b="0"/>
                <wp:wrapSquare wrapText="right"/>
                <wp:docPr id="530" name="Frame287"/>
                <a:graphic xmlns:a="http://schemas.openxmlformats.org/drawingml/2006/main">
                  <a:graphicData uri="http://schemas.microsoft.com/office/word/2010/wordprocessingShape">
                    <wps:wsp>
                      <wps:cNvSpPr txBox="1"/>
                      <wps:spPr>
                        <a:xfrm>
                          <a:off x="0" y="0"/>
                          <a:ext cx="3937000" cy="3241040"/>
                        </a:xfrm>
                        <a:prstGeom prst="rect"/>
                        <a:solidFill>
                          <a:srgbClr val="FFFFFF"/>
                        </a:solidFill>
                      </wps:spPr>
                      <wps:txbx>
                        <w:txbxContent>
                          <w:tbl>
                            <w:tblPr>
                              <w:tblW w:w="7875" w:type="dxa"/>
                              <w:jc w:val="left"/>
                              <w:tblInd w:w="0" w:type="dxa"/>
                              <w:tblLayout w:type="fixed"/>
                              <w:tblCellMar>
                                <w:top w:w="0" w:type="dxa"/>
                                <w:left w:w="0" w:type="dxa"/>
                                <w:bottom w:w="0" w:type="dxa"/>
                                <w:right w:w="0" w:type="dxa"/>
                              </w:tblCellMar>
                            </w:tblPr>
                            <w:tblGrid>
                              <w:gridCol w:w="124"/>
                              <w:gridCol w:w="4975"/>
                              <w:gridCol w:w="109"/>
                              <w:gridCol w:w="109"/>
                              <w:gridCol w:w="109"/>
                              <w:gridCol w:w="109"/>
                              <w:gridCol w:w="766"/>
                              <w:gridCol w:w="109"/>
                              <w:gridCol w:w="109"/>
                              <w:gridCol w:w="109"/>
                              <w:gridCol w:w="109"/>
                              <w:gridCol w:w="109"/>
                              <w:gridCol w:w="766"/>
                              <w:gridCol w:w="109"/>
                              <w:gridCol w:w="154"/>
                            </w:tblGrid>
                            <w:tr>
                              <w:trPr/>
                              <w:tc>
                                <w:tcPr>
                                  <w:tcW w:w="124" w:type="dxa"/>
                                  <w:tcBorders/>
                                  <w:shd w:fill="002F56" w:val="clear"/>
                                  <w:vAlign w:val="center"/>
                                </w:tcPr>
                                <w:p>
                                  <w:pPr>
                                    <w:pStyle w:val="TableContents"/>
                                    <w:bidi w:val="0"/>
                                    <w:spacing w:before="0" w:after="283"/>
                                    <w:jc w:val="left"/>
                                    <w:rPr/>
                                  </w:pPr>
                                  <w:r>
                                    <w:rPr/>
                                    <w:t>​</w:t>
                                  </w:r>
                                </w:p>
                              </w:tc>
                              <w:tc>
                                <w:tcPr>
                                  <w:tcW w:w="4975" w:type="dxa"/>
                                  <w:tcBorders/>
                                  <w:shd w:fill="002F56" w:val="clear"/>
                                  <w:vAlign w:val="center"/>
                                </w:tcPr>
                                <w:p>
                                  <w:pPr>
                                    <w:pStyle w:val="TableContents"/>
                                    <w:bidi w:val="0"/>
                                    <w:spacing w:before="0" w:after="0"/>
                                    <w:jc w:val="left"/>
                                    <w:rPr>
                                      <w:spacing w:val="0"/>
                                    </w:rPr>
                                  </w:pPr>
                                  <w:r>
                                    <w:rPr>
                                      <w:spacing w:val="0"/>
                                    </w:rPr>
                                    <w:t xml:space="preserve">Non-Employee Director Compensation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404" w:type="dxa"/>
                                  <w:gridSpan w:val="10"/>
                                  <w:tcBorders/>
                                  <w:shd w:fill="002F56" w:val="clear"/>
                                  <w:vAlign w:val="center"/>
                                </w:tcPr>
                                <w:p>
                                  <w:pPr>
                                    <w:pStyle w:val="TableContents"/>
                                    <w:bidi w:val="0"/>
                                    <w:spacing w:before="0" w:after="0"/>
                                    <w:jc w:val="center"/>
                                    <w:rPr/>
                                  </w:pPr>
                                  <w:r>
                                    <w:rPr>
                                      <w:spacing w:val="0"/>
                                    </w:rPr>
                                    <w:t>Annual Retainer</w:t>
                                  </w:r>
                                  <w:r>
                                    <w:rPr/>
                                    <w:t xml:space="preserve"> </w:t>
                                    <w:br/>
                                  </w:r>
                                  <w:r>
                                    <w:rPr>
                                      <w:spacing w:val="-2"/>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497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Annual Retainer Fee (Cash)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04" w:type="dxa"/>
                                  <w:gridSpan w:val="10"/>
                                  <w:tcBorders>
                                    <w:bottom w:val="single" w:sz="6" w:space="0" w:color="BFBFBF"/>
                                  </w:tcBorders>
                                  <w:tcMar>
                                    <w:bottom w:w="47" w:type="dxa"/>
                                  </w:tcMar>
                                  <w:vAlign w:val="center"/>
                                </w:tcPr>
                                <w:p>
                                  <w:pPr>
                                    <w:pStyle w:val="TableContents"/>
                                    <w:bidi w:val="0"/>
                                    <w:spacing w:before="0" w:after="0"/>
                                    <w:ind w:left="94" w:right="0" w:hanging="0"/>
                                    <w:jc w:val="center"/>
                                    <w:rPr>
                                      <w:spacing w:val="-1"/>
                                    </w:rPr>
                                  </w:pPr>
                                  <w:r>
                                    <w:rPr>
                                      <w:spacing w:val="-1"/>
                                    </w:rPr>
                                    <w:t xml:space="preserve">80,000 </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497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Annual Retainer Fee (Units)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04" w:type="dxa"/>
                                  <w:gridSpan w:val="10"/>
                                  <w:tcBorders>
                                    <w:bottom w:val="single" w:sz="6" w:space="0" w:color="BFBFBF"/>
                                  </w:tcBorders>
                                  <w:tcMar>
                                    <w:bottom w:w="47" w:type="dxa"/>
                                  </w:tcMar>
                                  <w:vAlign w:val="center"/>
                                </w:tcPr>
                                <w:p>
                                  <w:pPr>
                                    <w:pStyle w:val="TableContents"/>
                                    <w:bidi w:val="0"/>
                                    <w:spacing w:before="0" w:after="0"/>
                                    <w:jc w:val="center"/>
                                    <w:rPr>
                                      <w:spacing w:val="-1"/>
                                    </w:rPr>
                                  </w:pPr>
                                  <w:r>
                                    <w:rPr>
                                      <w:spacing w:val="-1"/>
                                    </w:rPr>
                                    <w:t xml:space="preserve">145,000 </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497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Lead Independent Director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04" w:type="dxa"/>
                                  <w:gridSpan w:val="10"/>
                                  <w:tcBorders>
                                    <w:bottom w:val="single" w:sz="6" w:space="0" w:color="BFBFBF"/>
                                  </w:tcBorders>
                                  <w:tcMar>
                                    <w:bottom w:w="47" w:type="dxa"/>
                                  </w:tcMar>
                                  <w:vAlign w:val="center"/>
                                </w:tcPr>
                                <w:p>
                                  <w:pPr>
                                    <w:pStyle w:val="TableContents"/>
                                    <w:bidi w:val="0"/>
                                    <w:spacing w:before="0" w:after="0"/>
                                    <w:ind w:left="94" w:right="0" w:hanging="0"/>
                                    <w:jc w:val="center"/>
                                    <w:rPr>
                                      <w:spacing w:val="-1"/>
                                    </w:rPr>
                                  </w:pPr>
                                  <w:r>
                                    <w:rPr>
                                      <w:spacing w:val="-1"/>
                                    </w:rPr>
                                    <w:t xml:space="preserve">25,000 </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shd w:fill="71B1C8" w:val="clear"/>
                                  <w:vAlign w:val="center"/>
                                </w:tcPr>
                                <w:p>
                                  <w:pPr>
                                    <w:pStyle w:val="TableContents"/>
                                    <w:bidi w:val="0"/>
                                    <w:spacing w:before="0" w:after="283"/>
                                    <w:jc w:val="left"/>
                                    <w:rPr/>
                                  </w:pPr>
                                  <w:r>
                                    <w:rPr/>
                                    <w:t>​</w:t>
                                  </w:r>
                                </w:p>
                              </w:tc>
                              <w:tc>
                                <w:tcPr>
                                  <w:tcW w:w="4975" w:type="dxa"/>
                                  <w:tcBorders/>
                                  <w:shd w:fill="71B1C8" w:val="clear"/>
                                  <w:vAlign w:val="center"/>
                                </w:tcPr>
                                <w:p>
                                  <w:pPr>
                                    <w:pStyle w:val="TableContents"/>
                                    <w:bidi w:val="0"/>
                                    <w:spacing w:before="0" w:after="283"/>
                                    <w:jc w:val="left"/>
                                    <w:rPr/>
                                  </w:pPr>
                                  <w:r>
                                    <w:rPr>
                                      <w:spacing w:val="0"/>
                                    </w:rPr>
                                    <w:t>Committee Service</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093" w:type="dxa"/>
                                  <w:gridSpan w:val="4"/>
                                  <w:tcBorders/>
                                  <w:shd w:fill="71B1C8" w:val="clear"/>
                                  <w:vAlign w:val="center"/>
                                </w:tcPr>
                                <w:p>
                                  <w:pPr>
                                    <w:pStyle w:val="TableContents"/>
                                    <w:bidi w:val="0"/>
                                    <w:spacing w:lineRule="atLeast" w:line="189" w:before="0" w:after="0"/>
                                    <w:jc w:val="center"/>
                                    <w:rPr/>
                                  </w:pPr>
                                  <w:r>
                                    <w:rPr>
                                      <w:spacing w:val="0"/>
                                    </w:rPr>
                                    <w:t>Chair</w:t>
                                  </w:r>
                                  <w:r>
                                    <w:rPr/>
                                    <w:t xml:space="preserve"> </w:t>
                                    <w:br/>
                                  </w:r>
                                  <w:r>
                                    <w:rPr>
                                      <w:spacing w:val="-2"/>
                                    </w:rPr>
                                    <w:t>($)</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093" w:type="dxa"/>
                                  <w:gridSpan w:val="4"/>
                                  <w:tcBorders/>
                                  <w:shd w:fill="71B1C8" w:val="clear"/>
                                  <w:vAlign w:val="center"/>
                                </w:tcPr>
                                <w:p>
                                  <w:pPr>
                                    <w:pStyle w:val="TableContents"/>
                                    <w:bidi w:val="0"/>
                                    <w:spacing w:lineRule="atLeast" w:line="189" w:before="0" w:after="0"/>
                                    <w:jc w:val="center"/>
                                    <w:rPr/>
                                  </w:pPr>
                                  <w:r>
                                    <w:rPr>
                                      <w:spacing w:val="0"/>
                                    </w:rPr>
                                    <w:t>Member</w:t>
                                  </w:r>
                                  <w:r>
                                    <w:rPr/>
                                    <w:t xml:space="preserve"> </w:t>
                                    <w:br/>
                                  </w:r>
                                  <w:r>
                                    <w:rPr>
                                      <w:spacing w:val="-2"/>
                                    </w:rPr>
                                    <w:t>($)</w:t>
                                  </w:r>
                                  <w:r>
                                    <w:rPr/>
                                    <w:t xml:space="preserve"> </w:t>
                                  </w:r>
                                </w:p>
                              </w:tc>
                              <w:tc>
                                <w:tcPr>
                                  <w:tcW w:w="154" w:type="dxa"/>
                                  <w:tcBorders/>
                                  <w:shd w:fill="71B1C8"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75" w:type="dxa"/>
                                  <w:tcBorders>
                                    <w:bottom w:val="single" w:sz="2" w:space="0" w:color="FFFFFF"/>
                                  </w:tcBorders>
                                  <w:tcMar>
                                    <w:bottom w:w="55" w:type="dxa"/>
                                  </w:tcMar>
                                  <w:vAlign w:val="center"/>
                                </w:tcPr>
                                <w:p>
                                  <w:pPr>
                                    <w:pStyle w:val="TableContents"/>
                                    <w:bidi w:val="0"/>
                                    <w:spacing w:before="0" w:after="283"/>
                                    <w:jc w:val="left"/>
                                    <w:rPr>
                                      <w:spacing w:val="-1"/>
                                    </w:rPr>
                                  </w:pPr>
                                  <w:r>
                                    <w:rPr>
                                      <w:spacing w:val="-1"/>
                                    </w:rPr>
                                    <w:t xml:space="preserve">Audit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30,000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10,000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54" w:type="dxa"/>
                                  <w:tcBorders>
                                    <w:bottom w:val="single" w:sz="2" w:space="0" w:color="71B1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75" w:type="dxa"/>
                                  <w:tcBorders>
                                    <w:bottom w:val="single" w:sz="2" w:space="0" w:color="FFFFFF"/>
                                  </w:tcBorders>
                                  <w:tcMar>
                                    <w:bottom w:w="55" w:type="dxa"/>
                                  </w:tcMar>
                                  <w:vAlign w:val="center"/>
                                </w:tcPr>
                                <w:p>
                                  <w:pPr>
                                    <w:pStyle w:val="TableContents"/>
                                    <w:bidi w:val="0"/>
                                    <w:spacing w:before="0" w:after="283"/>
                                    <w:jc w:val="left"/>
                                    <w:rPr>
                                      <w:spacing w:val="-1"/>
                                    </w:rPr>
                                  </w:pPr>
                                  <w:r>
                                    <w:rPr>
                                      <w:spacing w:val="-1"/>
                                    </w:rPr>
                                    <w:t xml:space="preserve">Compensation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22,500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7,500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54" w:type="dxa"/>
                                  <w:tcBorders>
                                    <w:bottom w:val="single" w:sz="2" w:space="0" w:color="71B1C8"/>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4975"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Corporate Governance and Nominating Committee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766" w:type="dxa"/>
                                  <w:tcBorders>
                                    <w:bottom w:val="single" w:sz="12" w:space="0" w:color="71B1C8"/>
                                  </w:tcBorders>
                                  <w:tcMar>
                                    <w:bottom w:w="28" w:type="dxa"/>
                                  </w:tcMar>
                                  <w:vAlign w:val="center"/>
                                </w:tcPr>
                                <w:p>
                                  <w:pPr>
                                    <w:pStyle w:val="TableContents"/>
                                    <w:bidi w:val="0"/>
                                    <w:spacing w:before="0" w:after="283"/>
                                    <w:jc w:val="right"/>
                                    <w:rPr/>
                                  </w:pPr>
                                  <w:r>
                                    <w:rPr/>
                                    <w:t>22,500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766" w:type="dxa"/>
                                  <w:tcBorders>
                                    <w:bottom w:val="single" w:sz="12" w:space="0" w:color="71B1C8"/>
                                  </w:tcBorders>
                                  <w:tcMar>
                                    <w:bottom w:w="28" w:type="dxa"/>
                                  </w:tcMar>
                                  <w:vAlign w:val="center"/>
                                </w:tcPr>
                                <w:p>
                                  <w:pPr>
                                    <w:pStyle w:val="TableContents"/>
                                    <w:bidi w:val="0"/>
                                    <w:spacing w:before="0" w:after="283"/>
                                    <w:jc w:val="right"/>
                                    <w:rPr/>
                                  </w:pPr>
                                  <w:r>
                                    <w:rPr/>
                                    <w:t>7,500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0pt;height:255.2pt;mso-wrap-distance-left:12pt;mso-wrap-distance-right:0pt;mso-wrap-distance-top:0pt;mso-wrap-distance-bottom:0pt;margin-top:0pt;mso-position-vertical:top;mso-position-vertical-relative:text;margin-left:12pt;mso-position-horizontal:left;mso-position-horizontal-relative:text">
                <v:textbox>
                  <w:txbxContent>
                    <w:tbl>
                      <w:tblPr>
                        <w:tblW w:w="7875" w:type="dxa"/>
                        <w:jc w:val="left"/>
                        <w:tblInd w:w="0" w:type="dxa"/>
                        <w:tblLayout w:type="fixed"/>
                        <w:tblCellMar>
                          <w:top w:w="0" w:type="dxa"/>
                          <w:left w:w="0" w:type="dxa"/>
                          <w:bottom w:w="0" w:type="dxa"/>
                          <w:right w:w="0" w:type="dxa"/>
                        </w:tblCellMar>
                      </w:tblPr>
                      <w:tblGrid>
                        <w:gridCol w:w="124"/>
                        <w:gridCol w:w="4975"/>
                        <w:gridCol w:w="109"/>
                        <w:gridCol w:w="109"/>
                        <w:gridCol w:w="109"/>
                        <w:gridCol w:w="109"/>
                        <w:gridCol w:w="766"/>
                        <w:gridCol w:w="109"/>
                        <w:gridCol w:w="109"/>
                        <w:gridCol w:w="109"/>
                        <w:gridCol w:w="109"/>
                        <w:gridCol w:w="109"/>
                        <w:gridCol w:w="766"/>
                        <w:gridCol w:w="109"/>
                        <w:gridCol w:w="154"/>
                      </w:tblGrid>
                      <w:tr>
                        <w:trPr/>
                        <w:tc>
                          <w:tcPr>
                            <w:tcW w:w="124" w:type="dxa"/>
                            <w:tcBorders/>
                            <w:shd w:fill="002F56" w:val="clear"/>
                            <w:vAlign w:val="center"/>
                          </w:tcPr>
                          <w:p>
                            <w:pPr>
                              <w:pStyle w:val="TableContents"/>
                              <w:bidi w:val="0"/>
                              <w:spacing w:before="0" w:after="283"/>
                              <w:jc w:val="left"/>
                              <w:rPr/>
                            </w:pPr>
                            <w:r>
                              <w:rPr/>
                              <w:t>​</w:t>
                            </w:r>
                          </w:p>
                        </w:tc>
                        <w:tc>
                          <w:tcPr>
                            <w:tcW w:w="4975" w:type="dxa"/>
                            <w:tcBorders/>
                            <w:shd w:fill="002F56" w:val="clear"/>
                            <w:vAlign w:val="center"/>
                          </w:tcPr>
                          <w:p>
                            <w:pPr>
                              <w:pStyle w:val="TableContents"/>
                              <w:bidi w:val="0"/>
                              <w:spacing w:before="0" w:after="0"/>
                              <w:jc w:val="left"/>
                              <w:rPr>
                                <w:spacing w:val="0"/>
                              </w:rPr>
                            </w:pPr>
                            <w:r>
                              <w:rPr>
                                <w:spacing w:val="0"/>
                              </w:rPr>
                              <w:t xml:space="preserve">Non-Employee Director Compensation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404" w:type="dxa"/>
                            <w:gridSpan w:val="10"/>
                            <w:tcBorders/>
                            <w:shd w:fill="002F56" w:val="clear"/>
                            <w:vAlign w:val="center"/>
                          </w:tcPr>
                          <w:p>
                            <w:pPr>
                              <w:pStyle w:val="TableContents"/>
                              <w:bidi w:val="0"/>
                              <w:spacing w:before="0" w:after="0"/>
                              <w:jc w:val="center"/>
                              <w:rPr/>
                            </w:pPr>
                            <w:r>
                              <w:rPr>
                                <w:spacing w:val="0"/>
                              </w:rPr>
                              <w:t>Annual Retainer</w:t>
                            </w:r>
                            <w:r>
                              <w:rPr/>
                              <w:t xml:space="preserve"> </w:t>
                              <w:br/>
                            </w:r>
                            <w:r>
                              <w:rPr>
                                <w:spacing w:val="-2"/>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497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Annual Retainer Fee (Cash)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04" w:type="dxa"/>
                            <w:gridSpan w:val="10"/>
                            <w:tcBorders>
                              <w:bottom w:val="single" w:sz="6" w:space="0" w:color="BFBFBF"/>
                            </w:tcBorders>
                            <w:tcMar>
                              <w:bottom w:w="47" w:type="dxa"/>
                            </w:tcMar>
                            <w:vAlign w:val="center"/>
                          </w:tcPr>
                          <w:p>
                            <w:pPr>
                              <w:pStyle w:val="TableContents"/>
                              <w:bidi w:val="0"/>
                              <w:spacing w:before="0" w:after="0"/>
                              <w:ind w:left="94" w:right="0" w:hanging="0"/>
                              <w:jc w:val="center"/>
                              <w:rPr>
                                <w:spacing w:val="-1"/>
                              </w:rPr>
                            </w:pPr>
                            <w:r>
                              <w:rPr>
                                <w:spacing w:val="-1"/>
                              </w:rPr>
                              <w:t xml:space="preserve">80,000 </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497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Annual Retainer Fee (Units)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04" w:type="dxa"/>
                            <w:gridSpan w:val="10"/>
                            <w:tcBorders>
                              <w:bottom w:val="single" w:sz="6" w:space="0" w:color="BFBFBF"/>
                            </w:tcBorders>
                            <w:tcMar>
                              <w:bottom w:w="47" w:type="dxa"/>
                            </w:tcMar>
                            <w:vAlign w:val="center"/>
                          </w:tcPr>
                          <w:p>
                            <w:pPr>
                              <w:pStyle w:val="TableContents"/>
                              <w:bidi w:val="0"/>
                              <w:spacing w:before="0" w:after="0"/>
                              <w:jc w:val="center"/>
                              <w:rPr>
                                <w:spacing w:val="-1"/>
                              </w:rPr>
                            </w:pPr>
                            <w:r>
                              <w:rPr>
                                <w:spacing w:val="-1"/>
                              </w:rPr>
                              <w:t xml:space="preserve">145,000 </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497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Lead Independent Director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04" w:type="dxa"/>
                            <w:gridSpan w:val="10"/>
                            <w:tcBorders>
                              <w:bottom w:val="single" w:sz="6" w:space="0" w:color="BFBFBF"/>
                            </w:tcBorders>
                            <w:tcMar>
                              <w:bottom w:w="47" w:type="dxa"/>
                            </w:tcMar>
                            <w:vAlign w:val="center"/>
                          </w:tcPr>
                          <w:p>
                            <w:pPr>
                              <w:pStyle w:val="TableContents"/>
                              <w:bidi w:val="0"/>
                              <w:spacing w:before="0" w:after="0"/>
                              <w:ind w:left="94" w:right="0" w:hanging="0"/>
                              <w:jc w:val="center"/>
                              <w:rPr>
                                <w:spacing w:val="-1"/>
                              </w:rPr>
                            </w:pPr>
                            <w:r>
                              <w:rPr>
                                <w:spacing w:val="-1"/>
                              </w:rPr>
                              <w:t xml:space="preserve">25,000 </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shd w:fill="71B1C8" w:val="clear"/>
                            <w:vAlign w:val="center"/>
                          </w:tcPr>
                          <w:p>
                            <w:pPr>
                              <w:pStyle w:val="TableContents"/>
                              <w:bidi w:val="0"/>
                              <w:spacing w:before="0" w:after="283"/>
                              <w:jc w:val="left"/>
                              <w:rPr/>
                            </w:pPr>
                            <w:r>
                              <w:rPr/>
                              <w:t>​</w:t>
                            </w:r>
                          </w:p>
                        </w:tc>
                        <w:tc>
                          <w:tcPr>
                            <w:tcW w:w="4975" w:type="dxa"/>
                            <w:tcBorders/>
                            <w:shd w:fill="71B1C8" w:val="clear"/>
                            <w:vAlign w:val="center"/>
                          </w:tcPr>
                          <w:p>
                            <w:pPr>
                              <w:pStyle w:val="TableContents"/>
                              <w:bidi w:val="0"/>
                              <w:spacing w:before="0" w:after="283"/>
                              <w:jc w:val="left"/>
                              <w:rPr/>
                            </w:pPr>
                            <w:r>
                              <w:rPr>
                                <w:spacing w:val="0"/>
                              </w:rPr>
                              <w:t>Committee Service</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093" w:type="dxa"/>
                            <w:gridSpan w:val="4"/>
                            <w:tcBorders/>
                            <w:shd w:fill="71B1C8" w:val="clear"/>
                            <w:vAlign w:val="center"/>
                          </w:tcPr>
                          <w:p>
                            <w:pPr>
                              <w:pStyle w:val="TableContents"/>
                              <w:bidi w:val="0"/>
                              <w:spacing w:lineRule="atLeast" w:line="189" w:before="0" w:after="0"/>
                              <w:jc w:val="center"/>
                              <w:rPr/>
                            </w:pPr>
                            <w:r>
                              <w:rPr>
                                <w:spacing w:val="0"/>
                              </w:rPr>
                              <w:t>Chair</w:t>
                            </w:r>
                            <w:r>
                              <w:rPr/>
                              <w:t xml:space="preserve"> </w:t>
                              <w:br/>
                            </w:r>
                            <w:r>
                              <w:rPr>
                                <w:spacing w:val="-2"/>
                              </w:rPr>
                              <w:t>($)</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093" w:type="dxa"/>
                            <w:gridSpan w:val="4"/>
                            <w:tcBorders/>
                            <w:shd w:fill="71B1C8" w:val="clear"/>
                            <w:vAlign w:val="center"/>
                          </w:tcPr>
                          <w:p>
                            <w:pPr>
                              <w:pStyle w:val="TableContents"/>
                              <w:bidi w:val="0"/>
                              <w:spacing w:lineRule="atLeast" w:line="189" w:before="0" w:after="0"/>
                              <w:jc w:val="center"/>
                              <w:rPr/>
                            </w:pPr>
                            <w:r>
                              <w:rPr>
                                <w:spacing w:val="0"/>
                              </w:rPr>
                              <w:t>Member</w:t>
                            </w:r>
                            <w:r>
                              <w:rPr/>
                              <w:t xml:space="preserve"> </w:t>
                              <w:br/>
                            </w:r>
                            <w:r>
                              <w:rPr>
                                <w:spacing w:val="-2"/>
                              </w:rPr>
                              <w:t>($)</w:t>
                            </w:r>
                            <w:r>
                              <w:rPr/>
                              <w:t xml:space="preserve"> </w:t>
                            </w:r>
                          </w:p>
                        </w:tc>
                        <w:tc>
                          <w:tcPr>
                            <w:tcW w:w="154" w:type="dxa"/>
                            <w:tcBorders/>
                            <w:shd w:fill="71B1C8"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75" w:type="dxa"/>
                            <w:tcBorders>
                              <w:bottom w:val="single" w:sz="2" w:space="0" w:color="FFFFFF"/>
                            </w:tcBorders>
                            <w:tcMar>
                              <w:bottom w:w="55" w:type="dxa"/>
                            </w:tcMar>
                            <w:vAlign w:val="center"/>
                          </w:tcPr>
                          <w:p>
                            <w:pPr>
                              <w:pStyle w:val="TableContents"/>
                              <w:bidi w:val="0"/>
                              <w:spacing w:before="0" w:after="283"/>
                              <w:jc w:val="left"/>
                              <w:rPr>
                                <w:spacing w:val="-1"/>
                              </w:rPr>
                            </w:pPr>
                            <w:r>
                              <w:rPr>
                                <w:spacing w:val="-1"/>
                              </w:rPr>
                              <w:t xml:space="preserve">Audit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30,000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10,000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54" w:type="dxa"/>
                            <w:tcBorders>
                              <w:bottom w:val="single" w:sz="2" w:space="0" w:color="71B1C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975" w:type="dxa"/>
                            <w:tcBorders>
                              <w:bottom w:val="single" w:sz="2" w:space="0" w:color="FFFFFF"/>
                            </w:tcBorders>
                            <w:tcMar>
                              <w:bottom w:w="55" w:type="dxa"/>
                            </w:tcMar>
                            <w:vAlign w:val="center"/>
                          </w:tcPr>
                          <w:p>
                            <w:pPr>
                              <w:pStyle w:val="TableContents"/>
                              <w:bidi w:val="0"/>
                              <w:spacing w:before="0" w:after="283"/>
                              <w:jc w:val="left"/>
                              <w:rPr>
                                <w:spacing w:val="-1"/>
                              </w:rPr>
                            </w:pPr>
                            <w:r>
                              <w:rPr>
                                <w:spacing w:val="-1"/>
                              </w:rPr>
                              <w:t xml:space="preserve">Compensation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22,500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tcMar>
                              <w:bottom w:w="55" w:type="dxa"/>
                            </w:tcMar>
                            <w:vAlign w:val="center"/>
                          </w:tcPr>
                          <w:p>
                            <w:pPr>
                              <w:pStyle w:val="TableContents"/>
                              <w:bidi w:val="0"/>
                              <w:spacing w:before="0" w:after="283"/>
                              <w:jc w:val="right"/>
                              <w:rPr/>
                            </w:pPr>
                            <w:r>
                              <w:rPr/>
                              <w:t>​</w:t>
                            </w:r>
                          </w:p>
                        </w:tc>
                        <w:tc>
                          <w:tcPr>
                            <w:tcW w:w="766" w:type="dxa"/>
                            <w:tcBorders>
                              <w:bottom w:val="single" w:sz="2" w:space="0" w:color="71B1C8"/>
                            </w:tcBorders>
                            <w:tcMar>
                              <w:bottom w:w="55" w:type="dxa"/>
                            </w:tcMar>
                            <w:vAlign w:val="center"/>
                          </w:tcPr>
                          <w:p>
                            <w:pPr>
                              <w:pStyle w:val="TableContents"/>
                              <w:bidi w:val="0"/>
                              <w:spacing w:before="0" w:after="283"/>
                              <w:jc w:val="right"/>
                              <w:rPr/>
                            </w:pPr>
                            <w:r>
                              <w:rPr/>
                              <w:t>7,500</w:t>
                            </w:r>
                          </w:p>
                        </w:tc>
                        <w:tc>
                          <w:tcPr>
                            <w:tcW w:w="109" w:type="dxa"/>
                            <w:tcBorders>
                              <w:bottom w:val="single" w:sz="2" w:space="0" w:color="71B1C8"/>
                            </w:tcBorders>
                            <w:tcMar>
                              <w:bottom w:w="28" w:type="dxa"/>
                            </w:tcMar>
                            <w:vAlign w:val="center"/>
                          </w:tcPr>
                          <w:p>
                            <w:pPr>
                              <w:pStyle w:val="TableContents"/>
                              <w:bidi w:val="0"/>
                              <w:spacing w:before="0" w:after="283"/>
                              <w:jc w:val="left"/>
                              <w:rPr/>
                            </w:pPr>
                            <w:r>
                              <w:rPr/>
                              <w:t>​</w:t>
                            </w:r>
                          </w:p>
                        </w:tc>
                        <w:tc>
                          <w:tcPr>
                            <w:tcW w:w="154" w:type="dxa"/>
                            <w:tcBorders>
                              <w:bottom w:val="single" w:sz="2" w:space="0" w:color="71B1C8"/>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4975"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Corporate Governance and Nominating Committee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766" w:type="dxa"/>
                            <w:tcBorders>
                              <w:bottom w:val="single" w:sz="12" w:space="0" w:color="71B1C8"/>
                            </w:tcBorders>
                            <w:tcMar>
                              <w:bottom w:w="28" w:type="dxa"/>
                            </w:tcMar>
                            <w:vAlign w:val="center"/>
                          </w:tcPr>
                          <w:p>
                            <w:pPr>
                              <w:pStyle w:val="TableContents"/>
                              <w:bidi w:val="0"/>
                              <w:spacing w:before="0" w:after="283"/>
                              <w:jc w:val="right"/>
                              <w:rPr/>
                            </w:pPr>
                            <w:r>
                              <w:rPr/>
                              <w:t>22,500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766" w:type="dxa"/>
                            <w:tcBorders>
                              <w:bottom w:val="single" w:sz="12" w:space="0" w:color="71B1C8"/>
                            </w:tcBorders>
                            <w:tcMar>
                              <w:bottom w:w="28" w:type="dxa"/>
                            </w:tcMar>
                            <w:vAlign w:val="center"/>
                          </w:tcPr>
                          <w:p>
                            <w:pPr>
                              <w:pStyle w:val="TableContents"/>
                              <w:bidi w:val="0"/>
                              <w:spacing w:before="0" w:after="283"/>
                              <w:jc w:val="right"/>
                              <w:rPr/>
                            </w:pPr>
                            <w:r>
                              <w:rPr/>
                              <w:t>7,500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10" w:before="0" w:after="283"/>
        <w:ind w:left="10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We reimburse all directors for reasonable travel and other out-of-pocket expenses incurred in connection with attendance at meetings of the Board and its committees.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30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ROTC"/>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CORPORATE GOVERNANCE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REPORT OF THE CORPORATE GOVERNANCE AND NOMINATING COMMITTEE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19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report is an annual voluntary governance practice that highlights the Corporate Governance and Nominating Committee’s activities during 2025. The Committee engaged in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40" w:after="283"/>
        <w:jc w:val="left"/>
        <w:rPr>
          <w:rFonts w:ascii="Arial;Helvetica;sans-serif" w:hAnsi="Arial;Helvetica;sans-serif"/>
          <w:b/>
          <w:i w:val="false"/>
          <w:caps w:val="false"/>
          <w:smallCaps w:val="false"/>
          <w:color w:val="002F56"/>
          <w:sz w:val="22"/>
        </w:rPr>
      </w:pPr>
      <w:r>
        <w:rPr>
          <w:rFonts w:ascii="Arial;Helvetica;sans-serif" w:hAnsi="Arial;Helvetica;sans-serif"/>
          <w:b/>
          <w:i w:val="false"/>
          <w:caps w:val="false"/>
          <w:smallCaps w:val="false"/>
          <w:color w:val="002F56"/>
          <w:spacing w:val="-8"/>
          <w:sz w:val="22"/>
        </w:rPr>
        <w:t>1</w:t>
      </w:r>
      <w:r>
        <w:rPr>
          <w:rFonts w:ascii="Arial;Helvetica;sans-serif" w:hAnsi="Arial;Helvetica;sans-serif"/>
          <w:b/>
          <w:i w:val="false"/>
          <w:caps w:val="false"/>
          <w:smallCaps w:val="false"/>
          <w:color w:val="002F56"/>
          <w:sz w:val="22"/>
        </w:rPr>
        <w:t xml:space="preserve"> </w:t>
      </w:r>
    </w:p>
    <w:p>
      <w:pPr>
        <w:pStyle w:val="TextBody"/>
        <w:bidi w:val="0"/>
        <w:spacing w:lineRule="atLeast" w:line="190" w:before="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7"/>
          <w:sz w:val="20"/>
        </w:rPr>
        <w:t>GOVERNANCE INITIATIVE.</w:t>
      </w:r>
      <w:r>
        <w:rPr>
          <w:rFonts w:ascii="Arial;Helvetica;sans-serif" w:hAnsi="Arial;Helvetica;sans-serif"/>
          <w:b w:val="false"/>
          <w:i w:val="false"/>
          <w:caps w:val="false"/>
          <w:smallCaps w:val="false"/>
          <w:color w:val="000000"/>
          <w:spacing w:val="-1"/>
          <w:sz w:val="18"/>
        </w:rPr>
        <w:t xml:space="preserve"> The Committee continued to spend considerable time reviewing and monitoring governance developments in 2025. The Committee reviewed the Company’s governance structure, including: </w:t>
      </w:r>
    </w:p>
    <w:p>
      <w:pPr>
        <w:pStyle w:val="TextBody"/>
        <w:bidi w:val="0"/>
        <w:spacing w:lineRule="atLeast" w:line="220" w:before="1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size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31"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9pt;mso-wrap-distance-bottom:0pt;margin-top:0.9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committee memberships,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32"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combined Chairman and CEO roles,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33"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role of the Lead Independent Director.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34"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190" w:before="4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Committee reviewed the Company’s policies on corporate governance, including the Corporate Governance Guidelines, and the Company’s Code of Business Conduct and Ethics, and charters of the Lead Independent Director and the Board’s committees, including the charter of the Corporate Governance and Nominating Committee, to ensure that the Company’s corporate governance practices meet applicable legal and regulatory requirements and emerging best governance practices and that the governance practices of the Board are transparent to shareholders and other interested parties. The Committee also reviewed the impact of artificial intelligence (AI) on governance, and continued to review the legal environment.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8"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7"/>
          <w:sz w:val="20"/>
        </w:rPr>
        <w:t>SHAREHOLDER FEEDBACK.</w:t>
      </w:r>
      <w:r>
        <w:rPr>
          <w:rFonts w:ascii="Arial;Helvetica;sans-serif" w:hAnsi="Arial;Helvetica;sans-serif"/>
          <w:b w:val="false"/>
          <w:i w:val="false"/>
          <w:caps w:val="false"/>
          <w:smallCaps w:val="false"/>
          <w:color w:val="000000"/>
          <w:spacing w:val="-1"/>
          <w:sz w:val="18"/>
        </w:rPr>
        <w:t xml:space="preserve"> A substantial amount of time continued to be devoted to analyzing and understanding: </w:t>
      </w:r>
      <w:r>
        <mc:AlternateContent>
          <mc:Choice Requires="wps">
            <w:drawing>
              <wp:anchor behindDoc="0" distT="25400" distB="0" distL="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35"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8" w:before="0" w:after="283"/>
                              <w:jc w:val="left"/>
                              <w:rPr/>
                            </w:pPr>
                            <w:r>
                              <w:rPr>
                                <w:b/>
                                <w:color w:val="002F56"/>
                                <w:spacing w:val="-8"/>
                                <w:sz w:val="2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38" w:before="0" w:after="283"/>
                        <w:jc w:val="left"/>
                        <w:rPr/>
                      </w:pPr>
                      <w:r>
                        <w:rPr>
                          <w:b/>
                          <w:color w:val="002F56"/>
                          <w:spacing w:val="-8"/>
                          <w:sz w:val="22"/>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1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advisory vote to approve executive compensation (“Say-on-Pay”) requirement,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36"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9pt;mso-wrap-distance-bottom:0pt;margin-top:0.9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other results from the Company’s annual meeting of shareholders,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37"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outreach to shareholders,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38"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specific feedback from shareholders.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39"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190" w:before="4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Committee also reviewed the reports and analyses of various proxy advisory services regarding areas of possible improvement in corporate governance practices and changes in the proxy advisory services’ policies and procedures.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40" w:after="283"/>
        <w:jc w:val="left"/>
        <w:rPr>
          <w:rFonts w:ascii="Arial;Helvetica;sans-serif" w:hAnsi="Arial;Helvetica;sans-serif"/>
          <w:b/>
          <w:i w:val="false"/>
          <w:caps w:val="false"/>
          <w:smallCaps w:val="false"/>
          <w:color w:val="002F56"/>
          <w:sz w:val="22"/>
        </w:rPr>
      </w:pPr>
      <w:r>
        <w:rPr>
          <w:rFonts w:ascii="Arial;Helvetica;sans-serif" w:hAnsi="Arial;Helvetica;sans-serif"/>
          <w:b/>
          <w:i w:val="false"/>
          <w:caps w:val="false"/>
          <w:smallCaps w:val="false"/>
          <w:color w:val="002F56"/>
          <w:spacing w:val="-8"/>
          <w:sz w:val="22"/>
        </w:rPr>
        <w:t>3</w:t>
      </w:r>
      <w:r>
        <w:rPr>
          <w:rFonts w:ascii="Arial;Helvetica;sans-serif" w:hAnsi="Arial;Helvetica;sans-serif"/>
          <w:b/>
          <w:i w:val="false"/>
          <w:caps w:val="false"/>
          <w:smallCaps w:val="false"/>
          <w:color w:val="002F56"/>
          <w:sz w:val="22"/>
        </w:rPr>
        <w:t xml:space="preserve"> </w:t>
      </w:r>
    </w:p>
    <w:p>
      <w:pPr>
        <w:pStyle w:val="TextBody"/>
        <w:bidi w:val="0"/>
        <w:spacing w:lineRule="atLeast" w:line="190" w:before="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7"/>
          <w:sz w:val="20"/>
        </w:rPr>
        <w:t>DIRECTOR REFRESHMENT.</w:t>
      </w:r>
      <w:r>
        <w:rPr>
          <w:rFonts w:ascii="Arial;Helvetica;sans-serif" w:hAnsi="Arial;Helvetica;sans-serif"/>
          <w:b w:val="false"/>
          <w:i w:val="false"/>
          <w:caps w:val="false"/>
          <w:smallCaps w:val="false"/>
          <w:color w:val="000000"/>
          <w:spacing w:val="-1"/>
          <w:sz w:val="18"/>
        </w:rPr>
        <w:t xml:space="preserve"> The Committee reviewed current Board and Committee membership, skill set needs for the Board members, and potential new members. The Committee updated its assessment of the experience, skills, and attributes of current Board members and that the Board as a whole should possess. The Board has used a skills matrix to assist it in considering the appropriate balance of experience, skills, and attributes required of a director and to be represented on the Board as a whole, and the Committee determined that the matrix remained a useful tool in its assessment. </w:t>
      </w:r>
    </w:p>
    <w:p>
      <w:pPr>
        <w:pStyle w:val="TextBody"/>
        <w:bidi w:val="0"/>
        <w:spacing w:lineRule="atLeast" w:line="230" w:before="40" w:after="283"/>
        <w:jc w:val="left"/>
        <w:rPr>
          <w:rFonts w:ascii="Arial;Helvetica;sans-serif" w:hAnsi="Arial;Helvetica;sans-serif"/>
          <w:b/>
          <w:i w:val="false"/>
          <w:caps w:val="false"/>
          <w:smallCaps w:val="false"/>
          <w:color w:val="002F56"/>
          <w:sz w:val="22"/>
        </w:rPr>
      </w:pPr>
      <w:r>
        <w:rPr>
          <w:rFonts w:ascii="Arial;Helvetica;sans-serif" w:hAnsi="Arial;Helvetica;sans-serif"/>
          <w:b/>
          <w:i w:val="false"/>
          <w:caps w:val="false"/>
          <w:smallCaps w:val="false"/>
          <w:color w:val="002F56"/>
          <w:spacing w:val="-8"/>
          <w:sz w:val="22"/>
        </w:rPr>
        <w:t>4</w:t>
      </w:r>
      <w:r>
        <w:rPr>
          <w:rFonts w:ascii="Arial;Helvetica;sans-serif" w:hAnsi="Arial;Helvetica;sans-serif"/>
          <w:b/>
          <w:i w:val="false"/>
          <w:caps w:val="false"/>
          <w:smallCaps w:val="false"/>
          <w:color w:val="002F56"/>
          <w:sz w:val="22"/>
        </w:rPr>
        <w:t xml:space="preserve"> </w:t>
      </w:r>
    </w:p>
    <w:p>
      <w:pPr>
        <w:pStyle w:val="TextBody"/>
        <w:bidi w:val="0"/>
        <w:spacing w:lineRule="atLeast" w:line="190" w:before="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7"/>
          <w:sz w:val="20"/>
        </w:rPr>
        <w:t>ANNUAL PERFORMANCE ASSESSMENT.</w:t>
      </w:r>
      <w:r>
        <w:rPr>
          <w:rFonts w:ascii="Arial;Helvetica;sans-serif" w:hAnsi="Arial;Helvetica;sans-serif"/>
          <w:b w:val="false"/>
          <w:i w:val="false"/>
          <w:caps w:val="false"/>
          <w:smallCaps w:val="false"/>
          <w:color w:val="000000"/>
          <w:spacing w:val="-1"/>
          <w:sz w:val="18"/>
        </w:rPr>
        <w:t xml:space="preserve"> The Committee reviewed the Board’s current evaluation process and continued to update the evaluation tools to incorporate the best practices. The Board’s annual evaluation of the effectiveness and contributions of the Board are conducted via an electronic Board Self-Assessment Survey. </w:t>
      </w:r>
    </w:p>
    <w:p>
      <w:pPr>
        <w:pStyle w:val="TextBody"/>
        <w:bidi w:val="0"/>
        <w:spacing w:lineRule="atLeast" w:line="230" w:before="40" w:after="283"/>
        <w:jc w:val="left"/>
        <w:rPr>
          <w:rFonts w:ascii="Arial;Helvetica;sans-serif" w:hAnsi="Arial;Helvetica;sans-serif"/>
          <w:b/>
          <w:i w:val="false"/>
          <w:caps w:val="false"/>
          <w:smallCaps w:val="false"/>
          <w:color w:val="002F56"/>
          <w:sz w:val="22"/>
        </w:rPr>
      </w:pPr>
      <w:r>
        <w:rPr>
          <w:rFonts w:ascii="Arial;Helvetica;sans-serif" w:hAnsi="Arial;Helvetica;sans-serif"/>
          <w:b/>
          <w:i w:val="false"/>
          <w:caps w:val="false"/>
          <w:smallCaps w:val="false"/>
          <w:color w:val="002F56"/>
          <w:spacing w:val="-8"/>
          <w:sz w:val="22"/>
        </w:rPr>
        <w:t>5</w:t>
      </w:r>
      <w:r>
        <w:rPr>
          <w:rFonts w:ascii="Arial;Helvetica;sans-serif" w:hAnsi="Arial;Helvetica;sans-serif"/>
          <w:b/>
          <w:i w:val="false"/>
          <w:caps w:val="false"/>
          <w:smallCaps w:val="false"/>
          <w:color w:val="002F56"/>
          <w:sz w:val="22"/>
        </w:rPr>
        <w:t xml:space="preserve"> </w:t>
      </w:r>
    </w:p>
    <w:p>
      <w:pPr>
        <w:pStyle w:val="TextBody"/>
        <w:bidi w:val="0"/>
        <w:spacing w:lineRule="atLeast" w:line="190" w:before="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7"/>
          <w:sz w:val="20"/>
        </w:rPr>
        <w:t>CONTINUING EDUCATION.</w:t>
      </w:r>
      <w:r>
        <w:rPr>
          <w:rFonts w:ascii="Arial;Helvetica;sans-serif" w:hAnsi="Arial;Helvetica;sans-serif"/>
          <w:b w:val="false"/>
          <w:i w:val="false"/>
          <w:caps w:val="false"/>
          <w:smallCaps w:val="false"/>
          <w:color w:val="000000"/>
          <w:spacing w:val="-1"/>
          <w:sz w:val="18"/>
        </w:rPr>
        <w:t xml:space="preserve"> The Committee reviewed and updated the orientation initiatives for new directors and the ongoing director education programs. The Committee also reviews the Company’s overall training efforts. </w:t>
      </w:r>
    </w:p>
    <w:p>
      <w:pPr>
        <w:pStyle w:val="TextBody"/>
        <w:bidi w:val="0"/>
        <w:spacing w:lineRule="atLeast" w:line="230" w:before="40" w:after="283"/>
        <w:jc w:val="left"/>
        <w:rPr>
          <w:rFonts w:ascii="Arial;Helvetica;sans-serif" w:hAnsi="Arial;Helvetica;sans-serif"/>
          <w:b/>
          <w:i w:val="false"/>
          <w:caps w:val="false"/>
          <w:smallCaps w:val="false"/>
          <w:color w:val="002F56"/>
          <w:sz w:val="22"/>
        </w:rPr>
      </w:pPr>
      <w:r>
        <w:rPr>
          <w:rFonts w:ascii="Arial;Helvetica;sans-serif" w:hAnsi="Arial;Helvetica;sans-serif"/>
          <w:b/>
          <w:i w:val="false"/>
          <w:caps w:val="false"/>
          <w:smallCaps w:val="false"/>
          <w:color w:val="002F56"/>
          <w:spacing w:val="-8"/>
          <w:sz w:val="22"/>
        </w:rPr>
        <w:t>6</w:t>
      </w:r>
      <w:r>
        <w:rPr>
          <w:rFonts w:ascii="Arial;Helvetica;sans-serif" w:hAnsi="Arial;Helvetica;sans-serif"/>
          <w:b/>
          <w:i w:val="false"/>
          <w:caps w:val="false"/>
          <w:smallCaps w:val="false"/>
          <w:color w:val="002F56"/>
          <w:sz w:val="22"/>
        </w:rPr>
        <w:t xml:space="preserve"> </w:t>
      </w:r>
    </w:p>
    <w:p>
      <w:pPr>
        <w:pStyle w:val="TextBody"/>
        <w:bidi w:val="0"/>
        <w:spacing w:lineRule="atLeast" w:line="190" w:before="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7"/>
          <w:sz w:val="20"/>
        </w:rPr>
        <w:t>SUSTAINABILITY OVERSIGHT.</w:t>
      </w:r>
      <w:r>
        <w:rPr>
          <w:rFonts w:ascii="Arial;Helvetica;sans-serif" w:hAnsi="Arial;Helvetica;sans-serif"/>
          <w:b w:val="false"/>
          <w:i w:val="false"/>
          <w:caps w:val="false"/>
          <w:smallCaps w:val="false"/>
          <w:color w:val="000000"/>
          <w:spacing w:val="-1"/>
          <w:sz w:val="18"/>
        </w:rPr>
        <w:t xml:space="preserve"> The Committee provided oversight and guidance with regard to how the Company and management evaluate and integrate corporate responsibility and sustainability into the Company’s business strategy, decision-making, and stakeholder communication. This includes evaluating our: </w:t>
      </w:r>
    </w:p>
    <w:p>
      <w:pPr>
        <w:pStyle w:val="TextBody"/>
        <w:bidi w:val="0"/>
        <w:spacing w:lineRule="atLeast" w:line="220" w:before="18"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environmental footprint,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 distB="0" distL="25400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540"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9pt;mso-wrap-distance-bottom:0pt;margin-top:0.9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climate trends,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541"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sustainable solutions,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542"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employee safety and well-being,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543"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human rights,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544"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compliance,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545"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diversity and inclusion.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546"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190" w:before="4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connection, the Committee reviewed the Company’s progress toward its environmental reduction targets, the Company’s sustainability policies, assessments and ratings of the Company’s sustainability progress by outside firms, and the Company’s diversity data and efforts of the Global Inclusion Council. The Committee also reviews and comments on the Company’s annual Corporate Sustainability Report.</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8907"/>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8907" w:type="dxa"/>
            <w:tcBorders>
              <w:bottom w:val="single" w:sz="6" w:space="0" w:color="002F56"/>
            </w:tcBorders>
            <w:shd w:fill="002F56" w:val="clear"/>
            <w:vAlign w:val="center"/>
          </w:tcPr>
          <w:p>
            <w:pPr>
              <w:pStyle w:val="TableContents"/>
              <w:bidi w:val="0"/>
              <w:spacing w:lineRule="atLeast" w:line="190" w:before="0" w:after="0"/>
              <w:jc w:val="center"/>
              <w:rPr/>
            </w:pPr>
            <w:r>
              <w:rPr>
                <w:spacing w:val="-7"/>
              </w:rPr>
              <w:t>SUBMITTED BY THE CORPORATE GOVERNANCE AND NOMINATING COMMITTEE OF THE BOARD OF DIRECTORS</w:t>
            </w:r>
            <w:r>
              <w:rPr/>
              <w:t xml:space="preserve"> </w:t>
            </w:r>
          </w:p>
        </w:tc>
        <w:tc>
          <w:tcPr>
            <w:tcW w:w="154" w:type="dxa"/>
            <w:tcBorders>
              <w:bottom w:val="single" w:sz="2" w:space="0" w:color="002F56"/>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611"/>
        <w:gridCol w:w="109"/>
        <w:gridCol w:w="109"/>
        <w:gridCol w:w="1354"/>
        <w:gridCol w:w="109"/>
        <w:gridCol w:w="109"/>
        <w:gridCol w:w="1681"/>
        <w:gridCol w:w="109"/>
        <w:gridCol w:w="109"/>
        <w:gridCol w:w="1724"/>
        <w:gridCol w:w="109"/>
        <w:gridCol w:w="109"/>
        <w:gridCol w:w="1662"/>
        <w:gridCol w:w="157"/>
      </w:tblGrid>
      <w:tr>
        <w:trPr/>
        <w:tc>
          <w:tcPr>
            <w:tcW w:w="124" w:type="dxa"/>
            <w:tcBorders/>
            <w:vAlign w:val="center"/>
          </w:tcPr>
          <w:p>
            <w:pPr>
              <w:pStyle w:val="TableContents"/>
              <w:bidi w:val="0"/>
              <w:spacing w:before="0" w:after="283"/>
              <w:jc w:val="left"/>
              <w:rPr/>
            </w:pPr>
            <w:r>
              <w:rPr/>
              <w:t>​</w:t>
            </w:r>
          </w:p>
        </w:tc>
        <w:tc>
          <w:tcPr>
            <w:tcW w:w="1611" w:type="dxa"/>
            <w:tcBorders/>
            <w:vAlign w:val="center"/>
          </w:tcPr>
          <w:p>
            <w:pPr>
              <w:pStyle w:val="TableContents"/>
              <w:bidi w:val="0"/>
              <w:spacing w:lineRule="atLeast" w:line="200" w:before="0" w:after="0"/>
              <w:jc w:val="center"/>
              <w:rPr/>
            </w:pPr>
            <w:r>
              <w:rPr>
                <w:spacing w:val="-6"/>
              </w:rPr>
              <w:t xml:space="preserve">JOSEPH C. BREUNIG, </w:t>
            </w:r>
            <w:r>
              <w:rPr/>
              <w:br/>
            </w:r>
            <w:r>
              <w:rPr>
                <w:b w:val="false"/>
                <w:spacing w:val="-1"/>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4" w:type="dxa"/>
            <w:tcBorders/>
            <w:vAlign w:val="center"/>
          </w:tcPr>
          <w:p>
            <w:pPr>
              <w:pStyle w:val="TableContents"/>
              <w:bidi w:val="0"/>
              <w:spacing w:before="0" w:after="0"/>
              <w:jc w:val="center"/>
              <w:rPr>
                <w:spacing w:val="-6"/>
              </w:rPr>
            </w:pPr>
            <w:r>
              <w:rPr>
                <w:spacing w:val="-6"/>
              </w:rPr>
              <w:t xml:space="preserve">ALISON A. DEANS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1" w:type="dxa"/>
            <w:tcBorders/>
            <w:vAlign w:val="center"/>
          </w:tcPr>
          <w:p>
            <w:pPr>
              <w:pStyle w:val="TableContents"/>
              <w:bidi w:val="0"/>
              <w:spacing w:before="0" w:after="0"/>
              <w:jc w:val="center"/>
              <w:rPr>
                <w:spacing w:val="-6"/>
              </w:rPr>
            </w:pPr>
            <w:r>
              <w:rPr>
                <w:spacing w:val="-6"/>
              </w:rPr>
              <w:t xml:space="preserve">KRISTINA M. JOHNSON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24" w:type="dxa"/>
            <w:tcBorders/>
            <w:vAlign w:val="center"/>
          </w:tcPr>
          <w:p>
            <w:pPr>
              <w:pStyle w:val="TableContents"/>
              <w:bidi w:val="0"/>
              <w:spacing w:before="0" w:after="0"/>
              <w:jc w:val="center"/>
              <w:rPr>
                <w:spacing w:val="-6"/>
              </w:rPr>
            </w:pPr>
            <w:r>
              <w:rPr>
                <w:spacing w:val="-6"/>
              </w:rPr>
              <w:t xml:space="preserve">CAROLYN K. PITTMAN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2" w:type="dxa"/>
            <w:tcBorders/>
            <w:vAlign w:val="center"/>
          </w:tcPr>
          <w:p>
            <w:pPr>
              <w:pStyle w:val="TableContents"/>
              <w:bidi w:val="0"/>
              <w:spacing w:before="0" w:after="0"/>
              <w:jc w:val="center"/>
              <w:rPr/>
            </w:pPr>
            <w:r>
              <w:rPr>
                <w:spacing w:val="-6"/>
              </w:rPr>
              <w:t>MARC E. ROBINSON</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31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ACM"/>
      <w:bookmarkEnd w:id="39"/>
      <w:r>
        <w:rPr>
          <w:rFonts w:ascii="calibri;arial;sans-serif" w:hAnsi="calibri;arial;sans-serif"/>
          <w:b w:val="false"/>
          <w:i w:val="false"/>
          <w:caps w:val="false"/>
          <w:smallCaps w:val="false"/>
          <w:color w:val="000000"/>
          <w:sz w:val="16"/>
        </w:rPr>
        <w:t>​</w:t>
      </w:r>
      <w:bookmarkStart w:id="40" w:name="tP2RO"/>
      <w:bookmarkEnd w:id="40"/>
      <w:r>
        <w:rPr>
          <w:rFonts w:ascii="calibri;arial;sans-serif" w:hAnsi="calibri;arial;sans-serif"/>
          <w:b w:val="false"/>
          <w:i w:val="false"/>
          <w:caps w:val="false"/>
          <w:smallCaps w:val="false"/>
          <w:color w:val="000000"/>
          <w:sz w:val="16"/>
        </w:rPr>
        <w:t>​</w:t>
      </w:r>
      <w:bookmarkStart w:id="41" w:name="tPAFA"/>
      <w:bookmarkEnd w:id="41"/>
      <w:r>
        <w:rPr>
          <w:rFonts w:ascii="calibri;arial;sans-serif" w:hAnsi="calibri;arial;sans-serif"/>
          <w:b w:val="false"/>
          <w:i w:val="false"/>
          <w:caps w:val="false"/>
          <w:smallCaps w:val="false"/>
          <w:color w:val="000000"/>
          <w:sz w:val="16"/>
        </w:rPr>
        <w:t>​</w:t>
      </w:r>
      <w:bookmarkStart w:id="42" w:name="tPRPO"/>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AUDIT COMMITTEE MATTERS</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PROPOSAL 2 — RATIFICATION OF APPOINTMENT OF AUDITORS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of the Board has appointed KPMG LLP to serve as our independent registered public accounting firm for the current fiscal year, subject to the approval of shareholders. KPMG has audited the financial records of the businesses that comprise the Company since 1992. We consider the firm well qualified.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expect that representatives of KPMG will be present at the Annual Meeting of Shareholders. These representatives will have the opportunity to make a statement if they wish to do so and will be available to respond to appropriate questions.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09"/>
        <w:gridCol w:w="598"/>
        <w:gridCol w:w="109"/>
        <w:gridCol w:w="109"/>
        <w:gridCol w:w="7981"/>
        <w:gridCol w:w="155"/>
      </w:tblGrid>
      <w:tr>
        <w:trPr/>
        <w:tc>
          <w:tcPr>
            <w:tcW w:w="124" w:type="dxa"/>
            <w:tcBorders/>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598" w:type="dxa"/>
            <w:tcBorders/>
            <w:shd w:fill="71B1C8" w:val="clear"/>
            <w:vAlign w:val="center"/>
          </w:tcPr>
          <w:p>
            <w:pPr>
              <w:pStyle w:val="TableContents"/>
              <w:bidi w:val="0"/>
              <w:spacing w:before="0" w:after="0"/>
              <w:jc w:val="center"/>
              <w:rPr/>
            </w:pPr>
            <w:r>
              <w:rPr/>
              <w:drawing>
                <wp:inline distT="0" distB="0" distL="0" distR="0">
                  <wp:extent cx="314325" cy="314325"/>
                  <wp:effectExtent l="0" t="0" r="0" b="0"/>
                  <wp:docPr id="54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233" descr=""/>
                          <pic:cNvPicPr>
                            <a:picLocks noChangeAspect="1" noChangeArrowheads="1"/>
                          </pic:cNvPicPr>
                        </pic:nvPicPr>
                        <pic:blipFill>
                          <a:blip r:embed="rId245"/>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7981" w:type="dxa"/>
            <w:tcBorders/>
            <w:shd w:fill="71B1C8" w:val="clear"/>
            <w:vAlign w:val="center"/>
          </w:tcPr>
          <w:p>
            <w:pPr>
              <w:pStyle w:val="TableContents"/>
              <w:bidi w:val="0"/>
              <w:spacing w:lineRule="atLeast" w:line="250" w:before="0" w:after="0"/>
              <w:jc w:val="left"/>
              <w:rPr/>
            </w:pPr>
            <w:r>
              <w:rPr>
                <w:spacing w:val="-13"/>
              </w:rPr>
              <w:t xml:space="preserve">THE BOARD UNANIMOUSLY RECOMMENDS A VOTE </w:t>
            </w:r>
            <w:r>
              <w:rPr>
                <w:color w:val="FEFEFE"/>
                <w:spacing w:val="-13"/>
              </w:rPr>
              <w:t>“FOR”</w:t>
            </w:r>
            <w:r>
              <w:rPr>
                <w:spacing w:val="-13"/>
              </w:rPr>
              <w:t xml:space="preserve"> THE RATIFICATION OF THE APPOINTMENT OF KPMG LLP AS OUR INDEPENDENT REGISTERED PUBLIC ACCOUNTING FIRM FOR THE 2026 FISCAL YEAR.</w:t>
            </w:r>
            <w:r>
              <w:rPr/>
              <w:t xml:space="preserve"> </w:t>
            </w:r>
          </w:p>
        </w:tc>
        <w:tc>
          <w:tcPr>
            <w:tcW w:w="155" w:type="dxa"/>
            <w:tcBorders/>
            <w:shd w:fill="71B1C8" w:val="clear"/>
            <w:vAlign w:val="center"/>
          </w:tcPr>
          <w:p>
            <w:pPr>
              <w:pStyle w:val="TableContents"/>
              <w:bidi w:val="0"/>
              <w:spacing w:before="0" w:after="283"/>
              <w:jc w:val="left"/>
              <w:rPr/>
            </w:pPr>
            <w:r>
              <w:rPr/>
              <w:t>​</w:t>
            </w:r>
          </w:p>
        </w:tc>
      </w:tr>
    </w:tbl>
    <w:p>
      <w:pPr>
        <w:pStyle w:val="TextBody"/>
        <w:bidi w:val="0"/>
        <w:spacing w:lineRule="atLeast" w:line="380" w:before="36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PRINCIPAL ACOUNTING FEES AND SERVICES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incurred the following fees for services performed by KPMG in fiscal years 2025 and 2024:</w:t>
      </w:r>
      <w:r>
        <w:rPr>
          <w:rFonts w:ascii="Arial;Helvetica;sans-serif" w:hAnsi="Arial;Helvetica;sans-serif"/>
          <w:b w:val="false"/>
          <w:i w:val="false"/>
          <w:caps w:val="false"/>
          <w:smallCaps w:val="false"/>
          <w:color w:val="000000"/>
          <w:spacing w:val="4"/>
          <w:sz w:val="18"/>
        </w:rPr>
        <w:t xml:space="preserve"> </w:t>
      </w:r>
    </w:p>
    <w:tbl>
      <w:tblPr>
        <w:tblW w:w="5601" w:type="dxa"/>
        <w:jc w:val="left"/>
        <w:tblInd w:w="1020" w:type="dxa"/>
        <w:tblLayout w:type="fixed"/>
        <w:tblCellMar>
          <w:top w:w="0" w:type="dxa"/>
          <w:left w:w="0" w:type="dxa"/>
          <w:bottom w:w="0" w:type="dxa"/>
          <w:right w:w="0" w:type="dxa"/>
        </w:tblCellMar>
      </w:tblPr>
      <w:tblGrid>
        <w:gridCol w:w="124"/>
        <w:gridCol w:w="2101"/>
        <w:gridCol w:w="109"/>
        <w:gridCol w:w="109"/>
        <w:gridCol w:w="109"/>
        <w:gridCol w:w="109"/>
        <w:gridCol w:w="1066"/>
        <w:gridCol w:w="109"/>
        <w:gridCol w:w="109"/>
        <w:gridCol w:w="109"/>
        <w:gridCol w:w="109"/>
        <w:gridCol w:w="109"/>
        <w:gridCol w:w="1066"/>
        <w:gridCol w:w="109"/>
        <w:gridCol w:w="154"/>
      </w:tblGrid>
      <w:tr>
        <w:trPr/>
        <w:tc>
          <w:tcPr>
            <w:tcW w:w="124" w:type="dxa"/>
            <w:tcBorders/>
            <w:shd w:fill="002F56" w:val="clear"/>
            <w:vAlign w:val="center"/>
          </w:tcPr>
          <w:p>
            <w:pPr>
              <w:pStyle w:val="TableContents"/>
              <w:bidi w:val="0"/>
              <w:spacing w:before="0" w:after="283"/>
              <w:jc w:val="left"/>
              <w:rPr/>
            </w:pPr>
            <w:r>
              <w:rPr/>
              <w:t>​</w:t>
            </w:r>
          </w:p>
        </w:tc>
        <w:tc>
          <w:tcPr>
            <w:tcW w:w="2101" w:type="dxa"/>
            <w:tcBorders/>
            <w:shd w:fill="002F56" w:val="clear"/>
            <w:vAlign w:val="center"/>
          </w:tcPr>
          <w:p>
            <w:pPr>
              <w:pStyle w:val="TableContents"/>
              <w:bidi w:val="0"/>
              <w:spacing w:before="0" w:after="0"/>
              <w:jc w:val="left"/>
              <w:rPr>
                <w:spacing w:val="0"/>
              </w:rPr>
            </w:pPr>
            <w:r>
              <w:rPr>
                <w:spacing w:val="0"/>
              </w:rPr>
              <w:t xml:space="preserve">KPMG Fees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lineRule="atLeast" w:line="190" w:before="0" w:after="0"/>
              <w:jc w:val="center"/>
              <w:rPr>
                <w:spacing w:val="-2"/>
              </w:rPr>
            </w:pPr>
            <w:r>
              <w:rPr>
                <w:spacing w:val="-2"/>
              </w:rPr>
              <w:t xml:space="preserve">2025 </w:t>
              <w:b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lineRule="atLeast" w:line="190" w:before="0" w:after="0"/>
              <w:jc w:val="center"/>
              <w:rPr>
                <w:spacing w:val="-2"/>
              </w:rPr>
            </w:pPr>
            <w:r>
              <w:rPr>
                <w:spacing w:val="-2"/>
              </w:rPr>
              <w:t xml:space="preserve">2024 </w:t>
              <w:b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101" w:type="dxa"/>
            <w:tcBorders>
              <w:bottom w:val="single" w:sz="6" w:space="0" w:color="BFBFBF"/>
            </w:tcBorders>
            <w:tcMar>
              <w:bottom w:w="47" w:type="dxa"/>
            </w:tcMar>
            <w:vAlign w:val="center"/>
          </w:tcPr>
          <w:p>
            <w:pPr>
              <w:pStyle w:val="TableContents"/>
              <w:bidi w:val="0"/>
              <w:spacing w:lineRule="atLeast" w:line="142" w:before="0" w:after="283"/>
              <w:jc w:val="left"/>
              <w:rPr/>
            </w:pPr>
            <w:r>
              <w:rPr>
                <w:spacing w:val="-1"/>
              </w:rPr>
              <w:t>Audit Fees</w:t>
            </w:r>
            <w:r>
              <w:rPr>
                <w:spacing w:val="-1"/>
                <w:sz w:val="11"/>
              </w:rPr>
              <w:t>(1)</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3,778,000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3,738,726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101" w:type="dxa"/>
            <w:tcBorders>
              <w:bottom w:val="single" w:sz="6" w:space="0" w:color="BFBFBF"/>
            </w:tcBorders>
            <w:tcMar>
              <w:bottom w:w="47" w:type="dxa"/>
            </w:tcMar>
            <w:vAlign w:val="center"/>
          </w:tcPr>
          <w:p>
            <w:pPr>
              <w:pStyle w:val="TableContents"/>
              <w:bidi w:val="0"/>
              <w:spacing w:lineRule="atLeast" w:line="142" w:before="0" w:after="283"/>
              <w:jc w:val="left"/>
              <w:rPr/>
            </w:pPr>
            <w:r>
              <w:rPr>
                <w:spacing w:val="-1"/>
              </w:rPr>
              <w:t>Audit-Related Fees</w:t>
            </w:r>
            <w:r>
              <w:rPr>
                <w:spacing w:val="-1"/>
                <w:sz w:val="11"/>
              </w:rPr>
              <w:t>(2)</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61,265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54,123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101" w:type="dxa"/>
            <w:tcBorders>
              <w:bottom w:val="single" w:sz="6" w:space="0" w:color="BFBFBF"/>
            </w:tcBorders>
            <w:tcMar>
              <w:bottom w:w="47" w:type="dxa"/>
            </w:tcMar>
            <w:vAlign w:val="center"/>
          </w:tcPr>
          <w:p>
            <w:pPr>
              <w:pStyle w:val="TableContents"/>
              <w:bidi w:val="0"/>
              <w:spacing w:lineRule="atLeast" w:line="142" w:before="0" w:after="283"/>
              <w:jc w:val="left"/>
              <w:rPr/>
            </w:pPr>
            <w:r>
              <w:rPr>
                <w:spacing w:val="-1"/>
              </w:rPr>
              <w:t>Tax Fees</w:t>
            </w:r>
            <w:r>
              <w:rPr>
                <w:spacing w:val="-1"/>
                <w:sz w:val="11"/>
              </w:rPr>
              <w:t>(3)</w:t>
            </w:r>
            <w:r>
              <w:rPr/>
              <w:t xml:space="preserv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273,591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150,371</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2F56"/>
            </w:tcBorders>
            <w:tcMar>
              <w:bottom w:w="28" w:type="dxa"/>
            </w:tcMar>
            <w:vAlign w:val="center"/>
          </w:tcPr>
          <w:p>
            <w:pPr>
              <w:pStyle w:val="TableContents"/>
              <w:bidi w:val="0"/>
              <w:spacing w:before="0" w:after="283"/>
              <w:jc w:val="left"/>
              <w:rPr/>
            </w:pPr>
            <w:r>
              <w:rPr/>
              <w:t>​</w:t>
            </w:r>
          </w:p>
        </w:tc>
        <w:tc>
          <w:tcPr>
            <w:tcW w:w="2101" w:type="dxa"/>
            <w:tcBorders>
              <w:bottom w:val="single" w:sz="6" w:space="0" w:color="002F56"/>
            </w:tcBorders>
            <w:tcMar>
              <w:bottom w:w="55" w:type="dxa"/>
            </w:tcMar>
            <w:vAlign w:val="center"/>
          </w:tcPr>
          <w:p>
            <w:pPr>
              <w:pStyle w:val="TableContents"/>
              <w:bidi w:val="0"/>
              <w:spacing w:lineRule="atLeast" w:line="142" w:before="0" w:after="283"/>
              <w:jc w:val="left"/>
              <w:rPr/>
            </w:pPr>
            <w:r>
              <w:rPr>
                <w:spacing w:val="-1"/>
              </w:rPr>
              <w:t>All Other Fees</w:t>
            </w:r>
            <w:r>
              <w:rPr>
                <w:spacing w:val="-1"/>
                <w:sz w:val="11"/>
              </w:rPr>
              <w:t>(4)</w:t>
            </w:r>
            <w:r>
              <w:rPr/>
              <w:t xml:space="preserve"> </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2,730</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2,730</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54" w:type="dxa"/>
            <w:tcBorders>
              <w:bottom w:val="single" w:sz="6" w:space="0" w:color="002F56"/>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2101" w:type="dxa"/>
            <w:tcBorders>
              <w:bottom w:val="single" w:sz="12" w:space="0" w:color="71B1C8"/>
            </w:tcBorders>
            <w:tcMar>
              <w:bottom w:w="28" w:type="dxa"/>
            </w:tcMar>
            <w:vAlign w:val="center"/>
          </w:tcPr>
          <w:p>
            <w:pPr>
              <w:pStyle w:val="TableContents"/>
              <w:bidi w:val="0"/>
              <w:spacing w:before="0" w:after="283"/>
              <w:jc w:val="left"/>
              <w:rPr/>
            </w:pPr>
            <w:r>
              <w:rPr>
                <w:spacing w:val="0"/>
              </w:rPr>
              <w:t>Total Fees</w:t>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4,115,586</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3,945,950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Audit Fees</w:t>
      </w:r>
      <w:r>
        <w:rPr>
          <w:rFonts w:ascii="Arial;Helvetica;sans-serif" w:hAnsi="Arial;Helvetica;sans-serif"/>
          <w:b w:val="false"/>
          <w:i w:val="false"/>
          <w:caps w:val="false"/>
          <w:smallCaps w:val="false"/>
          <w:color w:val="000000"/>
          <w:spacing w:val="-1"/>
          <w:sz w:val="16"/>
        </w:rPr>
        <w:t xml:space="preserve"> are fees the Company paid to KPMG for professional services for the audit of the Company’s consolidated financial statements included in the Annual Report on Form 10-K, including fees associated with the audit of internal control over financial reporting, and review of financial statements included in Quarterly Reports on Form 10-Q, or for services that are normally provided by the independent registered public accounting firm in connection with statutory and regulatory filings or engagements, such as comfort letters in connection with securities offerings and consent for registration statements.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609">
                <wp:simplePos x="0" y="0"/>
                <wp:positionH relativeFrom="column">
                  <wp:align>left</wp:align>
                </wp:positionH>
                <wp:positionV relativeFrom="line">
                  <wp:align>top</wp:align>
                </wp:positionV>
                <wp:extent cx="254000" cy="254000"/>
                <wp:effectExtent l="0" t="0" r="0" b="0"/>
                <wp:wrapSquare wrapText="right"/>
                <wp:docPr id="548" name="Frame30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Audit-Related Fees</w:t>
      </w:r>
      <w:r>
        <w:rPr>
          <w:rFonts w:ascii="Arial;Helvetica;sans-serif" w:hAnsi="Arial;Helvetica;sans-serif"/>
          <w:b w:val="false"/>
          <w:i w:val="false"/>
          <w:caps w:val="false"/>
          <w:smallCaps w:val="false"/>
          <w:color w:val="000000"/>
          <w:spacing w:val="-1"/>
          <w:sz w:val="16"/>
        </w:rPr>
        <w:t xml:space="preserve"> are billed by KPMG for assurance services that are reasonably related to the audit or review of the Company’s financial statements, including XBRL tagging, attestation procedures, due diligence, and benefit plan audits.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610">
                <wp:simplePos x="0" y="0"/>
                <wp:positionH relativeFrom="column">
                  <wp:align>left</wp:align>
                </wp:positionH>
                <wp:positionV relativeFrom="line">
                  <wp:align>top</wp:align>
                </wp:positionV>
                <wp:extent cx="254000" cy="254000"/>
                <wp:effectExtent l="0" t="0" r="0" b="0"/>
                <wp:wrapSquare wrapText="right"/>
                <wp:docPr id="549" name="Frame30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Tax Fees</w:t>
      </w:r>
      <w:r>
        <w:rPr>
          <w:rFonts w:ascii="Arial;Helvetica;sans-serif" w:hAnsi="Arial;Helvetica;sans-serif"/>
          <w:b w:val="false"/>
          <w:i w:val="false"/>
          <w:caps w:val="false"/>
          <w:smallCaps w:val="false"/>
          <w:color w:val="000000"/>
          <w:spacing w:val="-1"/>
          <w:sz w:val="16"/>
        </w:rPr>
        <w:t xml:space="preserve"> are fees billed by KPMG for tax compliance and tax advice.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611">
                <wp:simplePos x="0" y="0"/>
                <wp:positionH relativeFrom="column">
                  <wp:align>left</wp:align>
                </wp:positionH>
                <wp:positionV relativeFrom="line">
                  <wp:align>top</wp:align>
                </wp:positionV>
                <wp:extent cx="254000" cy="254000"/>
                <wp:effectExtent l="0" t="0" r="0" b="0"/>
                <wp:wrapSquare wrapText="right"/>
                <wp:docPr id="550" name="Frame30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(3)</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i w:val="false"/>
          <w:caps w:val="false"/>
          <w:smallCaps w:val="false"/>
          <w:color w:val="000000"/>
          <w:spacing w:val="0"/>
          <w:sz w:val="16"/>
        </w:rPr>
        <w:t>All Other Fees</w:t>
      </w:r>
      <w:r>
        <w:rPr>
          <w:rFonts w:ascii="Arial;Helvetica;sans-serif" w:hAnsi="Arial;Helvetica;sans-serif"/>
          <w:b w:val="false"/>
          <w:i w:val="false"/>
          <w:caps w:val="false"/>
          <w:smallCaps w:val="false"/>
          <w:color w:val="000000"/>
          <w:spacing w:val="-1"/>
          <w:sz w:val="16"/>
        </w:rPr>
        <w:t xml:space="preserve"> are fees billed by KPMG to the Company for any services not included in the first three categories.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612">
                <wp:simplePos x="0" y="0"/>
                <wp:positionH relativeFrom="column">
                  <wp:align>left</wp:align>
                </wp:positionH>
                <wp:positionV relativeFrom="line">
                  <wp:align>top</wp:align>
                </wp:positionV>
                <wp:extent cx="254000" cy="254000"/>
                <wp:effectExtent l="0" t="0" r="0" b="0"/>
                <wp:wrapSquare wrapText="right"/>
                <wp:docPr id="551" name="Frame30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(4)</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PRE-APPROVAL POLICY</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Audit Committee established a policy that requires it to approve all services provided by its independent registered public accounting firm before the independent registered public accounting firm provides those services. The Audit Committee has pre-approved the engagement of the independent registered public accounting firm for audit services, audit-related services, tax services, and all other fees within defined limits. All of the Audit Fees, Audit-Related Fees, Tax Fees, and All Other Fees paid to KPMG were approved by the Audit Committee in accordance with its pre-approval policy in fiscal year 2025.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Audit Committee considered all these services in connection with KPMG’s audits of the Company’s financial statements, and internal control over financial reporting for the fiscal years ended December 31, 2025 and 2024, and concluded that they were compatible with maintaining KPMG’s independence from the Company in the applicable periods.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32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ROT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AUDIT COMMITTEE MATTERS</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REPORT OF THE AUDIT COMMITTEE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assists the Board in fulfilling its responsibility for oversight of the quality and integrity of the accounting, auditing, and reporting practices of the Company. As part of fulfilling its oversight responsibility, the Audit Committee reviewed and discussed with management the audited financial statements of the Company, including its assessment of the effectiveness of the Company’s internal control over financial reporting as of and for the year ended December 31, 2025. In addition, the Audit Committee discussed with the Company’s independent registered public accounting firm the matters required to be discussed by Public Company Accounting Oversight Board Auditing Standard No. 1301, “</w:t>
      </w:r>
      <w:r>
        <w:rPr>
          <w:rFonts w:ascii="Arial;Helvetica;sans-serif" w:hAnsi="Arial;Helvetica;sans-serif"/>
          <w:b w:val="false"/>
          <w:i/>
          <w:caps w:val="false"/>
          <w:smallCaps w:val="false"/>
          <w:color w:val="000000"/>
          <w:sz w:val="18"/>
        </w:rPr>
        <w:t>Communications with Audit Committees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Audit Committee has discussed with KPMG the independent accountant’s independence from the Company and has received from KPMG the written disclosures and the letter required by applicable requirements of the Public Company Accounting Oversight Board regarding the independent accountant’s communications with the Audit Committee concerning independence.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upon the review and discussions referred to above, the Audit Committee recommended to the Board that the Company’s audited financial statements be included in the Company’s Annual Report on Form 10-K for the fiscal year ended December 31, 2025, for filing with the SEC.</w:t>
      </w:r>
      <w:r>
        <w:rPr>
          <w:rFonts w:ascii="Arial;Helvetica;sans-serif" w:hAnsi="Arial;Helvetica;sans-serif"/>
          <w:b w:val="false"/>
          <w:i w:val="false"/>
          <w:caps w:val="false"/>
          <w:smallCaps w:val="false"/>
          <w:color w:val="000000"/>
          <w:spacing w:val="4"/>
          <w:sz w:val="18"/>
        </w:rPr>
        <w:t xml:space="preserve"> </w:t>
      </w:r>
    </w:p>
    <w:tbl>
      <w:tblPr>
        <w:tblW w:w="8481" w:type="dxa"/>
        <w:jc w:val="left"/>
        <w:tblInd w:w="1020" w:type="dxa"/>
        <w:tblLayout w:type="fixed"/>
        <w:tblCellMar>
          <w:top w:w="0" w:type="dxa"/>
          <w:left w:w="0" w:type="dxa"/>
          <w:bottom w:w="28" w:type="dxa"/>
          <w:right w:w="0" w:type="dxa"/>
        </w:tblCellMar>
      </w:tblPr>
      <w:tblGrid>
        <w:gridCol w:w="124"/>
        <w:gridCol w:w="8203"/>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8203" w:type="dxa"/>
            <w:tcBorders>
              <w:bottom w:val="single" w:sz="6" w:space="0" w:color="002F56"/>
            </w:tcBorders>
            <w:shd w:fill="002F56" w:val="clear"/>
            <w:vAlign w:val="center"/>
          </w:tcPr>
          <w:p>
            <w:pPr>
              <w:pStyle w:val="TableContents"/>
              <w:bidi w:val="0"/>
              <w:spacing w:lineRule="atLeast" w:line="190" w:before="0" w:after="0"/>
              <w:jc w:val="center"/>
              <w:rPr/>
            </w:pPr>
            <w:r>
              <w:rPr>
                <w:spacing w:val="-7"/>
              </w:rPr>
              <w:t>SUBMITTED BY THE AUDIT COMMITTEE OF THE BOARD OF DIRECTORS</w:t>
            </w:r>
            <w:r>
              <w:rPr/>
              <w:t xml:space="preserve"> </w:t>
            </w:r>
          </w:p>
        </w:tc>
        <w:tc>
          <w:tcPr>
            <w:tcW w:w="154" w:type="dxa"/>
            <w:tcBorders>
              <w:bottom w:val="single" w:sz="2" w:space="0" w:color="002F56"/>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405"/>
        <w:gridCol w:w="109"/>
        <w:gridCol w:w="109"/>
        <w:gridCol w:w="1300"/>
        <w:gridCol w:w="109"/>
        <w:gridCol w:w="109"/>
        <w:gridCol w:w="1321"/>
        <w:gridCol w:w="109"/>
        <w:gridCol w:w="109"/>
        <w:gridCol w:w="1221"/>
        <w:gridCol w:w="109"/>
        <w:gridCol w:w="109"/>
        <w:gridCol w:w="1280"/>
        <w:gridCol w:w="109"/>
        <w:gridCol w:w="109"/>
        <w:gridCol w:w="1286"/>
        <w:gridCol w:w="158"/>
      </w:tblGrid>
      <w:tr>
        <w:trPr/>
        <w:tc>
          <w:tcPr>
            <w:tcW w:w="124" w:type="dxa"/>
            <w:tcBorders/>
            <w:vAlign w:val="center"/>
          </w:tcPr>
          <w:p>
            <w:pPr>
              <w:pStyle w:val="TableContents"/>
              <w:bidi w:val="0"/>
              <w:spacing w:before="0" w:after="283"/>
              <w:jc w:val="left"/>
              <w:rPr/>
            </w:pPr>
            <w:r>
              <w:rPr/>
              <w:t>​</w:t>
            </w:r>
          </w:p>
        </w:tc>
        <w:tc>
          <w:tcPr>
            <w:tcW w:w="1405" w:type="dxa"/>
            <w:tcBorders/>
            <w:vAlign w:val="center"/>
          </w:tcPr>
          <w:p>
            <w:pPr>
              <w:pStyle w:val="TableContents"/>
              <w:bidi w:val="0"/>
              <w:spacing w:lineRule="atLeast" w:line="200" w:before="0" w:after="0"/>
              <w:jc w:val="center"/>
              <w:rPr/>
            </w:pPr>
            <w:r>
              <w:rPr>
                <w:spacing w:val="-6"/>
              </w:rPr>
              <w:t xml:space="preserve">MARC E. ROBINSON, </w:t>
            </w:r>
            <w:r>
              <w:rPr>
                <w:b w:val="false"/>
                <w:spacing w:val="-1"/>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0" w:type="dxa"/>
            <w:tcBorders/>
            <w:vAlign w:val="center"/>
          </w:tcPr>
          <w:p>
            <w:pPr>
              <w:pStyle w:val="TableContents"/>
              <w:bidi w:val="0"/>
              <w:spacing w:lineRule="atLeast" w:line="200" w:before="0" w:after="0"/>
              <w:jc w:val="center"/>
              <w:rPr>
                <w:spacing w:val="-6"/>
              </w:rPr>
            </w:pPr>
            <w:r>
              <w:rPr>
                <w:spacing w:val="-6"/>
              </w:rPr>
              <w:t xml:space="preserve">JOHN J. </w:t>
              <w:br/>
              <w:t xml:space="preserve">CARMOLA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lineRule="atLeast" w:line="200" w:before="0" w:after="0"/>
              <w:jc w:val="center"/>
              <w:rPr>
                <w:spacing w:val="-6"/>
              </w:rPr>
            </w:pPr>
            <w:r>
              <w:rPr>
                <w:spacing w:val="-6"/>
              </w:rPr>
              <w:t xml:space="preserve">FRANKLIN L. FEDER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1" w:type="dxa"/>
            <w:tcBorders/>
            <w:vAlign w:val="center"/>
          </w:tcPr>
          <w:p>
            <w:pPr>
              <w:pStyle w:val="TableContents"/>
              <w:bidi w:val="0"/>
              <w:spacing w:lineRule="atLeast" w:line="200" w:before="0" w:after="0"/>
              <w:jc w:val="center"/>
              <w:rPr>
                <w:spacing w:val="-6"/>
              </w:rPr>
            </w:pPr>
            <w:r>
              <w:rPr>
                <w:spacing w:val="-6"/>
              </w:rPr>
              <w:t xml:space="preserve">KRISTINA M. JOHNSON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lineRule="atLeast" w:line="200" w:before="0" w:after="0"/>
              <w:jc w:val="center"/>
              <w:rPr>
                <w:spacing w:val="-6"/>
              </w:rPr>
            </w:pPr>
            <w:r>
              <w:rPr>
                <w:spacing w:val="-6"/>
              </w:rPr>
              <w:t xml:space="preserve">ROCKY MOTWANI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lineRule="atLeast" w:line="200" w:before="0" w:after="0"/>
              <w:jc w:val="center"/>
              <w:rPr/>
            </w:pPr>
            <w:r>
              <w:rPr>
                <w:spacing w:val="-6"/>
              </w:rPr>
              <w:t>CAROLYN K. PITTMAN</w:t>
            </w:r>
            <w:r>
              <w:rPr/>
              <w:t xml:space="preserve"> </w:t>
            </w:r>
          </w:p>
        </w:tc>
        <w:tc>
          <w:tcPr>
            <w:tcW w:w="158"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33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P3AV"/>
      <w:bookmarkEnd w:id="44"/>
      <w:r>
        <w:rPr>
          <w:rFonts w:ascii="calibri;arial;sans-serif" w:hAnsi="calibri;arial;sans-serif"/>
          <w:b w:val="false"/>
          <w:i w:val="false"/>
          <w:caps w:val="false"/>
          <w:smallCaps w:val="false"/>
          <w:color w:val="000000"/>
          <w:sz w:val="16"/>
        </w:rPr>
        <w:t>​</w:t>
      </w:r>
      <w:bookmarkStart w:id="45" w:name="tEXCO"/>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EXECUTIVE COMPENSATION</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PROPOSAL 3 — ADVISORY VOTE TO APPROVE 2025 NAMED EXECUTIVE OFFICER COMPENSATION</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of Directors is asking you to approve, on an advisory basis, the 2025 compensation of our named executive officers as described in the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 and “</w:t>
      </w:r>
      <w:r>
        <w:rPr>
          <w:rFonts w:ascii="Arial;Helvetica;sans-serif" w:hAnsi="Arial;Helvetica;sans-serif"/>
          <w:b w:val="false"/>
          <w:i/>
          <w:caps w:val="false"/>
          <w:smallCaps w:val="false"/>
          <w:color w:val="000000"/>
          <w:sz w:val="18"/>
        </w:rPr>
        <w:t>Compensation Tables and Narrative</w:t>
      </w:r>
      <w:r>
        <w:rPr>
          <w:rFonts w:ascii="Arial;Helvetica;sans-serif" w:hAnsi="Arial;Helvetica;sans-serif"/>
          <w:b w:val="false"/>
          <w:i w:val="false"/>
          <w:caps w:val="false"/>
          <w:smallCaps w:val="false"/>
          <w:color w:val="000000"/>
          <w:spacing w:val="-1"/>
          <w:sz w:val="18"/>
        </w:rPr>
        <w:t>” sections of this Proxy Statement. This proposal is commonly known as “Say-on-Pay.”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While this vote is advisory, and not binding on the Company, the Compensation Committee or the Board of Directors, it will provide information to us regarding investor sentiment about our executive compensation philosophy, policies, and practices, which the Compensation Committee will be able to consider when determining executive compensation for the future. This vote is not intended to address any specific item of compensation, but rather the overall compensation of our named executive officers and the philosophy, policies, and practices described in this Proxy Statement. You should read the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 which discusses how our executive compensation policies and programs implement our executive compensation philosophy, and the “</w:t>
      </w:r>
      <w:r>
        <w:rPr>
          <w:rFonts w:ascii="Arial;Helvetica;sans-serif" w:hAnsi="Arial;Helvetica;sans-serif"/>
          <w:b w:val="false"/>
          <w:i/>
          <w:caps w:val="false"/>
          <w:smallCaps w:val="false"/>
          <w:color w:val="000000"/>
          <w:sz w:val="18"/>
        </w:rPr>
        <w:t>Compensation Tables and Narrative</w:t>
      </w:r>
      <w:r>
        <w:rPr>
          <w:rFonts w:ascii="Arial;Helvetica;sans-serif" w:hAnsi="Arial;Helvetica;sans-serif"/>
          <w:b w:val="false"/>
          <w:i w:val="false"/>
          <w:caps w:val="false"/>
          <w:smallCaps w:val="false"/>
          <w:color w:val="000000"/>
          <w:spacing w:val="-1"/>
          <w:sz w:val="18"/>
        </w:rPr>
        <w:t>” section which summarizes the 2025 compensation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determining whether to approve this proposal, we believe you should consider how we link pay to performance, which is discussed in detail in the “</w:t>
      </w:r>
      <w:r>
        <w:rPr>
          <w:rFonts w:ascii="Arial;Helvetica;sans-serif" w:hAnsi="Arial;Helvetica;sans-serif"/>
          <w:b w:val="false"/>
          <w:i/>
          <w:caps w:val="false"/>
          <w:smallCaps w:val="false"/>
          <w:color w:val="000000"/>
          <w:sz w:val="18"/>
        </w:rPr>
        <w:t>Compensation Discussion and Analysis</w:t>
      </w:r>
      <w:r>
        <w:rPr>
          <w:rFonts w:ascii="Arial;Helvetica;sans-serif" w:hAnsi="Arial;Helvetica;sans-serif"/>
          <w:b w:val="false"/>
          <w:i w:val="false"/>
          <w:caps w:val="false"/>
          <w:smallCaps w:val="false"/>
          <w:color w:val="000000"/>
          <w:spacing w:val="-1"/>
          <w:sz w:val="18"/>
        </w:rPr>
        <w:t>” section under “</w:t>
      </w:r>
      <w:r>
        <w:rPr>
          <w:rFonts w:ascii="Arial;Helvetica;sans-serif" w:hAnsi="Arial;Helvetica;sans-serif"/>
          <w:b w:val="false"/>
          <w:i/>
          <w:caps w:val="false"/>
          <w:smallCaps w:val="false"/>
          <w:color w:val="000000"/>
          <w:sz w:val="18"/>
        </w:rPr>
        <w:t>How We Tie Pay to Performance</w:t>
      </w:r>
      <w:r>
        <w:rPr>
          <w:rFonts w:ascii="Arial;Helvetica;sans-serif" w:hAnsi="Arial;Helvetica;sans-serif"/>
          <w:b w:val="false"/>
          <w:i w:val="false"/>
          <w:caps w:val="false"/>
          <w:smallCaps w:val="false"/>
          <w:color w:val="000000"/>
          <w:spacing w:val="-1"/>
          <w:sz w:val="18"/>
        </w:rPr>
        <w:t>.” In particular, you should bear in mind: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9" w:after="0"/>
        <w:ind w:left="14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performance in 2025 reflects our continued progress against key objectives, including: </w:t>
      </w:r>
      <w:r>
        <mc:AlternateContent>
          <mc:Choice Requires="wps">
            <w:drawing>
              <wp:anchor behindDoc="0" distT="101600" distB="0" distL="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552"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b/>
                                <w:color w:val="002F56"/>
                                <w:spacing w:val="-8"/>
                                <w:sz w:val="2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b/>
                          <w:color w:val="002F56"/>
                          <w:spacing w:val="-8"/>
                          <w:sz w:val="22"/>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executing on our growth strategies,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9050" distB="0" distL="25400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55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5pt;mso-wrap-distance-bottom:0pt;margin-top:1.5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delivering strong operating results,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55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generating strong free cash flow and retaining a solid balance sheet.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55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Key accomplishments in 2025 include: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navigated a volatile macro environment while remaining focused on growth initiatives in both segments,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9050" distB="0" distL="25400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55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1.5pt;mso-wrap-distance-bottom:0pt;margin-top:1.5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made well-timed capital investments to support our growth,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55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new product revenue reached 19% of total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55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took proactive steps to improve our cost structure,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55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returned $73M through dividends and share repurchases,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21">
                <wp:simplePos x="0" y="0"/>
                <wp:positionH relativeFrom="column">
                  <wp:align>left</wp:align>
                </wp:positionH>
                <wp:positionV relativeFrom="line">
                  <wp:align>top</wp:align>
                </wp:positionV>
                <wp:extent cx="127000" cy="350520"/>
                <wp:effectExtent l="0" t="0" r="0" b="0"/>
                <wp:wrapSquare wrapText="right"/>
                <wp:docPr id="56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maintained strong balance sheet.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561"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caps w:val="false"/>
          <w:smallCaps w:val="false"/>
          <w:color w:val="000000"/>
        </w:rPr>
      </w:pPr>
      <w:r>
        <w:rPr>
          <w:caps w:val="false"/>
          <w:smallCaps w:val="false"/>
          <w:color w:val="000000"/>
          <w:spacing w:val="-1"/>
        </w:rPr>
        <w:t>   </w:t>
      </w:r>
      <w:r>
        <w:rPr>
          <w:rFonts w:ascii="Arial;Helvetica;sans-serif" w:hAnsi="Arial;Helvetica;sans-serif"/>
          <w:b w:val="false"/>
          <w:i w:val="false"/>
          <w:caps w:val="false"/>
          <w:smallCaps w:val="false"/>
          <w:color w:val="000000"/>
          <w:spacing w:val="-1"/>
          <w:sz w:val="16"/>
        </w:rPr>
        <w:t>% of sales from products commercialized in the last 5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623">
                <wp:simplePos x="0" y="0"/>
                <wp:positionH relativeFrom="column">
                  <wp:align>left</wp:align>
                </wp:positionH>
                <wp:positionV relativeFrom="line">
                  <wp:align>top</wp:align>
                </wp:positionV>
                <wp:extent cx="254000" cy="254000"/>
                <wp:effectExtent l="0" t="0" r="0" b="0"/>
                <wp:wrapSquare wrapText="right"/>
                <wp:docPr id="562" name="Frame31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79" w:after="0"/>
        <w:ind w:left="14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Over 87% of the compensation of our Chief Executive Officer, Douglas T. Dietrich, is at risk and variable depending on company and individual performance. We believe that the compensation received by our named executive officers in respect to fiscal year 2025 appropriately aligned executive pay with our performance. </w:t>
      </w:r>
      <w:r>
        <mc:AlternateContent>
          <mc:Choice Requires="wps">
            <w:drawing>
              <wp:anchor behindDoc="0" distT="107950" distB="0" distL="0" distR="0" simplePos="0" locked="0" layoutInCell="1" allowOverlap="1" relativeHeight="624">
                <wp:simplePos x="0" y="0"/>
                <wp:positionH relativeFrom="column">
                  <wp:align>left</wp:align>
                </wp:positionH>
                <wp:positionV relativeFrom="line">
                  <wp:align>top</wp:align>
                </wp:positionV>
                <wp:extent cx="254000" cy="350520"/>
                <wp:effectExtent l="0" t="0" r="0" b="0"/>
                <wp:wrapSquare wrapText="right"/>
                <wp:docPr id="563"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b/>
                                <w:color w:val="002F56"/>
                                <w:spacing w:val="-8"/>
                                <w:sz w:val="2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50" w:before="0" w:after="283"/>
                        <w:jc w:val="left"/>
                        <w:rPr/>
                      </w:pPr>
                      <w:r>
                        <w:rPr>
                          <w:b/>
                          <w:color w:val="002F56"/>
                          <w:spacing w:val="-8"/>
                          <w:sz w:val="22"/>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9" w:after="0"/>
        <w:ind w:left="14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In 2025, we continued to extensively engage with our shareholders with respect to our financial performance and progress towards 5-year targets, corporate governance, compensation practices and sustainability. As a result of the feedback received during our engagement, and that the vast majority of shares favored our “Say-on-Pay” proposal at our 2025 Annual Meeting, we have substantially maintained our executive compensation policies. </w:t>
      </w:r>
      <w:r>
        <mc:AlternateContent>
          <mc:Choice Requires="wps">
            <w:drawing>
              <wp:anchor behindDoc="0" distT="101600" distB="0" distL="0" distR="0" simplePos="0" locked="0" layoutInCell="1" allowOverlap="1" relativeHeight="625">
                <wp:simplePos x="0" y="0"/>
                <wp:positionH relativeFrom="column">
                  <wp:align>left</wp:align>
                </wp:positionH>
                <wp:positionV relativeFrom="line">
                  <wp:align>top</wp:align>
                </wp:positionV>
                <wp:extent cx="254000" cy="350520"/>
                <wp:effectExtent l="0" t="0" r="0" b="0"/>
                <wp:wrapSquare wrapText="right"/>
                <wp:docPr id="564"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b/>
                                <w:color w:val="002F56"/>
                                <w:spacing w:val="-8"/>
                                <w:sz w:val="2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b/>
                          <w:color w:val="002F56"/>
                          <w:spacing w:val="-8"/>
                          <w:sz w:val="22"/>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Accordingly, the Board of Directors recommends approval of the following resolution: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RESOLVED</w:t>
      </w:r>
      <w:r>
        <w:rPr>
          <w:rFonts w:ascii="Arial;Helvetica;sans-serif" w:hAnsi="Arial;Helvetica;sans-serif"/>
          <w:b w:val="false"/>
          <w:i w:val="false"/>
          <w:caps w:val="false"/>
          <w:smallCaps w:val="false"/>
          <w:color w:val="000000"/>
          <w:spacing w:val="-1"/>
          <w:sz w:val="18"/>
        </w:rPr>
        <w:t>, that shareholders of the Company approve, on an advisory basis, the compensation paid to the Company’s named executive officers in 2025, as disclosed in the Company’s Proxy Statement for the 2026 Annual Meeting of Shareholders pursuant to the compensation disclosure rules of the Securities and Exchange Commission (which disclosure includes the Compensation Discussion and Analysis, the compensation tables, and any related tables and disclosure).</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09"/>
        <w:gridCol w:w="606"/>
        <w:gridCol w:w="109"/>
        <w:gridCol w:w="109"/>
        <w:gridCol w:w="7973"/>
        <w:gridCol w:w="155"/>
      </w:tblGrid>
      <w:tr>
        <w:trPr/>
        <w:tc>
          <w:tcPr>
            <w:tcW w:w="124" w:type="dxa"/>
            <w:tcBorders/>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606" w:type="dxa"/>
            <w:tcBorders/>
            <w:shd w:fill="71B1C8"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314325" cy="314325"/>
                  <wp:effectExtent l="0" t="0" r="0" b="0"/>
                  <wp:docPr id="565"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234" descr=""/>
                          <pic:cNvPicPr>
                            <a:picLocks noChangeAspect="1" noChangeArrowheads="1"/>
                          </pic:cNvPicPr>
                        </pic:nvPicPr>
                        <pic:blipFill>
                          <a:blip r:embed="rId246"/>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7973" w:type="dxa"/>
            <w:tcBorders/>
            <w:shd w:fill="71B1C8" w:val="clear"/>
            <w:tcMar>
              <w:top w:w="28" w:type="dxa"/>
              <w:left w:w="28" w:type="dxa"/>
              <w:bottom w:w="28" w:type="dxa"/>
              <w:right w:w="28" w:type="dxa"/>
            </w:tcMar>
            <w:vAlign w:val="center"/>
          </w:tcPr>
          <w:p>
            <w:pPr>
              <w:pStyle w:val="TableContents"/>
              <w:bidi w:val="0"/>
              <w:spacing w:lineRule="atLeast" w:line="250" w:before="0" w:after="0"/>
              <w:jc w:val="left"/>
              <w:rPr/>
            </w:pPr>
            <w:r>
              <w:rPr>
                <w:spacing w:val="-13"/>
              </w:rPr>
              <w:t xml:space="preserve">THE BOARD UNANIMOUSLY RECOMMENDS A VOTE </w:t>
            </w:r>
            <w:r>
              <w:rPr>
                <w:color w:val="FEFEFE"/>
                <w:spacing w:val="-13"/>
              </w:rPr>
              <w:t>“FOR”</w:t>
            </w:r>
            <w:r>
              <w:rPr>
                <w:spacing w:val="-13"/>
              </w:rPr>
              <w:t xml:space="preserve"> THE ADVISORY VOTE APPROVING 2025 NAMED EXECUTIVE OFFICER COMPENSATION.</w:t>
            </w:r>
            <w:r>
              <w:rPr/>
              <w:t xml:space="preserve"> </w:t>
            </w:r>
          </w:p>
        </w:tc>
        <w:tc>
          <w:tcPr>
            <w:tcW w:w="155" w:type="dxa"/>
            <w:tcBorders/>
            <w:shd w:fill="71B1C8" w:val="cle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34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3"/>
      <w:bookmarkEnd w:id="46"/>
      <w:r>
        <w:rPr>
          <w:rFonts w:ascii="calibri;arial;sans-serif" w:hAnsi="calibri;arial;sans-serif"/>
          <w:b w:val="false"/>
          <w:i w:val="false"/>
          <w:caps w:val="false"/>
          <w:smallCaps w:val="false"/>
          <w:color w:val="000000"/>
          <w:sz w:val="16"/>
        </w:rPr>
        <w:t>​</w:t>
      </w:r>
      <w:bookmarkStart w:id="47" w:name="TOC4"/>
      <w:bookmarkEnd w:id="47"/>
      <w:r>
        <w:rPr>
          <w:rFonts w:ascii="calibri;arial;sans-serif" w:hAnsi="calibri;arial;sans-serif"/>
          <w:b w:val="false"/>
          <w:i w:val="false"/>
          <w:caps w:val="false"/>
          <w:smallCaps w:val="false"/>
          <w:color w:val="000000"/>
          <w:sz w:val="16"/>
        </w:rPr>
        <w:t>​</w:t>
      </w:r>
      <w:bookmarkStart w:id="48" w:name="tCDAA"/>
      <w:bookmarkEnd w:id="48"/>
      <w:r>
        <w:rPr>
          <w:rFonts w:ascii="calibri;arial;sans-serif" w:hAnsi="calibri;arial;sans-serif"/>
          <w:b w:val="false"/>
          <w:i w:val="false"/>
          <w:caps w:val="false"/>
          <w:smallCaps w:val="false"/>
          <w:color w:val="000000"/>
          <w:sz w:val="16"/>
        </w:rPr>
        <w:t>​</w:t>
      </w:r>
      <w:bookmarkStart w:id="49" w:name="tINT"/>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COMPENSATION DISCUSSION AND ANALYSIS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2443" w:type="dxa"/>
        <w:jc w:val="left"/>
        <w:tblInd w:w="1020" w:type="dxa"/>
        <w:tblLayout w:type="fixed"/>
        <w:tblCellMar>
          <w:top w:w="0" w:type="dxa"/>
          <w:left w:w="0" w:type="dxa"/>
          <w:bottom w:w="0" w:type="dxa"/>
          <w:right w:w="0" w:type="dxa"/>
        </w:tblCellMar>
      </w:tblPr>
      <w:tblGrid>
        <w:gridCol w:w="124"/>
        <w:gridCol w:w="2165"/>
        <w:gridCol w:w="154"/>
      </w:tblGrid>
      <w:tr>
        <w:trPr/>
        <w:tc>
          <w:tcPr>
            <w:tcW w:w="124" w:type="dxa"/>
            <w:tcBorders/>
            <w:shd w:fill="002F56" w:val="clear"/>
            <w:vAlign w:val="center"/>
          </w:tcPr>
          <w:p>
            <w:pPr>
              <w:pStyle w:val="TableContents"/>
              <w:bidi w:val="0"/>
              <w:spacing w:before="0" w:after="283"/>
              <w:jc w:val="left"/>
              <w:rPr/>
            </w:pPr>
            <w:r>
              <w:rPr/>
              <w:t>​</w:t>
            </w:r>
          </w:p>
        </w:tc>
        <w:tc>
          <w:tcPr>
            <w:tcW w:w="2165" w:type="dxa"/>
            <w:tcBorders/>
            <w:shd w:fill="002F56" w:val="clear"/>
            <w:vAlign w:val="center"/>
          </w:tcPr>
          <w:p>
            <w:pPr>
              <w:pStyle w:val="TableContents"/>
              <w:bidi w:val="0"/>
              <w:spacing w:lineRule="atLeast" w:line="200" w:before="0" w:after="0"/>
              <w:jc w:val="center"/>
              <w:rPr/>
            </w:pPr>
            <w:r>
              <w:rPr>
                <w:spacing w:val="-7"/>
              </w:rPr>
              <w:t>CD&amp;A CONTENTS</w:t>
            </w:r>
            <w:r>
              <w:rPr/>
              <w:t xml:space="preserve"> </w:t>
            </w:r>
          </w:p>
        </w:tc>
        <w:tc>
          <w:tcPr>
            <w:tcW w:w="154" w:type="dxa"/>
            <w:tcBorders/>
            <w:shd w:fill="002F56" w:val="cle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r>
        <mc:AlternateContent>
          <mc:Choice Requires="wps">
            <w:drawing>
              <wp:anchor behindDoc="0" distT="0" distB="0" distL="647700" distR="0" simplePos="0" locked="0" layoutInCell="1" allowOverlap="1" relativeHeight="626">
                <wp:simplePos x="0" y="0"/>
                <wp:positionH relativeFrom="column">
                  <wp:align>left</wp:align>
                </wp:positionH>
                <wp:positionV relativeFrom="line">
                  <wp:posOffset>635</wp:posOffset>
                </wp:positionV>
                <wp:extent cx="3060700" cy="6324600"/>
                <wp:effectExtent l="0" t="0" r="0" b="0"/>
                <wp:wrapSquare wrapText="right"/>
                <wp:docPr id="566" name="Frame321"/>
                <a:graphic xmlns:a="http://schemas.openxmlformats.org/drawingml/2006/main">
                  <a:graphicData uri="http://schemas.microsoft.com/office/word/2010/wordprocessingShape">
                    <wps:wsp>
                      <wps:cNvSpPr txBox="1"/>
                      <wps:spPr>
                        <a:xfrm>
                          <a:off x="0" y="0"/>
                          <a:ext cx="3060700" cy="63246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387"/>
                              <w:gridCol w:w="109"/>
                              <w:gridCol w:w="109"/>
                              <w:gridCol w:w="109"/>
                              <w:gridCol w:w="9212"/>
                              <w:gridCol w:w="155"/>
                            </w:tblGrid>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INT">
                                    <w:r>
                                      <w:rPr>
                                        <w:rStyle w:val="InternetLink"/>
                                        <w:color w:val="000080"/>
                                      </w:rPr>
                                      <w:t>35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INT">
                                    <w:r>
                                      <w:rPr>
                                        <w:rStyle w:val="InternetLink"/>
                                        <w:color w:val="002F56"/>
                                        <w:spacing w:val="-7"/>
                                      </w:rPr>
                                      <w:t>INTRODUCTION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HWTP">
                                    <w:r>
                                      <w:rPr>
                                        <w:rStyle w:val="InternetLink"/>
                                        <w:color w:val="000080"/>
                                      </w:rPr>
                                      <w:t>36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HWTP">
                                    <w:r>
                                      <w:rPr>
                                        <w:rStyle w:val="InternetLink"/>
                                        <w:color w:val="002F56"/>
                                        <w:spacing w:val="-7"/>
                                      </w:rPr>
                                      <w:t>HOW WE TIE PAY TO PERFORMANCE</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2BAP">
                                    <w:r>
                                      <w:rPr>
                                        <w:rStyle w:val="InternetLink"/>
                                        <w:color w:val="000080"/>
                                      </w:rPr>
                                      <w:t>36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0"/>
                                    <w:jc w:val="left"/>
                                    <w:rPr/>
                                  </w:pPr>
                                  <w:hyperlink w:anchor="t2BAP">
                                    <w:r>
                                      <w:rPr>
                                        <w:rStyle w:val="InternetLink"/>
                                        <w:color w:val="002F56"/>
                                        <w:spacing w:val="-7"/>
                                      </w:rPr>
                                      <w:t>2025 BUSINESS AND PERFORMANCE REVIEW</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OUCO11">
                                    <w:r>
                                      <w:rPr>
                                        <w:rStyle w:val="InternetLink"/>
                                        <w:spacing w:val="-1"/>
                                      </w:rPr>
                                      <w:t>36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OUCO11">
                                    <w:r>
                                      <w:rPr>
                                        <w:rStyle w:val="InternetLink"/>
                                        <w:spacing w:val="-1"/>
                                      </w:rPr>
                                      <w:t xml:space="preserve">Our Company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AOGS">
                                    <w:r>
                                      <w:rPr>
                                        <w:rStyle w:val="InternetLink"/>
                                        <w:spacing w:val="-1"/>
                                      </w:rPr>
                                      <w:t>37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AOGS">
                                    <w:r>
                                      <w:rPr>
                                        <w:rStyle w:val="InternetLink"/>
                                        <w:spacing w:val="-1"/>
                                      </w:rPr>
                                      <w:t xml:space="preserve">Advancing Our Growth Strategy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OPEX">
                                    <w:r>
                                      <w:rPr>
                                        <w:rStyle w:val="InternetLink"/>
                                        <w:spacing w:val="-1"/>
                                      </w:rPr>
                                      <w:t>38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OPEX">
                                    <w:r>
                                      <w:rPr>
                                        <w:rStyle w:val="InternetLink"/>
                                        <w:spacing w:val="-1"/>
                                      </w:rPr>
                                      <w:t xml:space="preserve">Operational Excellence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SAF">
                                    <w:r>
                                      <w:rPr>
                                        <w:rStyle w:val="InternetLink"/>
                                        <w:spacing w:val="-1"/>
                                      </w:rPr>
                                      <w:t>38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SAF">
                                    <w:r>
                                      <w:rPr>
                                        <w:rStyle w:val="InternetLink"/>
                                        <w:spacing w:val="-1"/>
                                      </w:rPr>
                                      <w:t xml:space="preserve">Safety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FIPE">
                                    <w:r>
                                      <w:rPr>
                                        <w:rStyle w:val="InternetLink"/>
                                        <w:spacing w:val="-1"/>
                                      </w:rPr>
                                      <w:t>39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FIPE">
                                    <w:r>
                                      <w:rPr>
                                        <w:rStyle w:val="InternetLink"/>
                                        <w:spacing w:val="-1"/>
                                      </w:rPr>
                                      <w:t xml:space="preserve">Financial Performance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TSR">
                                    <w:r>
                                      <w:rPr>
                                        <w:rStyle w:val="InternetLink"/>
                                        <w:spacing w:val="-1"/>
                                      </w:rPr>
                                      <w:t>41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TSR">
                                    <w:r>
                                      <w:rPr>
                                        <w:rStyle w:val="InternetLink"/>
                                        <w:spacing w:val="-1"/>
                                      </w:rPr>
                                      <w:t xml:space="preserve">Total Shareholder Return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ECP">
                                    <w:r>
                                      <w:rPr>
                                        <w:rStyle w:val="InternetLink"/>
                                        <w:color w:val="000080"/>
                                      </w:rPr>
                                      <w:t>42</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ECP">
                                    <w:r>
                                      <w:rPr>
                                        <w:rStyle w:val="InternetLink"/>
                                        <w:color w:val="002F56"/>
                                        <w:spacing w:val="-7"/>
                                      </w:rPr>
                                      <w:t>EXECUTIVE COMPENSATION PRACTICES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CORO">
                                    <w:r>
                                      <w:rPr>
                                        <w:rStyle w:val="InternetLink"/>
                                        <w:color w:val="000080"/>
                                      </w:rPr>
                                      <w:t>43</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CORO">
                                    <w:r>
                                      <w:rPr>
                                        <w:rStyle w:val="InternetLink"/>
                                        <w:color w:val="002F56"/>
                                        <w:spacing w:val="-7"/>
                                      </w:rPr>
                                      <w:t>CONSIDERATION OF RESULTS OF 2025 SHAREHOLDER ADVISORY VOTE</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WWPA">
                                    <w:r>
                                      <w:rPr>
                                        <w:rStyle w:val="InternetLink"/>
                                        <w:color w:val="000080"/>
                                      </w:rPr>
                                      <w:t>43</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WWPA">
                                    <w:r>
                                      <w:rPr>
                                        <w:rStyle w:val="InternetLink"/>
                                        <w:color w:val="002F56"/>
                                        <w:spacing w:val="-7"/>
                                      </w:rPr>
                                      <w:t>WHAT WE PAY AND WHY: ELEMENTS OF OUR COMPENSATION PROGRAM FOR NAMED EXECUTIVE OFFICERS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BASA">
                                    <w:r>
                                      <w:rPr>
                                        <w:rStyle w:val="InternetLink"/>
                                        <w:spacing w:val="-1"/>
                                      </w:rPr>
                                      <w:t>45</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BASA">
                                    <w:r>
                                      <w:rPr>
                                        <w:rStyle w:val="InternetLink"/>
                                        <w:spacing w:val="-1"/>
                                      </w:rPr>
                                      <w:t xml:space="preserve">Base Salary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ANIN">
                                    <w:r>
                                      <w:rPr>
                                        <w:rStyle w:val="InternetLink"/>
                                        <w:spacing w:val="-1"/>
                                      </w:rPr>
                                      <w:t>45</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ANIN">
                                    <w:r>
                                      <w:rPr>
                                        <w:rStyle w:val="InternetLink"/>
                                        <w:spacing w:val="-1"/>
                                      </w:rPr>
                                      <w:t xml:space="preserve">Annual Incentives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LOIN">
                                    <w:r>
                                      <w:rPr>
                                        <w:rStyle w:val="InternetLink"/>
                                        <w:spacing w:val="-1"/>
                                      </w:rPr>
                                      <w:t>50</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LOIN">
                                    <w:r>
                                      <w:rPr>
                                        <w:rStyle w:val="InternetLink"/>
                                        <w:spacing w:val="-1"/>
                                      </w:rPr>
                                      <w:t xml:space="preserve">Long-Term Incentives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HWMC">
                                    <w:r>
                                      <w:rPr>
                                        <w:rStyle w:val="InternetLink"/>
                                        <w:color w:val="000080"/>
                                      </w:rPr>
                                      <w:t>54</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HWMC">
                                    <w:r>
                                      <w:rPr>
                                        <w:rStyle w:val="InternetLink"/>
                                        <w:color w:val="002F56"/>
                                        <w:spacing w:val="-7"/>
                                      </w:rPr>
                                      <w:t>HOW WE MAKE COMPENSATION DECISIONS</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1pt;height:498pt;mso-wrap-distance-left:51pt;mso-wrap-distance-right:0pt;mso-wrap-distance-top:0pt;mso-wrap-distance-bottom:0pt;margin-top:0pt;mso-position-vertical:top;mso-position-vertical-relative:text;margin-left:51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387"/>
                        <w:gridCol w:w="109"/>
                        <w:gridCol w:w="109"/>
                        <w:gridCol w:w="109"/>
                        <w:gridCol w:w="9212"/>
                        <w:gridCol w:w="155"/>
                      </w:tblGrid>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INT">
                              <w:r>
                                <w:rPr>
                                  <w:rStyle w:val="InternetLink"/>
                                  <w:color w:val="000080"/>
                                </w:rPr>
                                <w:t>35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INT">
                              <w:r>
                                <w:rPr>
                                  <w:rStyle w:val="InternetLink"/>
                                  <w:color w:val="002F56"/>
                                  <w:spacing w:val="-7"/>
                                </w:rPr>
                                <w:t>INTRODUCTION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HWTP">
                              <w:r>
                                <w:rPr>
                                  <w:rStyle w:val="InternetLink"/>
                                  <w:color w:val="000080"/>
                                </w:rPr>
                                <w:t>36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HWTP">
                              <w:r>
                                <w:rPr>
                                  <w:rStyle w:val="InternetLink"/>
                                  <w:color w:val="002F56"/>
                                  <w:spacing w:val="-7"/>
                                </w:rPr>
                                <w:t>HOW WE TIE PAY TO PERFORMANCE</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2BAP">
                              <w:r>
                                <w:rPr>
                                  <w:rStyle w:val="InternetLink"/>
                                  <w:color w:val="000080"/>
                                </w:rPr>
                                <w:t>36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0"/>
                              <w:jc w:val="left"/>
                              <w:rPr/>
                            </w:pPr>
                            <w:hyperlink w:anchor="t2BAP">
                              <w:r>
                                <w:rPr>
                                  <w:rStyle w:val="InternetLink"/>
                                  <w:color w:val="002F56"/>
                                  <w:spacing w:val="-7"/>
                                </w:rPr>
                                <w:t>2025 BUSINESS AND PERFORMANCE REVIEW</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OUCO11">
                              <w:r>
                                <w:rPr>
                                  <w:rStyle w:val="InternetLink"/>
                                  <w:spacing w:val="-1"/>
                                </w:rPr>
                                <w:t>36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OUCO11">
                              <w:r>
                                <w:rPr>
                                  <w:rStyle w:val="InternetLink"/>
                                  <w:spacing w:val="-1"/>
                                </w:rPr>
                                <w:t xml:space="preserve">Our Company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AOGS">
                              <w:r>
                                <w:rPr>
                                  <w:rStyle w:val="InternetLink"/>
                                  <w:spacing w:val="-1"/>
                                </w:rPr>
                                <w:t>37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AOGS">
                              <w:r>
                                <w:rPr>
                                  <w:rStyle w:val="InternetLink"/>
                                  <w:spacing w:val="-1"/>
                                </w:rPr>
                                <w:t xml:space="preserve">Advancing Our Growth Strategy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OPEX">
                              <w:r>
                                <w:rPr>
                                  <w:rStyle w:val="InternetLink"/>
                                  <w:spacing w:val="-1"/>
                                </w:rPr>
                                <w:t>38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OPEX">
                              <w:r>
                                <w:rPr>
                                  <w:rStyle w:val="InternetLink"/>
                                  <w:spacing w:val="-1"/>
                                </w:rPr>
                                <w:t xml:space="preserve">Operational Excellence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SAF">
                              <w:r>
                                <w:rPr>
                                  <w:rStyle w:val="InternetLink"/>
                                  <w:spacing w:val="-1"/>
                                </w:rPr>
                                <w:t>38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SAF">
                              <w:r>
                                <w:rPr>
                                  <w:rStyle w:val="InternetLink"/>
                                  <w:spacing w:val="-1"/>
                                </w:rPr>
                                <w:t xml:space="preserve">Safety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FIPE">
                              <w:r>
                                <w:rPr>
                                  <w:rStyle w:val="InternetLink"/>
                                  <w:spacing w:val="-1"/>
                                </w:rPr>
                                <w:t>39</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FIPE">
                              <w:r>
                                <w:rPr>
                                  <w:rStyle w:val="InternetLink"/>
                                  <w:spacing w:val="-1"/>
                                </w:rPr>
                                <w:t xml:space="preserve">Financial Performance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TSR">
                              <w:r>
                                <w:rPr>
                                  <w:rStyle w:val="InternetLink"/>
                                  <w:spacing w:val="-1"/>
                                </w:rPr>
                                <w:t>41</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TSR">
                              <w:r>
                                <w:rPr>
                                  <w:rStyle w:val="InternetLink"/>
                                  <w:spacing w:val="-1"/>
                                </w:rPr>
                                <w:t xml:space="preserve">Total Shareholder Return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ECP">
                              <w:r>
                                <w:rPr>
                                  <w:rStyle w:val="InternetLink"/>
                                  <w:color w:val="000080"/>
                                </w:rPr>
                                <w:t>42</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ECP">
                              <w:r>
                                <w:rPr>
                                  <w:rStyle w:val="InternetLink"/>
                                  <w:color w:val="002F56"/>
                                  <w:spacing w:val="-7"/>
                                </w:rPr>
                                <w:t>EXECUTIVE COMPENSATION PRACTICES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CORO">
                              <w:r>
                                <w:rPr>
                                  <w:rStyle w:val="InternetLink"/>
                                  <w:color w:val="000080"/>
                                </w:rPr>
                                <w:t>43</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CORO">
                              <w:r>
                                <w:rPr>
                                  <w:rStyle w:val="InternetLink"/>
                                  <w:color w:val="002F56"/>
                                  <w:spacing w:val="-7"/>
                                </w:rPr>
                                <w:t>CONSIDERATION OF RESULTS OF 2025 SHAREHOLDER ADVISORY VOTE</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WWPA">
                              <w:r>
                                <w:rPr>
                                  <w:rStyle w:val="InternetLink"/>
                                  <w:color w:val="000080"/>
                                </w:rPr>
                                <w:t>43</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WWPA">
                              <w:r>
                                <w:rPr>
                                  <w:rStyle w:val="InternetLink"/>
                                  <w:color w:val="002F56"/>
                                  <w:spacing w:val="-7"/>
                                </w:rPr>
                                <w:t>WHAT WE PAY AND WHY: ELEMENTS OF OUR COMPENSATION PROGRAM FOR NAMED EXECUTIVE OFFICERS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BASA">
                              <w:r>
                                <w:rPr>
                                  <w:rStyle w:val="InternetLink"/>
                                  <w:spacing w:val="-1"/>
                                </w:rPr>
                                <w:t>45</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BASA">
                              <w:r>
                                <w:rPr>
                                  <w:rStyle w:val="InternetLink"/>
                                  <w:spacing w:val="-1"/>
                                </w:rPr>
                                <w:t xml:space="preserve">Base Salary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ANIN">
                              <w:r>
                                <w:rPr>
                                  <w:rStyle w:val="InternetLink"/>
                                  <w:spacing w:val="-1"/>
                                </w:rPr>
                                <w:t>45</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ANIN">
                              <w:r>
                                <w:rPr>
                                  <w:rStyle w:val="InternetLink"/>
                                  <w:spacing w:val="-1"/>
                                </w:rPr>
                                <w:t xml:space="preserve">Annual Incentives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LOIN">
                              <w:r>
                                <w:rPr>
                                  <w:rStyle w:val="InternetLink"/>
                                  <w:spacing w:val="-1"/>
                                </w:rPr>
                                <w:t>50</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LOIN">
                              <w:r>
                                <w:rPr>
                                  <w:rStyle w:val="InternetLink"/>
                                  <w:spacing w:val="-1"/>
                                </w:rPr>
                                <w:t xml:space="preserve">Long-Term Incentives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 w:type="dxa"/>
                            <w:tcBorders/>
                            <w:vAlign w:val="center"/>
                          </w:tcPr>
                          <w:p>
                            <w:pPr>
                              <w:pStyle w:val="TableContents"/>
                              <w:bidi w:val="0"/>
                              <w:spacing w:before="0" w:after="0"/>
                              <w:jc w:val="left"/>
                              <w:rPr/>
                            </w:pPr>
                            <w:hyperlink w:anchor="tHWMC">
                              <w:r>
                                <w:rPr>
                                  <w:rStyle w:val="InternetLink"/>
                                  <w:color w:val="000080"/>
                                </w:rPr>
                                <w:t>54</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left"/>
                              <w:rPr/>
                            </w:pPr>
                            <w:hyperlink w:anchor="tHWMC">
                              <w:r>
                                <w:rPr>
                                  <w:rStyle w:val="InternetLink"/>
                                  <w:color w:val="002F56"/>
                                  <w:spacing w:val="-7"/>
                                </w:rPr>
                                <w:t>HOW WE MAKE COMPENSATION DECISIONS</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627">
                <wp:simplePos x="0" y="0"/>
                <wp:positionH relativeFrom="column">
                  <wp:align>left</wp:align>
                </wp:positionH>
                <wp:positionV relativeFrom="line">
                  <wp:posOffset>635</wp:posOffset>
                </wp:positionV>
                <wp:extent cx="3060700" cy="6522720"/>
                <wp:effectExtent l="0" t="0" r="0" b="0"/>
                <wp:wrapSquare wrapText="right"/>
                <wp:docPr id="567" name="Frame322"/>
                <a:graphic xmlns:a="http://schemas.openxmlformats.org/drawingml/2006/main">
                  <a:graphicData uri="http://schemas.microsoft.com/office/word/2010/wordprocessingShape">
                    <wps:wsp>
                      <wps:cNvSpPr txBox="1"/>
                      <wps:spPr>
                        <a:xfrm>
                          <a:off x="0" y="0"/>
                          <a:ext cx="3060700" cy="65227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402"/>
                              <w:gridCol w:w="109"/>
                              <w:gridCol w:w="109"/>
                              <w:gridCol w:w="109"/>
                              <w:gridCol w:w="9197"/>
                              <w:gridCol w:w="155"/>
                            </w:tblGrid>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OOOC">
                                    <w:r>
                                      <w:rPr>
                                        <w:rStyle w:val="InternetLink"/>
                                        <w:color w:val="000080"/>
                                      </w:rPr>
                                      <w:t>55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OOOC">
                                    <w:r>
                                      <w:rPr>
                                        <w:rStyle w:val="InternetLink"/>
                                        <w:color w:val="002F56"/>
                                        <w:spacing w:val="-7"/>
                                      </w:rPr>
                                      <w:t>OBJECTIVES OF OUR COMPENSATION PROGRAM FOR NAMED EXECUTIVE OFFICERS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DERE">
                                    <w:r>
                                      <w:rPr>
                                        <w:rStyle w:val="InternetLink"/>
                                        <w:color w:val="000080"/>
                                      </w:rPr>
                                      <w:t>55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DERE">
                                    <w:r>
                                      <w:rPr>
                                        <w:rStyle w:val="InternetLink"/>
                                        <w:color w:val="002F56"/>
                                        <w:spacing w:val="-7"/>
                                      </w:rPr>
                                      <w:t>DECISION-MAKING RESPONSIBILITY</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CGC">
                                    <w:r>
                                      <w:rPr>
                                        <w:rStyle w:val="InternetLink"/>
                                        <w:color w:val="000080"/>
                                      </w:rPr>
                                      <w:t>55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CGC">
                                    <w:r>
                                      <w:rPr>
                                        <w:rStyle w:val="InternetLink"/>
                                        <w:color w:val="002F56"/>
                                        <w:spacing w:val="-7"/>
                                      </w:rPr>
                                      <w:t>COMPARATOR GROUP COMPANIES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STDR">
                                    <w:r>
                                      <w:rPr>
                                        <w:rStyle w:val="InternetLink"/>
                                        <w:color w:val="000080"/>
                                      </w:rPr>
                                      <w:t>56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STDR">
                                    <w:r>
                                      <w:rPr>
                                        <w:rStyle w:val="InternetLink"/>
                                        <w:color w:val="002F56"/>
                                        <w:spacing w:val="-7"/>
                                      </w:rPr>
                                      <w:t>SETTING TOTAL DIRECT REMUNERATION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REPR">
                                    <w:r>
                                      <w:rPr>
                                        <w:rStyle w:val="InternetLink"/>
                                        <w:color w:val="000080"/>
                                      </w:rPr>
                                      <w:t>56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REPR">
                                    <w:r>
                                      <w:rPr>
                                        <w:rStyle w:val="InternetLink"/>
                                        <w:color w:val="002F56"/>
                                        <w:spacing w:val="-7"/>
                                      </w:rPr>
                                      <w:t>RETIREMENT PROGRAMS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REPL">
                                    <w:r>
                                      <w:rPr>
                                        <w:rStyle w:val="InternetLink"/>
                                        <w:spacing w:val="-1"/>
                                      </w:rPr>
                                      <w:t>56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REPL">
                                    <w:r>
                                      <w:rPr>
                                        <w:rStyle w:val="InternetLink"/>
                                        <w:spacing w:val="-1"/>
                                      </w:rPr>
                                      <w:t xml:space="preserve">Retirement Plans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DC4P">
                                    <w:r>
                                      <w:rPr>
                                        <w:rStyle w:val="InternetLink"/>
                                        <w:spacing w:val="-1"/>
                                      </w:rPr>
                                      <w:t>56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DC4P">
                                    <w:r>
                                      <w:rPr>
                                        <w:rStyle w:val="InternetLink"/>
                                        <w:spacing w:val="-1"/>
                                      </w:rPr>
                                      <w:t xml:space="preserve">Defined Contribution 401(k) Plan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DECO">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DECO">
                                    <w:r>
                                      <w:rPr>
                                        <w:rStyle w:val="InternetLink"/>
                                        <w:spacing w:val="-1"/>
                                      </w:rPr>
                                      <w:t xml:space="preserve">Deferred Compensation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OPAP">
                                    <w:r>
                                      <w:rPr>
                                        <w:rStyle w:val="InternetLink"/>
                                        <w:color w:val="000080"/>
                                      </w:rPr>
                                      <w:t>57</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OPAP">
                                    <w:r>
                                      <w:rPr>
                                        <w:rStyle w:val="InternetLink"/>
                                        <w:color w:val="002F56"/>
                                        <w:spacing w:val="-7"/>
                                      </w:rPr>
                                      <w:t>OTHER POLICIES AND PRACTICES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PER">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PER">
                                    <w:r>
                                      <w:rPr>
                                        <w:rStyle w:val="InternetLink"/>
                                        <w:spacing w:val="-1"/>
                                      </w:rPr>
                                      <w:t xml:space="preserve">Perquisites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EMAG">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EMAG">
                                    <w:r>
                                      <w:rPr>
                                        <w:rStyle w:val="InternetLink"/>
                                        <w:spacing w:val="-1"/>
                                      </w:rPr>
                                      <w:t xml:space="preserve">Employment Agreements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SEPO">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SEPO">
                                    <w:r>
                                      <w:rPr>
                                        <w:rStyle w:val="InternetLink"/>
                                        <w:spacing w:val="-1"/>
                                      </w:rPr>
                                      <w:t xml:space="preserve">Severance Policies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EAGP">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EAGP">
                                    <w:r>
                                      <w:rPr>
                                        <w:rStyle w:val="InternetLink"/>
                                        <w:spacing w:val="-1"/>
                                      </w:rPr>
                                      <w:t xml:space="preserve">Equity Award Grant Practices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CLPO">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CLPO">
                                    <w:r>
                                      <w:rPr>
                                        <w:rStyle w:val="InternetLink"/>
                                        <w:spacing w:val="-1"/>
                                      </w:rPr>
                                      <w:t xml:space="preserve">Clawback Policy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OSOG">
                                    <w:r>
                                      <w:rPr>
                                        <w:rStyle w:val="InternetLink"/>
                                        <w:spacing w:val="-1"/>
                                      </w:rPr>
                                      <w:t>58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OSOG">
                                    <w:r>
                                      <w:rPr>
                                        <w:rStyle w:val="InternetLink"/>
                                        <w:spacing w:val="-1"/>
                                      </w:rPr>
                                      <w:t xml:space="preserve">Officer Stock Ownership Guidelines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TCAH">
                                    <w:r>
                                      <w:rPr>
                                        <w:rStyle w:val="InternetLink"/>
                                        <w:spacing w:val="-1"/>
                                      </w:rPr>
                                      <w:t>58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TCAH">
                                    <w:r>
                                      <w:rPr>
                                        <w:rStyle w:val="InternetLink"/>
                                        <w:spacing w:val="-1"/>
                                      </w:rPr>
                                      <w:t xml:space="preserve">Trading Controls and Hedging Transactions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2CPF">
                                    <w:r>
                                      <w:rPr>
                                        <w:rStyle w:val="InternetLink"/>
                                        <w:color w:val="002F56"/>
                                      </w:rPr>
                                      <w:t>58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0"/>
                                    <w:jc w:val="left"/>
                                    <w:rPr/>
                                  </w:pPr>
                                  <w:hyperlink w:anchor="t2CPF">
                                    <w:r>
                                      <w:rPr>
                                        <w:rStyle w:val="InternetLink"/>
                                        <w:color w:val="002F56"/>
                                        <w:spacing w:val="-7"/>
                                      </w:rPr>
                                      <w:t>2026 COMPENSATION PROGRAM FOR NAMED EXECUTIVE OFFICERS</w:t>
                                    </w:r>
                                  </w:hyperlink>
                                  <w:r>
                                    <w:rPr>
                                      <w:color w:val="002F56"/>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1pt;height:513.6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402"/>
                        <w:gridCol w:w="109"/>
                        <w:gridCol w:w="109"/>
                        <w:gridCol w:w="109"/>
                        <w:gridCol w:w="9197"/>
                        <w:gridCol w:w="155"/>
                      </w:tblGrid>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OOOC">
                              <w:r>
                                <w:rPr>
                                  <w:rStyle w:val="InternetLink"/>
                                  <w:color w:val="000080"/>
                                </w:rPr>
                                <w:t>55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OOOC">
                              <w:r>
                                <w:rPr>
                                  <w:rStyle w:val="InternetLink"/>
                                  <w:color w:val="002F56"/>
                                  <w:spacing w:val="-7"/>
                                </w:rPr>
                                <w:t>OBJECTIVES OF OUR COMPENSATION PROGRAM FOR NAMED EXECUTIVE OFFICERS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DERE">
                              <w:r>
                                <w:rPr>
                                  <w:rStyle w:val="InternetLink"/>
                                  <w:color w:val="000080"/>
                                </w:rPr>
                                <w:t>55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DERE">
                              <w:r>
                                <w:rPr>
                                  <w:rStyle w:val="InternetLink"/>
                                  <w:color w:val="002F56"/>
                                  <w:spacing w:val="-7"/>
                                </w:rPr>
                                <w:t>DECISION-MAKING RESPONSIBILITY</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CGC">
                              <w:r>
                                <w:rPr>
                                  <w:rStyle w:val="InternetLink"/>
                                  <w:color w:val="000080"/>
                                </w:rPr>
                                <w:t>55</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CGC">
                              <w:r>
                                <w:rPr>
                                  <w:rStyle w:val="InternetLink"/>
                                  <w:color w:val="002F56"/>
                                  <w:spacing w:val="-7"/>
                                </w:rPr>
                                <w:t>COMPARATOR GROUP COMPANIES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STDR">
                              <w:r>
                                <w:rPr>
                                  <w:rStyle w:val="InternetLink"/>
                                  <w:color w:val="000080"/>
                                </w:rPr>
                                <w:t>56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STDR">
                              <w:r>
                                <w:rPr>
                                  <w:rStyle w:val="InternetLink"/>
                                  <w:color w:val="002F56"/>
                                  <w:spacing w:val="-7"/>
                                </w:rPr>
                                <w:t>SETTING TOTAL DIRECT REMUNERATION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REPR">
                              <w:r>
                                <w:rPr>
                                  <w:rStyle w:val="InternetLink"/>
                                  <w:color w:val="000080"/>
                                </w:rPr>
                                <w:t>56</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REPR">
                              <w:r>
                                <w:rPr>
                                  <w:rStyle w:val="InternetLink"/>
                                  <w:color w:val="002F56"/>
                                  <w:spacing w:val="-7"/>
                                </w:rPr>
                                <w:t>RETIREMENT PROGRAMS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REPL">
                              <w:r>
                                <w:rPr>
                                  <w:rStyle w:val="InternetLink"/>
                                  <w:spacing w:val="-1"/>
                                </w:rPr>
                                <w:t>56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REPL">
                              <w:r>
                                <w:rPr>
                                  <w:rStyle w:val="InternetLink"/>
                                  <w:spacing w:val="-1"/>
                                </w:rPr>
                                <w:t xml:space="preserve">Retirement Plans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DC4P">
                              <w:r>
                                <w:rPr>
                                  <w:rStyle w:val="InternetLink"/>
                                  <w:spacing w:val="-1"/>
                                </w:rPr>
                                <w:t>56</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DC4P">
                              <w:r>
                                <w:rPr>
                                  <w:rStyle w:val="InternetLink"/>
                                  <w:spacing w:val="-1"/>
                                </w:rPr>
                                <w:t xml:space="preserve">Defined Contribution 401(k) Plan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DECO">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DECO">
                              <w:r>
                                <w:rPr>
                                  <w:rStyle w:val="InternetLink"/>
                                  <w:spacing w:val="-1"/>
                                </w:rPr>
                                <w:t xml:space="preserve">Deferred Compensation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OPAP">
                              <w:r>
                                <w:rPr>
                                  <w:rStyle w:val="InternetLink"/>
                                  <w:color w:val="000080"/>
                                </w:rPr>
                                <w:t>57</w:t>
                              </w:r>
                            </w:hyperlink>
                            <w:r>
                              <w:rPr>
                                <w:color w:val="002F56"/>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OPAP">
                              <w:r>
                                <w:rPr>
                                  <w:rStyle w:val="InternetLink"/>
                                  <w:color w:val="002F56"/>
                                  <w:spacing w:val="-7"/>
                                </w:rPr>
                                <w:t>OTHER POLICIES AND PRACTICES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PER">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PER">
                              <w:r>
                                <w:rPr>
                                  <w:rStyle w:val="InternetLink"/>
                                  <w:spacing w:val="-1"/>
                                </w:rPr>
                                <w:t xml:space="preserve">Perquisites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EMAG">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EMAG">
                              <w:r>
                                <w:rPr>
                                  <w:rStyle w:val="InternetLink"/>
                                  <w:spacing w:val="-1"/>
                                </w:rPr>
                                <w:t xml:space="preserve">Employment Agreements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SEPO">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SEPO">
                              <w:r>
                                <w:rPr>
                                  <w:rStyle w:val="InternetLink"/>
                                  <w:spacing w:val="-1"/>
                                </w:rPr>
                                <w:t xml:space="preserve">Severance Policies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EAGP">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EAGP">
                              <w:r>
                                <w:rPr>
                                  <w:rStyle w:val="InternetLink"/>
                                  <w:spacing w:val="-1"/>
                                </w:rPr>
                                <w:t xml:space="preserve">Equity Award Grant Practices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CLPO">
                              <w:r>
                                <w:rPr>
                                  <w:rStyle w:val="InternetLink"/>
                                  <w:spacing w:val="-1"/>
                                </w:rPr>
                                <w:t>57</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CLPO">
                              <w:r>
                                <w:rPr>
                                  <w:rStyle w:val="InternetLink"/>
                                  <w:spacing w:val="-1"/>
                                </w:rPr>
                                <w:t xml:space="preserve">Clawback Policy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OSOG">
                              <w:r>
                                <w:rPr>
                                  <w:rStyle w:val="InternetLink"/>
                                  <w:spacing w:val="-1"/>
                                </w:rPr>
                                <w:t>58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OSOG">
                              <w:r>
                                <w:rPr>
                                  <w:rStyle w:val="InternetLink"/>
                                  <w:spacing w:val="-1"/>
                                </w:rPr>
                                <w:t xml:space="preserve">Officer Stock Ownership Guidelines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left"/>
                              <w:rPr/>
                            </w:pPr>
                            <w:hyperlink w:anchor="tTCAH">
                              <w:r>
                                <w:rPr>
                                  <w:rStyle w:val="InternetLink"/>
                                  <w:spacing w:val="-1"/>
                                </w:rPr>
                                <w:t>58</w:t>
                              </w:r>
                            </w:hyperlink>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283"/>
                              <w:jc w:val="left"/>
                              <w:rPr/>
                            </w:pPr>
                            <w:hyperlink w:anchor="tTCAH">
                              <w:r>
                                <w:rPr>
                                  <w:rStyle w:val="InternetLink"/>
                                  <w:spacing w:val="-1"/>
                                </w:rPr>
                                <w:t xml:space="preserve">Trading Controls and Hedging Transactions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both"/>
                              <w:rPr/>
                            </w:pPr>
                            <w:hyperlink w:anchor="t2CPF">
                              <w:r>
                                <w:rPr>
                                  <w:rStyle w:val="InternetLink"/>
                                  <w:color w:val="002F56"/>
                                </w:rPr>
                                <w:t>58</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97" w:type="dxa"/>
                            <w:tcBorders/>
                            <w:vAlign w:val="center"/>
                          </w:tcPr>
                          <w:p>
                            <w:pPr>
                              <w:pStyle w:val="TableContents"/>
                              <w:bidi w:val="0"/>
                              <w:spacing w:before="0" w:after="0"/>
                              <w:jc w:val="left"/>
                              <w:rPr/>
                            </w:pPr>
                            <w:hyperlink w:anchor="t2CPF">
                              <w:r>
                                <w:rPr>
                                  <w:rStyle w:val="InternetLink"/>
                                  <w:color w:val="002F56"/>
                                  <w:spacing w:val="-7"/>
                                </w:rPr>
                                <w:t>2026 COMPENSATION PROGRAM FOR NAMED EXECUTIVE OFFICERS</w:t>
                              </w:r>
                            </w:hyperlink>
                            <w:r>
                              <w:rPr>
                                <w:color w:val="002F56"/>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320" w:before="24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INTRODUCTION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Compensation Discussion and Analysis provides a detailed description of our executive compensation philosophy and programs, the compensation decisions the Compensation Committee has made under those programs, and the factors considered in making those decisions. Our compensation program for senior executives, including our executive officers, is governed by the Compensation Committee. This discussion and analysis focuses on our named executive officers: our Chief Executive Officer, our Chief Financial Officer, and the three other most highly compensated executive officers who were serving as executive officers on December 31, 2025. The named executive officers for 2025 were:</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1515"/>
        <w:gridCol w:w="109"/>
        <w:gridCol w:w="109"/>
        <w:gridCol w:w="1827"/>
        <w:gridCol w:w="109"/>
        <w:gridCol w:w="109"/>
        <w:gridCol w:w="1844"/>
        <w:gridCol w:w="109"/>
        <w:gridCol w:w="109"/>
        <w:gridCol w:w="1413"/>
        <w:gridCol w:w="109"/>
        <w:gridCol w:w="109"/>
        <w:gridCol w:w="1434"/>
        <w:gridCol w:w="156"/>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5" w:type="dxa"/>
            <w:gridSpan w:val="13"/>
            <w:tcBorders>
              <w:bottom w:val="single" w:sz="24" w:space="0" w:color="FEFEFE"/>
            </w:tcBorders>
            <w:shd w:fill="002F56" w:val="clear"/>
            <w:tcMar>
              <w:bottom w:w="70" w:type="dxa"/>
            </w:tcMar>
            <w:vAlign w:val="center"/>
          </w:tcPr>
          <w:p>
            <w:pPr>
              <w:pStyle w:val="TableContents"/>
              <w:bidi w:val="0"/>
              <w:spacing w:before="0" w:after="0"/>
              <w:jc w:val="center"/>
              <w:rPr>
                <w:spacing w:val="-7"/>
              </w:rPr>
            </w:pPr>
            <w:r>
              <w:rPr>
                <w:spacing w:val="-7"/>
              </w:rPr>
              <w:t xml:space="preserve">OUR 2025 NAMED EXECUTIVE OFFICERS </w:t>
            </w:r>
          </w:p>
        </w:tc>
        <w:tc>
          <w:tcPr>
            <w:tcW w:w="156"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bottom w:val="single" w:sz="6" w:space="0" w:color="DF0000"/>
            </w:tcBorders>
            <w:vAlign w:val="center"/>
          </w:tcPr>
          <w:p>
            <w:pPr>
              <w:pStyle w:val="TableContents"/>
              <w:bidi w:val="0"/>
              <w:spacing w:before="0" w:after="283"/>
              <w:jc w:val="left"/>
              <w:rPr/>
            </w:pPr>
            <w:r>
              <w:rPr/>
              <w:t>​</w:t>
            </w:r>
          </w:p>
        </w:tc>
        <w:tc>
          <w:tcPr>
            <w:tcW w:w="1515" w:type="dxa"/>
            <w:tcBorders>
              <w:bottom w:val="single" w:sz="6" w:space="0" w:color="DF0000"/>
            </w:tcBorders>
            <w:tcMar>
              <w:bottom w:w="80" w:type="dxa"/>
            </w:tcMar>
            <w:vAlign w:val="center"/>
          </w:tcPr>
          <w:p>
            <w:pPr>
              <w:pStyle w:val="TableContents"/>
              <w:bidi w:val="0"/>
              <w:spacing w:before="130" w:after="283"/>
              <w:jc w:val="center"/>
              <w:rPr/>
            </w:pPr>
            <w:r>
              <w:rPr/>
              <w:drawing>
                <wp:inline distT="0" distB="0" distL="0" distR="0">
                  <wp:extent cx="733425" cy="1057275"/>
                  <wp:effectExtent l="0" t="0" r="0" b="0"/>
                  <wp:docPr id="56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235" descr=""/>
                          <pic:cNvPicPr>
                            <a:picLocks noChangeAspect="1" noChangeArrowheads="1"/>
                          </pic:cNvPicPr>
                        </pic:nvPicPr>
                        <pic:blipFill>
                          <a:blip r:embed="rId247"/>
                          <a:stretch>
                            <a:fillRect/>
                          </a:stretch>
                        </pic:blipFill>
                        <pic:spPr bwMode="auto">
                          <a:xfrm>
                            <a:off x="0" y="0"/>
                            <a:ext cx="733425" cy="1057275"/>
                          </a:xfrm>
                          <a:prstGeom prst="rect">
                            <a:avLst/>
                          </a:prstGeom>
                        </pic:spPr>
                      </pic:pic>
                    </a:graphicData>
                  </a:graphic>
                </wp:inline>
              </w:drawing>
            </w:r>
            <w:r>
              <w:rPr/>
              <w:t xml:space="preserve"> </w:t>
            </w:r>
          </w:p>
        </w:tc>
        <w:tc>
          <w:tcPr>
            <w:tcW w:w="109" w:type="dxa"/>
            <w:tcBorders>
              <w:bottom w:val="single" w:sz="6" w:space="0" w:color="DF0000"/>
            </w:tcBorders>
            <w:vAlign w:val="center"/>
          </w:tcPr>
          <w:p>
            <w:pPr>
              <w:pStyle w:val="TableContents"/>
              <w:bidi w:val="0"/>
              <w:spacing w:before="0" w:after="283"/>
              <w:jc w:val="left"/>
              <w:rPr/>
            </w:pPr>
            <w:r>
              <w:rPr/>
              <w:t>​</w:t>
            </w:r>
          </w:p>
        </w:tc>
        <w:tc>
          <w:tcPr>
            <w:tcW w:w="109" w:type="dxa"/>
            <w:tcBorders>
              <w:bottom w:val="single" w:sz="6" w:space="0" w:color="DF0000"/>
            </w:tcBorders>
            <w:vAlign w:val="center"/>
          </w:tcPr>
          <w:p>
            <w:pPr>
              <w:pStyle w:val="TableContents"/>
              <w:bidi w:val="0"/>
              <w:spacing w:before="0" w:after="283"/>
              <w:jc w:val="left"/>
              <w:rPr/>
            </w:pPr>
            <w:r>
              <w:rPr/>
              <w:t>​</w:t>
            </w:r>
          </w:p>
        </w:tc>
        <w:tc>
          <w:tcPr>
            <w:tcW w:w="1827" w:type="dxa"/>
            <w:tcBorders>
              <w:bottom w:val="single" w:sz="6" w:space="0" w:color="DF0000"/>
            </w:tcBorders>
            <w:tcMar>
              <w:bottom w:w="80" w:type="dxa"/>
            </w:tcMar>
            <w:vAlign w:val="center"/>
          </w:tcPr>
          <w:p>
            <w:pPr>
              <w:pStyle w:val="TableContents"/>
              <w:bidi w:val="0"/>
              <w:spacing w:before="130" w:after="283"/>
              <w:jc w:val="center"/>
              <w:rPr/>
            </w:pPr>
            <w:r>
              <w:rPr/>
              <w:drawing>
                <wp:inline distT="0" distB="0" distL="0" distR="0">
                  <wp:extent cx="733425" cy="1057275"/>
                  <wp:effectExtent l="0" t="0" r="0" b="0"/>
                  <wp:docPr id="56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236" descr=""/>
                          <pic:cNvPicPr>
                            <a:picLocks noChangeAspect="1" noChangeArrowheads="1"/>
                          </pic:cNvPicPr>
                        </pic:nvPicPr>
                        <pic:blipFill>
                          <a:blip r:embed="rId248"/>
                          <a:stretch>
                            <a:fillRect/>
                          </a:stretch>
                        </pic:blipFill>
                        <pic:spPr bwMode="auto">
                          <a:xfrm>
                            <a:off x="0" y="0"/>
                            <a:ext cx="733425" cy="1057275"/>
                          </a:xfrm>
                          <a:prstGeom prst="rect">
                            <a:avLst/>
                          </a:prstGeom>
                        </pic:spPr>
                      </pic:pic>
                    </a:graphicData>
                  </a:graphic>
                </wp:inline>
              </w:drawing>
            </w:r>
            <w:r>
              <w:rPr/>
              <w:t xml:space="preserve"> </w:t>
            </w:r>
          </w:p>
        </w:tc>
        <w:tc>
          <w:tcPr>
            <w:tcW w:w="109" w:type="dxa"/>
            <w:tcBorders>
              <w:bottom w:val="single" w:sz="6" w:space="0" w:color="DF0000"/>
            </w:tcBorders>
            <w:vAlign w:val="center"/>
          </w:tcPr>
          <w:p>
            <w:pPr>
              <w:pStyle w:val="TableContents"/>
              <w:bidi w:val="0"/>
              <w:spacing w:before="0" w:after="283"/>
              <w:jc w:val="left"/>
              <w:rPr/>
            </w:pPr>
            <w:r>
              <w:rPr/>
              <w:t>​</w:t>
            </w:r>
          </w:p>
        </w:tc>
        <w:tc>
          <w:tcPr>
            <w:tcW w:w="109" w:type="dxa"/>
            <w:tcBorders>
              <w:bottom w:val="single" w:sz="6" w:space="0" w:color="DF0000"/>
            </w:tcBorders>
            <w:vAlign w:val="center"/>
          </w:tcPr>
          <w:p>
            <w:pPr>
              <w:pStyle w:val="TableContents"/>
              <w:bidi w:val="0"/>
              <w:spacing w:before="0" w:after="283"/>
              <w:jc w:val="left"/>
              <w:rPr/>
            </w:pPr>
            <w:r>
              <w:rPr/>
              <w:t>​</w:t>
            </w:r>
          </w:p>
        </w:tc>
        <w:tc>
          <w:tcPr>
            <w:tcW w:w="1844" w:type="dxa"/>
            <w:tcBorders>
              <w:bottom w:val="single" w:sz="6" w:space="0" w:color="DF0000"/>
            </w:tcBorders>
            <w:tcMar>
              <w:bottom w:w="80" w:type="dxa"/>
            </w:tcMar>
            <w:vAlign w:val="center"/>
          </w:tcPr>
          <w:p>
            <w:pPr>
              <w:pStyle w:val="TableContents"/>
              <w:bidi w:val="0"/>
              <w:spacing w:before="130" w:after="283"/>
              <w:jc w:val="center"/>
              <w:rPr/>
            </w:pPr>
            <w:r>
              <w:rPr/>
              <w:drawing>
                <wp:inline distT="0" distB="0" distL="0" distR="0">
                  <wp:extent cx="723900" cy="1057275"/>
                  <wp:effectExtent l="0" t="0" r="0" b="0"/>
                  <wp:docPr id="57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237" descr=""/>
                          <pic:cNvPicPr>
                            <a:picLocks noChangeAspect="1" noChangeArrowheads="1"/>
                          </pic:cNvPicPr>
                        </pic:nvPicPr>
                        <pic:blipFill>
                          <a:blip r:embed="rId249"/>
                          <a:stretch>
                            <a:fillRect/>
                          </a:stretch>
                        </pic:blipFill>
                        <pic:spPr bwMode="auto">
                          <a:xfrm>
                            <a:off x="0" y="0"/>
                            <a:ext cx="723900" cy="1057275"/>
                          </a:xfrm>
                          <a:prstGeom prst="rect">
                            <a:avLst/>
                          </a:prstGeom>
                        </pic:spPr>
                      </pic:pic>
                    </a:graphicData>
                  </a:graphic>
                </wp:inline>
              </w:drawing>
            </w:r>
            <w:r>
              <w:rPr/>
              <w:t xml:space="preserve"> </w:t>
            </w:r>
          </w:p>
        </w:tc>
        <w:tc>
          <w:tcPr>
            <w:tcW w:w="109" w:type="dxa"/>
            <w:tcBorders>
              <w:bottom w:val="single" w:sz="6" w:space="0" w:color="DF0000"/>
            </w:tcBorders>
            <w:vAlign w:val="center"/>
          </w:tcPr>
          <w:p>
            <w:pPr>
              <w:pStyle w:val="TableContents"/>
              <w:bidi w:val="0"/>
              <w:spacing w:before="0" w:after="283"/>
              <w:jc w:val="left"/>
              <w:rPr/>
            </w:pPr>
            <w:r>
              <w:rPr/>
              <w:t>​</w:t>
            </w:r>
          </w:p>
        </w:tc>
        <w:tc>
          <w:tcPr>
            <w:tcW w:w="109" w:type="dxa"/>
            <w:tcBorders>
              <w:bottom w:val="single" w:sz="6" w:space="0" w:color="DF0000"/>
            </w:tcBorders>
            <w:vAlign w:val="center"/>
          </w:tcPr>
          <w:p>
            <w:pPr>
              <w:pStyle w:val="TableContents"/>
              <w:bidi w:val="0"/>
              <w:spacing w:before="0" w:after="283"/>
              <w:jc w:val="left"/>
              <w:rPr/>
            </w:pPr>
            <w:r>
              <w:rPr/>
              <w:t>​</w:t>
            </w:r>
          </w:p>
        </w:tc>
        <w:tc>
          <w:tcPr>
            <w:tcW w:w="1413" w:type="dxa"/>
            <w:tcBorders>
              <w:bottom w:val="single" w:sz="6" w:space="0" w:color="DF0000"/>
            </w:tcBorders>
            <w:tcMar>
              <w:bottom w:w="80" w:type="dxa"/>
            </w:tcMar>
            <w:vAlign w:val="center"/>
          </w:tcPr>
          <w:p>
            <w:pPr>
              <w:pStyle w:val="TableContents"/>
              <w:bidi w:val="0"/>
              <w:spacing w:before="130" w:after="283"/>
              <w:jc w:val="center"/>
              <w:rPr/>
            </w:pPr>
            <w:r>
              <w:rPr/>
              <w:drawing>
                <wp:inline distT="0" distB="0" distL="0" distR="0">
                  <wp:extent cx="733425" cy="1057275"/>
                  <wp:effectExtent l="0" t="0" r="0" b="0"/>
                  <wp:docPr id="57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238" descr=""/>
                          <pic:cNvPicPr>
                            <a:picLocks noChangeAspect="1" noChangeArrowheads="1"/>
                          </pic:cNvPicPr>
                        </pic:nvPicPr>
                        <pic:blipFill>
                          <a:blip r:embed="rId250"/>
                          <a:stretch>
                            <a:fillRect/>
                          </a:stretch>
                        </pic:blipFill>
                        <pic:spPr bwMode="auto">
                          <a:xfrm>
                            <a:off x="0" y="0"/>
                            <a:ext cx="733425" cy="1057275"/>
                          </a:xfrm>
                          <a:prstGeom prst="rect">
                            <a:avLst/>
                          </a:prstGeom>
                        </pic:spPr>
                      </pic:pic>
                    </a:graphicData>
                  </a:graphic>
                </wp:inline>
              </w:drawing>
            </w:r>
            <w:r>
              <w:rPr/>
              <w:t xml:space="preserve"> </w:t>
            </w:r>
          </w:p>
        </w:tc>
        <w:tc>
          <w:tcPr>
            <w:tcW w:w="109" w:type="dxa"/>
            <w:tcBorders>
              <w:bottom w:val="single" w:sz="6" w:space="0" w:color="DF0000"/>
            </w:tcBorders>
            <w:vAlign w:val="center"/>
          </w:tcPr>
          <w:p>
            <w:pPr>
              <w:pStyle w:val="TableContents"/>
              <w:bidi w:val="0"/>
              <w:spacing w:before="0" w:after="283"/>
              <w:jc w:val="left"/>
              <w:rPr/>
            </w:pPr>
            <w:r>
              <w:rPr/>
              <w:t>​</w:t>
            </w:r>
          </w:p>
        </w:tc>
        <w:tc>
          <w:tcPr>
            <w:tcW w:w="109" w:type="dxa"/>
            <w:tcBorders>
              <w:bottom w:val="single" w:sz="6" w:space="0" w:color="DF0000"/>
            </w:tcBorders>
            <w:vAlign w:val="center"/>
          </w:tcPr>
          <w:p>
            <w:pPr>
              <w:pStyle w:val="TableContents"/>
              <w:bidi w:val="0"/>
              <w:spacing w:before="0" w:after="283"/>
              <w:jc w:val="left"/>
              <w:rPr/>
            </w:pPr>
            <w:r>
              <w:rPr/>
              <w:t>​</w:t>
            </w:r>
          </w:p>
        </w:tc>
        <w:tc>
          <w:tcPr>
            <w:tcW w:w="1434" w:type="dxa"/>
            <w:tcBorders>
              <w:bottom w:val="single" w:sz="6" w:space="0" w:color="DF0000"/>
            </w:tcBorders>
            <w:tcMar>
              <w:bottom w:w="80" w:type="dxa"/>
            </w:tcMar>
            <w:vAlign w:val="center"/>
          </w:tcPr>
          <w:p>
            <w:pPr>
              <w:pStyle w:val="TableContents"/>
              <w:bidi w:val="0"/>
              <w:spacing w:before="130" w:after="283"/>
              <w:jc w:val="center"/>
              <w:rPr/>
            </w:pPr>
            <w:r>
              <w:rPr/>
              <w:drawing>
                <wp:inline distT="0" distB="0" distL="0" distR="0">
                  <wp:extent cx="723900" cy="1057275"/>
                  <wp:effectExtent l="0" t="0" r="0" b="0"/>
                  <wp:docPr id="57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239" descr=""/>
                          <pic:cNvPicPr>
                            <a:picLocks noChangeAspect="1" noChangeArrowheads="1"/>
                          </pic:cNvPicPr>
                        </pic:nvPicPr>
                        <pic:blipFill>
                          <a:blip r:embed="rId251"/>
                          <a:stretch>
                            <a:fillRect/>
                          </a:stretch>
                        </pic:blipFill>
                        <pic:spPr bwMode="auto">
                          <a:xfrm>
                            <a:off x="0" y="0"/>
                            <a:ext cx="723900" cy="1057275"/>
                          </a:xfrm>
                          <a:prstGeom prst="rect">
                            <a:avLst/>
                          </a:prstGeom>
                        </pic:spPr>
                      </pic:pic>
                    </a:graphicData>
                  </a:graphic>
                </wp:inline>
              </w:drawing>
            </w:r>
            <w:r>
              <w:rPr/>
              <w:t xml:space="preserve"> </w:t>
            </w:r>
          </w:p>
        </w:tc>
        <w:tc>
          <w:tcPr>
            <w:tcW w:w="156" w:type="dxa"/>
            <w:tcBorders>
              <w:bottom w:val="single" w:sz="6" w:space="0" w:color="DF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5" w:type="dxa"/>
            <w:tcBorders/>
            <w:tcMar>
              <w:bottom w:w="0" w:type="dxa"/>
            </w:tcMar>
            <w:vAlign w:val="center"/>
          </w:tcPr>
          <w:p>
            <w:pPr>
              <w:pStyle w:val="TableContents"/>
              <w:bidi w:val="0"/>
              <w:spacing w:before="0" w:after="0"/>
              <w:jc w:val="center"/>
              <w:rPr>
                <w:b/>
                <w:sz w:val="18"/>
              </w:rPr>
            </w:pPr>
            <w:r>
              <w:rPr>
                <w:b/>
                <w:spacing w:val="-6"/>
                <w:sz w:val="19"/>
              </w:rPr>
              <w:t>DOUGLAS T. DIETRICH</w:t>
            </w:r>
            <w:r>
              <w:rPr>
                <w:b/>
                <w:sz w:val="18"/>
              </w:rPr>
              <w:t xml:space="preserve">​ </w:t>
            </w:r>
          </w:p>
          <w:p>
            <w:pPr>
              <w:pStyle w:val="TableContents"/>
              <w:bidi w:val="0"/>
              <w:spacing w:lineRule="atLeast" w:line="195" w:before="40" w:after="283"/>
              <w:jc w:val="center"/>
              <w:rPr>
                <w:spacing w:val="-1"/>
              </w:rPr>
            </w:pPr>
            <w:r>
              <w:rPr>
                <w:spacing w:val="-1"/>
              </w:rPr>
              <w:t xml:space="preserve">Chairman of the Board and </w:t>
              <w:br/>
              <w:t xml:space="preserve">Chief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7" w:type="dxa"/>
            <w:tcBorders/>
            <w:tcMar>
              <w:bottom w:w="0" w:type="dxa"/>
            </w:tcMar>
            <w:vAlign w:val="center"/>
          </w:tcPr>
          <w:p>
            <w:pPr>
              <w:pStyle w:val="TableContents"/>
              <w:bidi w:val="0"/>
              <w:spacing w:lineRule="atLeast" w:line="226" w:before="0" w:after="0"/>
              <w:jc w:val="center"/>
              <w:rPr>
                <w:b/>
                <w:sz w:val="19"/>
              </w:rPr>
            </w:pPr>
            <w:r>
              <w:rPr>
                <w:b/>
                <w:spacing w:val="-7"/>
                <w:sz w:val="19"/>
              </w:rPr>
              <w:t>ERIK C. ALDAG</w:t>
            </w:r>
            <w:r>
              <w:rPr>
                <w:b/>
                <w:sz w:val="19"/>
              </w:rPr>
              <w:t xml:space="preserve">​ </w:t>
            </w:r>
          </w:p>
          <w:p>
            <w:pPr>
              <w:pStyle w:val="TableContents"/>
              <w:bidi w:val="0"/>
              <w:spacing w:lineRule="atLeast" w:line="196" w:before="40" w:after="283"/>
              <w:jc w:val="center"/>
              <w:rPr>
                <w:spacing w:val="-1"/>
              </w:rPr>
            </w:pPr>
            <w:r>
              <w:rPr>
                <w:spacing w:val="-1"/>
              </w:rPr>
              <w:t xml:space="preserve">Senior Vice President, Finance and Treasury, </w:t>
              <w:br/>
              <w:t xml:space="preserve">and Chief Financial </w:t>
              <w:br/>
              <w:t xml:space="preserve">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4" w:type="dxa"/>
            <w:tcBorders/>
            <w:tcMar>
              <w:bottom w:w="0" w:type="dxa"/>
            </w:tcMar>
            <w:vAlign w:val="center"/>
          </w:tcPr>
          <w:p>
            <w:pPr>
              <w:pStyle w:val="TableContents"/>
              <w:bidi w:val="0"/>
              <w:spacing w:before="0" w:after="0"/>
              <w:jc w:val="center"/>
              <w:rPr>
                <w:b/>
                <w:sz w:val="19"/>
              </w:rPr>
            </w:pPr>
            <w:r>
              <w:rPr>
                <w:b/>
                <w:spacing w:val="-7"/>
                <w:sz w:val="19"/>
              </w:rPr>
              <w:t>D.J. MONAGLE, III</w:t>
            </w:r>
            <w:r>
              <w:rPr>
                <w:b/>
                <w:sz w:val="19"/>
              </w:rPr>
              <w:t xml:space="preserve">​ </w:t>
            </w:r>
          </w:p>
          <w:p>
            <w:pPr>
              <w:pStyle w:val="TableContents"/>
              <w:bidi w:val="0"/>
              <w:spacing w:lineRule="atLeast" w:line="195" w:before="40" w:after="283"/>
              <w:jc w:val="center"/>
              <w:rPr>
                <w:spacing w:val="-1"/>
              </w:rPr>
            </w:pPr>
            <w:r>
              <w:rPr>
                <w:spacing w:val="-1"/>
              </w:rPr>
              <w:t xml:space="preserve">Group President, Consumer &amp; Specialties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3" w:type="dxa"/>
            <w:tcBorders/>
            <w:tcMar>
              <w:bottom w:w="0" w:type="dxa"/>
            </w:tcMar>
            <w:vAlign w:val="center"/>
          </w:tcPr>
          <w:p>
            <w:pPr>
              <w:pStyle w:val="TableContents"/>
              <w:bidi w:val="0"/>
              <w:spacing w:before="0" w:after="0"/>
              <w:jc w:val="center"/>
              <w:rPr>
                <w:b/>
                <w:sz w:val="19"/>
              </w:rPr>
            </w:pPr>
            <w:r>
              <w:rPr>
                <w:b/>
                <w:spacing w:val="-7"/>
                <w:sz w:val="19"/>
              </w:rPr>
              <w:t>BRETT ARGIRAKIS</w:t>
            </w:r>
            <w:r>
              <w:rPr>
                <w:b/>
                <w:sz w:val="19"/>
              </w:rPr>
              <w:t xml:space="preserve">​ </w:t>
            </w:r>
          </w:p>
          <w:p>
            <w:pPr>
              <w:pStyle w:val="TableContents"/>
              <w:bidi w:val="0"/>
              <w:spacing w:lineRule="atLeast" w:line="195" w:before="40" w:after="283"/>
              <w:jc w:val="center"/>
              <w:rPr>
                <w:spacing w:val="-1"/>
              </w:rPr>
            </w:pPr>
            <w:r>
              <w:rPr>
                <w:spacing w:val="-1"/>
              </w:rPr>
              <w:t xml:space="preserve">Group President, </w:t>
              <w:br/>
              <w:t xml:space="preserve">Engineered 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4" w:type="dxa"/>
            <w:tcBorders/>
            <w:tcMar>
              <w:bottom w:w="0" w:type="dxa"/>
            </w:tcMar>
            <w:vAlign w:val="center"/>
          </w:tcPr>
          <w:p>
            <w:pPr>
              <w:pStyle w:val="TableContents"/>
              <w:bidi w:val="0"/>
              <w:spacing w:before="0" w:after="0"/>
              <w:jc w:val="center"/>
              <w:rPr>
                <w:b/>
                <w:sz w:val="19"/>
              </w:rPr>
            </w:pPr>
            <w:r>
              <w:rPr>
                <w:b/>
                <w:spacing w:val="-7"/>
                <w:sz w:val="19"/>
              </w:rPr>
              <w:t>JONATHAN J. HASTINGS</w:t>
            </w:r>
            <w:r>
              <w:rPr>
                <w:b/>
                <w:sz w:val="19"/>
              </w:rPr>
              <w:t xml:space="preserve">​ </w:t>
            </w:r>
          </w:p>
          <w:p>
            <w:pPr>
              <w:pStyle w:val="TableContents"/>
              <w:bidi w:val="0"/>
              <w:spacing w:lineRule="atLeast" w:line="195" w:before="40" w:after="283"/>
              <w:jc w:val="center"/>
              <w:rPr/>
            </w:pPr>
            <w:r>
              <w:rPr>
                <w:spacing w:val="-1"/>
              </w:rPr>
              <w:t xml:space="preserve">Senior Vice President, </w:t>
              <w:br/>
              <w:t>Strategy and M&amp;A</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35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HWTP"/>
      <w:bookmarkEnd w:id="50"/>
      <w:r>
        <w:rPr>
          <w:rFonts w:ascii="calibri;arial;sans-serif" w:hAnsi="calibri;arial;sans-serif"/>
          <w:b w:val="false"/>
          <w:i w:val="false"/>
          <w:caps w:val="false"/>
          <w:smallCaps w:val="false"/>
          <w:color w:val="000000"/>
          <w:sz w:val="16"/>
        </w:rPr>
        <w:t>​</w:t>
      </w:r>
      <w:bookmarkStart w:id="51" w:name="t2BAP"/>
      <w:bookmarkEnd w:id="51"/>
      <w:r>
        <w:rPr>
          <w:rFonts w:ascii="calibri;arial;sans-serif" w:hAnsi="calibri;arial;sans-serif"/>
          <w:b w:val="false"/>
          <w:i w:val="false"/>
          <w:caps w:val="false"/>
          <w:smallCaps w:val="false"/>
          <w:color w:val="000000"/>
          <w:sz w:val="16"/>
        </w:rPr>
        <w:t>​</w:t>
      </w:r>
      <w:bookmarkStart w:id="52" w:name="tOUCO11"/>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HOW WE TIE PAY TO PERFORMANCE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executive compensation program is designed to:</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6229350" cy="1057275"/>
            <wp:effectExtent l="0" t="0" r="0" b="0"/>
            <wp:docPr id="57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240" descr=""/>
                    <pic:cNvPicPr>
                      <a:picLocks noChangeAspect="1" noChangeArrowheads="1"/>
                    </pic:cNvPicPr>
                  </pic:nvPicPr>
                  <pic:blipFill>
                    <a:blip r:embed="rId252"/>
                    <a:stretch>
                      <a:fillRect/>
                    </a:stretch>
                  </pic:blipFill>
                  <pic:spPr bwMode="auto">
                    <a:xfrm>
                      <a:off x="0" y="0"/>
                      <a:ext cx="6229350" cy="10572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2025 BUSINESS AND PERFORMANCE REVIEW</w:t>
      </w:r>
      <w:r>
        <w:rPr>
          <w:rFonts w:ascii="Arial;Helvetica;sans-serif" w:hAnsi="Arial;Helvetica;sans-serif"/>
          <w:b w:val="false"/>
          <w:i w:val="false"/>
          <w:caps w:val="false"/>
          <w:smallCaps w:val="false"/>
          <w:color w:val="000000"/>
          <w:spacing w:val="6"/>
          <w:sz w:val="28"/>
        </w:rPr>
        <w:t xml:space="preserve"> </w:t>
      </w:r>
    </w:p>
    <w:tbl>
      <w:tblPr>
        <w:tblW w:w="5877" w:type="dxa"/>
        <w:jc w:val="left"/>
        <w:tblInd w:w="1020" w:type="dxa"/>
        <w:tblLayout w:type="fixed"/>
        <w:tblCellMar>
          <w:top w:w="0" w:type="dxa"/>
          <w:left w:w="0" w:type="dxa"/>
          <w:bottom w:w="28" w:type="dxa"/>
          <w:right w:w="0" w:type="dxa"/>
        </w:tblCellMar>
      </w:tblPr>
      <w:tblGrid>
        <w:gridCol w:w="124"/>
        <w:gridCol w:w="739"/>
        <w:gridCol w:w="109"/>
        <w:gridCol w:w="109"/>
        <w:gridCol w:w="109"/>
        <w:gridCol w:w="2028"/>
        <w:gridCol w:w="109"/>
        <w:gridCol w:w="109"/>
        <w:gridCol w:w="109"/>
        <w:gridCol w:w="2178"/>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5599" w:type="dxa"/>
            <w:gridSpan w:val="9"/>
            <w:tcBorders>
              <w:bottom w:val="single" w:sz="24" w:space="0" w:color="FEFEFE"/>
            </w:tcBorders>
            <w:shd w:fill="002F56" w:val="clear"/>
            <w:tcMar>
              <w:bottom w:w="70" w:type="dxa"/>
            </w:tcMar>
            <w:vAlign w:val="center"/>
          </w:tcPr>
          <w:p>
            <w:pPr>
              <w:pStyle w:val="TableContents"/>
              <w:bidi w:val="0"/>
              <w:spacing w:lineRule="atLeast" w:line="240" w:before="0" w:after="0"/>
              <w:jc w:val="center"/>
              <w:rPr/>
            </w:pPr>
            <w:r>
              <w:rPr>
                <w:spacing w:val="-7"/>
              </w:rPr>
              <w:t>2025 FINANCIAL PERFORMANCE</w:t>
            </w:r>
            <w:r>
              <w:rPr/>
              <w:t xml:space="preserve">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739" w:type="dxa"/>
            <w:tcBorders/>
            <w:shd w:fill="71B1C8" w:val="clear"/>
            <w:tcMar>
              <w:bottom w:w="0" w:type="dxa"/>
            </w:tcMar>
            <w:vAlign w:val="center"/>
          </w:tcPr>
          <w:p>
            <w:pPr>
              <w:pStyle w:val="TableContents"/>
              <w:bidi w:val="0"/>
              <w:spacing w:lineRule="atLeast" w:line="480" w:before="0" w:after="0"/>
              <w:jc w:val="center"/>
              <w:rPr/>
            </w:pPr>
            <w:r>
              <w:rPr>
                <w:spacing w:val="-3"/>
              </w:rPr>
              <w:t>$2.1B</w:t>
            </w:r>
            <w:r>
              <w:rPr/>
              <w:t xml:space="preserve"> </w:t>
            </w:r>
          </w:p>
          <w:p>
            <w:pPr>
              <w:pStyle w:val="TableContents"/>
              <w:bidi w:val="0"/>
              <w:spacing w:lineRule="atLeast" w:line="220" w:before="40" w:after="283"/>
              <w:jc w:val="center"/>
              <w:rPr>
                <w:sz w:val="18"/>
              </w:rPr>
            </w:pPr>
            <w:r>
              <w:rPr>
                <w:spacing w:val="-1"/>
                <w:sz w:val="18"/>
              </w:rPr>
              <w:t>SALES</w:t>
            </w:r>
            <w:r>
              <w:rPr>
                <w:sz w:val="18"/>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028" w:type="dxa"/>
            <w:tcBorders/>
            <w:shd w:fill="002F56" w:val="clear"/>
            <w:tcMar>
              <w:bottom w:w="0" w:type="dxa"/>
            </w:tcMar>
            <w:vAlign w:val="center"/>
          </w:tcPr>
          <w:p>
            <w:pPr>
              <w:pStyle w:val="TableContents"/>
              <w:bidi w:val="0"/>
              <w:spacing w:lineRule="atLeast" w:line="480" w:before="0" w:after="0"/>
              <w:jc w:val="center"/>
              <w:rPr/>
            </w:pPr>
            <w:r>
              <w:rPr>
                <w:spacing w:val="-3"/>
              </w:rPr>
              <w:t>$287M</w:t>
            </w:r>
            <w:r>
              <w:rPr/>
              <w:t xml:space="preserve"> </w:t>
            </w:r>
          </w:p>
          <w:p>
            <w:pPr>
              <w:pStyle w:val="TableContents"/>
              <w:bidi w:val="0"/>
              <w:spacing w:lineRule="atLeast" w:line="220" w:before="40" w:after="283"/>
              <w:jc w:val="center"/>
              <w:rPr>
                <w:sz w:val="18"/>
              </w:rPr>
            </w:pPr>
            <w:r>
              <w:rPr>
                <w:spacing w:val="-1"/>
                <w:sz w:val="18"/>
              </w:rPr>
              <w:t>OPERATING INCOME*</w:t>
            </w:r>
            <w:r>
              <w:rPr>
                <w:sz w:val="18"/>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2178" w:type="dxa"/>
            <w:tcBorders/>
            <w:shd w:fill="7F7F7F" w:val="clear"/>
            <w:tcMar>
              <w:bottom w:w="0" w:type="dxa"/>
            </w:tcMar>
            <w:vAlign w:val="center"/>
          </w:tcPr>
          <w:p>
            <w:pPr>
              <w:pStyle w:val="TableContents"/>
              <w:bidi w:val="0"/>
              <w:spacing w:lineRule="atLeast" w:line="480" w:before="0" w:after="0"/>
              <w:jc w:val="center"/>
              <w:rPr/>
            </w:pPr>
            <w:r>
              <w:rPr>
                <w:spacing w:val="-3"/>
              </w:rPr>
              <w:t>$5.52</w:t>
            </w:r>
            <w:r>
              <w:rPr/>
              <w:t xml:space="preserve"> </w:t>
            </w:r>
          </w:p>
          <w:p>
            <w:pPr>
              <w:pStyle w:val="TableContents"/>
              <w:bidi w:val="0"/>
              <w:spacing w:lineRule="atLeast" w:line="220" w:before="40" w:after="283"/>
              <w:jc w:val="center"/>
              <w:rPr>
                <w:sz w:val="18"/>
              </w:rPr>
            </w:pPr>
            <w:r>
              <w:rPr>
                <w:spacing w:val="-1"/>
                <w:sz w:val="18"/>
              </w:rPr>
              <w:t>EARNINGS PER SHARE*</w:t>
            </w:r>
            <w:r>
              <w:rPr>
                <w:sz w:val="18"/>
              </w:rPr>
              <w:t xml:space="preserve"> </w:t>
            </w:r>
          </w:p>
        </w:tc>
        <w:tc>
          <w:tcPr>
            <w:tcW w:w="154" w:type="dxa"/>
            <w:tcBorders/>
            <w:shd w:fill="7F7F7F" w:val="clear"/>
            <w:tcMar>
              <w:bottom w:w="0" w:type="dxa"/>
            </w:tcM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2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Excluding special items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0" distB="0" distL="76200" distR="0" simplePos="0" locked="0" layoutInCell="1" allowOverlap="1" relativeHeight="628">
                <wp:simplePos x="0" y="0"/>
                <wp:positionH relativeFrom="column">
                  <wp:align>left</wp:align>
                </wp:positionH>
                <wp:positionV relativeFrom="line">
                  <wp:align>top</wp:align>
                </wp:positionV>
                <wp:extent cx="254000" cy="233680"/>
                <wp:effectExtent l="0" t="0" r="0" b="0"/>
                <wp:wrapSquare wrapText="right"/>
                <wp:docPr id="574" name="Frame32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6pt;mso-wrap-distance-right:0pt;mso-wrap-distance-top:10pt;mso-wrap-distance-bottom:0pt;margin-top:10pt;mso-position-vertical:top;mso-position-vertical-relative:text;margin-left:6pt;mso-position-horizontal:left;mso-position-horizontal-relative:text">
                <v:textbox>
                  <w:txbxContent>
                    <w:p>
                      <w:pPr>
                        <w:pStyle w:val="TextBody"/>
                        <w:bidi w:val="0"/>
                        <w:spacing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OUR COMPANY</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Minerals Technologies Inc. is a leading, technology-driven specialty minerals company that develops, produces, and markets a broad range of mineral and mineral-based products, related systems, and services. The Company globally serves a wide range of consumer and industrial markets, including household and personal care, paper and packaging, food and pharmaceutical, automotive, construction, steel and foundry, environmental, and infrastructure.</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035"/>
        <w:gridCol w:w="128"/>
        <w:gridCol w:w="128"/>
        <w:gridCol w:w="128"/>
        <w:gridCol w:w="3005"/>
        <w:gridCol w:w="109"/>
        <w:gridCol w:w="109"/>
        <w:gridCol w:w="109"/>
        <w:gridCol w:w="987"/>
        <w:gridCol w:w="124"/>
        <w:gridCol w:w="124"/>
        <w:gridCol w:w="124"/>
        <w:gridCol w:w="2914"/>
        <w:gridCol w:w="161"/>
      </w:tblGrid>
      <w:tr>
        <w:trPr/>
        <w:tc>
          <w:tcPr>
            <w:tcW w:w="4424" w:type="dxa"/>
            <w:gridSpan w:val="5"/>
            <w:tcBorders/>
            <w:shd w:fill="002F56" w:val="clear"/>
            <w:vAlign w:val="center"/>
          </w:tcPr>
          <w:p>
            <w:pPr>
              <w:pStyle w:val="TableContents"/>
              <w:bidi w:val="0"/>
              <w:spacing w:before="0" w:after="0"/>
              <w:ind w:left="360" w:right="0" w:hanging="0"/>
              <w:jc w:val="left"/>
              <w:rPr/>
            </w:pPr>
            <w:r>
              <w:rPr>
                <w:spacing w:val="-8"/>
              </w:rPr>
              <w:t>CONSUMER &amp; SPECIALTIES</w:t>
            </w:r>
            <w:r>
              <w:rPr/>
              <w:t xml:space="preserve"> </w:t>
            </w:r>
          </w:p>
          <w:p>
            <w:pPr>
              <w:pStyle w:val="TableContents"/>
              <w:bidi w:val="0"/>
              <w:spacing w:lineRule="atLeast" w:line="180" w:before="20" w:after="283"/>
              <w:ind w:left="360" w:right="0" w:hanging="0"/>
              <w:jc w:val="left"/>
              <w:rPr>
                <w:b w:val="false"/>
                <w:spacing w:val="-1"/>
                <w:sz w:val="16"/>
              </w:rPr>
            </w:pPr>
            <w:r>
              <w:rPr>
                <w:b w:val="false"/>
                <w:spacing w:val="-1"/>
                <w:sz w:val="16"/>
              </w:rPr>
              <w:t xml:space="preserve">Touching Millions of Consumers’ Lives </w:t>
            </w:r>
          </w:p>
        </w:tc>
        <w:tc>
          <w:tcPr>
            <w:tcW w:w="109" w:type="dxa"/>
            <w:tcBorders/>
            <w:shd w:fill="002F56" w:val="clear"/>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4273" w:type="dxa"/>
            <w:gridSpan w:val="5"/>
            <w:tcBorders/>
            <w:shd w:fill="002F56" w:val="clear"/>
            <w:vAlign w:val="center"/>
          </w:tcPr>
          <w:p>
            <w:pPr>
              <w:pStyle w:val="TableContents"/>
              <w:bidi w:val="0"/>
              <w:spacing w:before="0" w:after="0"/>
              <w:ind w:left="240" w:right="0" w:hanging="0"/>
              <w:jc w:val="left"/>
              <w:rPr/>
            </w:pPr>
            <w:r>
              <w:rPr>
                <w:spacing w:val="-8"/>
              </w:rPr>
              <w:t>ENGINEERED SOLUTIONS</w:t>
            </w:r>
            <w:r>
              <w:rPr/>
              <w:t xml:space="preserve"> </w:t>
            </w:r>
          </w:p>
          <w:p>
            <w:pPr>
              <w:pStyle w:val="TableContents"/>
              <w:bidi w:val="0"/>
              <w:spacing w:lineRule="atLeast" w:line="180" w:before="20" w:after="283"/>
              <w:ind w:left="240" w:right="0" w:hanging="0"/>
              <w:jc w:val="left"/>
              <w:rPr>
                <w:b w:val="false"/>
                <w:spacing w:val="-1"/>
                <w:sz w:val="16"/>
              </w:rPr>
            </w:pPr>
            <w:r>
              <w:rPr>
                <w:b w:val="false"/>
                <w:spacing w:val="-1"/>
                <w:sz w:val="16"/>
              </w:rPr>
              <w:t xml:space="preserve">Improving Our Customers’ Manufacturing Processes </w:t>
            </w:r>
          </w:p>
        </w:tc>
        <w:tc>
          <w:tcPr>
            <w:tcW w:w="161" w:type="dxa"/>
            <w:tcBorders/>
            <w:shd w:fill="002F56" w:val="clear"/>
            <w:vAlign w:val="center"/>
          </w:tcPr>
          <w:p>
            <w:pPr>
              <w:pStyle w:val="TableContents"/>
              <w:bidi w:val="0"/>
              <w:spacing w:before="0" w:after="283"/>
              <w:jc w:val="left"/>
              <w:rPr/>
            </w:pPr>
            <w:r>
              <w:rPr/>
              <w:t>​</w:t>
            </w:r>
          </w:p>
        </w:tc>
      </w:tr>
      <w:tr>
        <w:trPr/>
        <w:tc>
          <w:tcPr>
            <w:tcW w:w="1035" w:type="dxa"/>
            <w:tcBorders/>
            <w:shd w:fill="71B1C8" w:val="clear"/>
            <w:vAlign w:val="center"/>
          </w:tcPr>
          <w:p>
            <w:pPr>
              <w:pStyle w:val="TableContents"/>
              <w:bidi w:val="0"/>
              <w:spacing w:before="0" w:after="0"/>
              <w:jc w:val="center"/>
              <w:rPr/>
            </w:pPr>
            <w:r>
              <w:rPr>
                <w:spacing w:val="-3"/>
              </w:rPr>
              <w:t>$1.1B</w:t>
            </w:r>
            <w:r>
              <w:rPr/>
              <w:t xml:space="preserve"> </w:t>
            </w:r>
          </w:p>
        </w:tc>
        <w:tc>
          <w:tcPr>
            <w:tcW w:w="128" w:type="dxa"/>
            <w:tcBorders/>
            <w:shd w:fill="71B1C8" w:val="clear"/>
            <w:vAlign w:val="center"/>
          </w:tcPr>
          <w:p>
            <w:pPr>
              <w:pStyle w:val="TableContents"/>
              <w:bidi w:val="0"/>
              <w:spacing w:before="0" w:after="283"/>
              <w:jc w:val="left"/>
              <w:rPr/>
            </w:pPr>
            <w:r>
              <w:rPr/>
              <w:t>​</w:t>
            </w:r>
          </w:p>
        </w:tc>
        <w:tc>
          <w:tcPr>
            <w:tcW w:w="128"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28" w:type="dxa"/>
            <w:tcBorders/>
            <w:shd w:fill="71B1C8" w:val="clear"/>
            <w:vAlign w:val="center"/>
          </w:tcPr>
          <w:p>
            <w:pPr>
              <w:pStyle w:val="TableContents"/>
              <w:bidi w:val="0"/>
              <w:spacing w:before="0" w:after="283"/>
              <w:jc w:val="left"/>
              <w:rPr/>
            </w:pPr>
            <w:r>
              <w:rPr/>
              <w:t>​</w:t>
            </w:r>
          </w:p>
        </w:tc>
        <w:tc>
          <w:tcPr>
            <w:tcW w:w="3005" w:type="dxa"/>
            <w:tcBorders/>
            <w:shd w:fill="71B1C8" w:val="clear"/>
            <w:vAlign w:val="center"/>
          </w:tcPr>
          <w:p>
            <w:pPr>
              <w:pStyle w:val="TableContents"/>
              <w:bidi w:val="0"/>
              <w:spacing w:before="0" w:after="0"/>
              <w:jc w:val="center"/>
              <w:rPr/>
            </w:pPr>
            <w:r>
              <w:rPr>
                <w:spacing w:val="-3"/>
              </w:rPr>
              <w:t>$134M</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987" w:type="dxa"/>
            <w:tcBorders/>
            <w:shd w:fill="71B1C8" w:val="clear"/>
            <w:vAlign w:val="center"/>
          </w:tcPr>
          <w:p>
            <w:pPr>
              <w:pStyle w:val="TableContents"/>
              <w:bidi w:val="0"/>
              <w:spacing w:before="0" w:after="0"/>
              <w:jc w:val="center"/>
              <w:rPr/>
            </w:pPr>
            <w:r>
              <w:rPr>
                <w:spacing w:val="-3"/>
              </w:rPr>
              <w:t>$1.0B</w:t>
            </w:r>
            <w:r>
              <w:rPr/>
              <w:t xml:space="preserve"> </w:t>
            </w:r>
          </w:p>
        </w:tc>
        <w:tc>
          <w:tcPr>
            <w:tcW w:w="124" w:type="dxa"/>
            <w:tcBorders/>
            <w:shd w:fill="71B1C8" w:val="clear"/>
            <w:vAlign w:val="center"/>
          </w:tcPr>
          <w:p>
            <w:pPr>
              <w:pStyle w:val="TableContents"/>
              <w:bidi w:val="0"/>
              <w:spacing w:before="0" w:after="283"/>
              <w:jc w:val="left"/>
              <w:rPr/>
            </w:pPr>
            <w:r>
              <w:rPr/>
              <w:t>​</w:t>
            </w:r>
          </w:p>
        </w:tc>
        <w:tc>
          <w:tcPr>
            <w:tcW w:w="124"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24" w:type="dxa"/>
            <w:tcBorders/>
            <w:shd w:fill="71B1C8" w:val="clear"/>
            <w:vAlign w:val="center"/>
          </w:tcPr>
          <w:p>
            <w:pPr>
              <w:pStyle w:val="TableContents"/>
              <w:bidi w:val="0"/>
              <w:spacing w:before="0" w:after="283"/>
              <w:jc w:val="left"/>
              <w:rPr/>
            </w:pPr>
            <w:r>
              <w:rPr/>
              <w:t>​</w:t>
            </w:r>
          </w:p>
        </w:tc>
        <w:tc>
          <w:tcPr>
            <w:tcW w:w="2914" w:type="dxa"/>
            <w:tcBorders/>
            <w:shd w:fill="71B1C8" w:val="clear"/>
            <w:vAlign w:val="center"/>
          </w:tcPr>
          <w:p>
            <w:pPr>
              <w:pStyle w:val="TableContents"/>
              <w:bidi w:val="0"/>
              <w:spacing w:before="0" w:after="0"/>
              <w:jc w:val="center"/>
              <w:rPr/>
            </w:pPr>
            <w:r>
              <w:rPr>
                <w:spacing w:val="-3"/>
              </w:rPr>
              <w:t>$163M</w:t>
            </w:r>
            <w:r>
              <w:rPr/>
              <w:t xml:space="preserve"> </w:t>
            </w:r>
          </w:p>
        </w:tc>
        <w:tc>
          <w:tcPr>
            <w:tcW w:w="161" w:type="dxa"/>
            <w:tcBorders/>
            <w:shd w:fill="71B1C8" w:val="clear"/>
            <w:vAlign w:val="center"/>
          </w:tcPr>
          <w:p>
            <w:pPr>
              <w:pStyle w:val="TableContents"/>
              <w:bidi w:val="0"/>
              <w:spacing w:before="0" w:after="283"/>
              <w:jc w:val="left"/>
              <w:rPr/>
            </w:pPr>
            <w:r>
              <w:rPr/>
              <w:t>​</w:t>
            </w:r>
          </w:p>
        </w:tc>
      </w:tr>
      <w:tr>
        <w:trPr/>
        <w:tc>
          <w:tcPr>
            <w:tcW w:w="1035" w:type="dxa"/>
            <w:tcBorders/>
            <w:shd w:fill="71B1C8" w:val="clear"/>
            <w:vAlign w:val="center"/>
          </w:tcPr>
          <w:p>
            <w:pPr>
              <w:pStyle w:val="TableContents"/>
              <w:bidi w:val="0"/>
              <w:spacing w:before="0" w:after="0"/>
              <w:jc w:val="center"/>
              <w:rPr>
                <w:spacing w:val="-1"/>
              </w:rPr>
            </w:pPr>
            <w:r>
              <w:rPr>
                <w:spacing w:val="-1"/>
              </w:rPr>
              <w:t xml:space="preserve">SALES </w:t>
            </w:r>
          </w:p>
        </w:tc>
        <w:tc>
          <w:tcPr>
            <w:tcW w:w="128" w:type="dxa"/>
            <w:tcBorders/>
            <w:shd w:fill="71B1C8" w:val="clear"/>
            <w:vAlign w:val="center"/>
          </w:tcPr>
          <w:p>
            <w:pPr>
              <w:pStyle w:val="TableContents"/>
              <w:bidi w:val="0"/>
              <w:spacing w:before="0" w:after="283"/>
              <w:jc w:val="left"/>
              <w:rPr/>
            </w:pPr>
            <w:r>
              <w:rPr/>
              <w:t>​</w:t>
            </w:r>
          </w:p>
        </w:tc>
        <w:tc>
          <w:tcPr>
            <w:tcW w:w="128"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28" w:type="dxa"/>
            <w:tcBorders/>
            <w:shd w:fill="71B1C8" w:val="clear"/>
            <w:vAlign w:val="center"/>
          </w:tcPr>
          <w:p>
            <w:pPr>
              <w:pStyle w:val="TableContents"/>
              <w:bidi w:val="0"/>
              <w:spacing w:before="0" w:after="283"/>
              <w:jc w:val="left"/>
              <w:rPr/>
            </w:pPr>
            <w:r>
              <w:rPr/>
              <w:t>​</w:t>
            </w:r>
          </w:p>
        </w:tc>
        <w:tc>
          <w:tcPr>
            <w:tcW w:w="3005" w:type="dxa"/>
            <w:tcBorders/>
            <w:shd w:fill="71B1C8" w:val="clear"/>
            <w:vAlign w:val="center"/>
          </w:tcPr>
          <w:p>
            <w:pPr>
              <w:pStyle w:val="TableContents"/>
              <w:bidi w:val="0"/>
              <w:spacing w:before="0" w:after="0"/>
              <w:jc w:val="center"/>
              <w:rPr>
                <w:spacing w:val="-1"/>
              </w:rPr>
            </w:pPr>
            <w:r>
              <w:rPr>
                <w:spacing w:val="-1"/>
              </w:rPr>
              <w:t xml:space="preserve">OPERATING INCOME*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987" w:type="dxa"/>
            <w:tcBorders/>
            <w:shd w:fill="71B1C8" w:val="clear"/>
            <w:vAlign w:val="center"/>
          </w:tcPr>
          <w:p>
            <w:pPr>
              <w:pStyle w:val="TableContents"/>
              <w:bidi w:val="0"/>
              <w:spacing w:before="0" w:after="0"/>
              <w:jc w:val="center"/>
              <w:rPr>
                <w:spacing w:val="-1"/>
              </w:rPr>
            </w:pPr>
            <w:r>
              <w:rPr>
                <w:spacing w:val="-1"/>
              </w:rPr>
              <w:t xml:space="preserve">SALES </w:t>
            </w:r>
          </w:p>
        </w:tc>
        <w:tc>
          <w:tcPr>
            <w:tcW w:w="124" w:type="dxa"/>
            <w:tcBorders/>
            <w:shd w:fill="71B1C8" w:val="clear"/>
            <w:vAlign w:val="center"/>
          </w:tcPr>
          <w:p>
            <w:pPr>
              <w:pStyle w:val="TableContents"/>
              <w:bidi w:val="0"/>
              <w:spacing w:before="0" w:after="283"/>
              <w:jc w:val="left"/>
              <w:rPr/>
            </w:pPr>
            <w:r>
              <w:rPr/>
              <w:t>​</w:t>
            </w:r>
          </w:p>
        </w:tc>
        <w:tc>
          <w:tcPr>
            <w:tcW w:w="124"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24" w:type="dxa"/>
            <w:tcBorders/>
            <w:shd w:fill="71B1C8" w:val="clear"/>
            <w:vAlign w:val="center"/>
          </w:tcPr>
          <w:p>
            <w:pPr>
              <w:pStyle w:val="TableContents"/>
              <w:bidi w:val="0"/>
              <w:spacing w:before="0" w:after="283"/>
              <w:jc w:val="left"/>
              <w:rPr/>
            </w:pPr>
            <w:r>
              <w:rPr/>
              <w:t>​</w:t>
            </w:r>
          </w:p>
        </w:tc>
        <w:tc>
          <w:tcPr>
            <w:tcW w:w="2914" w:type="dxa"/>
            <w:tcBorders/>
            <w:shd w:fill="71B1C8" w:val="clear"/>
            <w:vAlign w:val="center"/>
          </w:tcPr>
          <w:p>
            <w:pPr>
              <w:pStyle w:val="TableContents"/>
              <w:bidi w:val="0"/>
              <w:spacing w:before="0" w:after="0"/>
              <w:jc w:val="center"/>
              <w:rPr>
                <w:spacing w:val="-1"/>
              </w:rPr>
            </w:pPr>
            <w:r>
              <w:rPr>
                <w:spacing w:val="-1"/>
              </w:rPr>
              <w:t xml:space="preserve">OPERATING INCOME*  </w:t>
            </w:r>
          </w:p>
        </w:tc>
        <w:tc>
          <w:tcPr>
            <w:tcW w:w="161" w:type="dxa"/>
            <w:tcBorders/>
            <w:shd w:fill="71B1C8" w:val="clear"/>
            <w:vAlign w:val="center"/>
          </w:tcPr>
          <w:p>
            <w:pPr>
              <w:pStyle w:val="TableContents"/>
              <w:bidi w:val="0"/>
              <w:spacing w:before="0" w:after="283"/>
              <w:jc w:val="left"/>
              <w:rPr/>
            </w:pPr>
            <w:r>
              <w:rPr/>
              <w:t>​</w:t>
            </w:r>
          </w:p>
        </w:tc>
      </w:tr>
      <w:tr>
        <w:trPr/>
        <w:tc>
          <w:tcPr>
            <w:tcW w:w="4424" w:type="dxa"/>
            <w:gridSpan w:val="5"/>
            <w:tcBorders/>
            <w:vAlign w:val="center"/>
          </w:tcPr>
          <w:p>
            <w:pPr>
              <w:pStyle w:val="TableContents"/>
              <w:bidi w:val="0"/>
              <w:spacing w:lineRule="atLeast" w:line="160" w:before="0" w:after="0"/>
              <w:ind w:left="520" w:right="0" w:hanging="0"/>
              <w:jc w:val="left"/>
              <w:rPr/>
            </w:pPr>
            <w:r>
              <w:rPr>
                <w:spacing w:val="-1"/>
              </w:rPr>
              <w:t>Excluding special items</w:t>
            </w:r>
            <w:r>
              <w:rPr/>
              <w:t xml:space="preserve"> </w:t>
            </w:r>
            <w:r>
              <mc:AlternateContent>
                <mc:Choice Requires="wps">
                  <w:drawing>
                    <wp:anchor behindDoc="0" distT="0" distB="0" distL="0" distR="0" simplePos="0" locked="0" layoutInCell="1" allowOverlap="1" relativeHeight="629">
                      <wp:simplePos x="0" y="0"/>
                      <wp:positionH relativeFrom="column">
                        <wp:align>left</wp:align>
                      </wp:positionH>
                      <wp:positionV relativeFrom="line">
                        <wp:posOffset>635</wp:posOffset>
                      </wp:positionV>
                      <wp:extent cx="330200" cy="350520"/>
                      <wp:effectExtent l="0" t="0" r="0" b="0"/>
                      <wp:wrapSquare wrapText="right"/>
                      <wp:docPr id="575" name="Frame32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160" w:before="0" w:after="283"/>
                                    <w:jc w:val="left"/>
                                    <w:rPr/>
                                  </w:pPr>
                                  <w:r>
                                    <w:rPr>
                                      <w:spacing w:val="-1"/>
                                    </w:rPr>
                                    <w:t xml:space="preserve">  </w:t>
                                  </w:r>
                                  <w:r>
                                    <w:rPr>
                                      <w:spacing w:val="-1"/>
                                    </w:rPr>
                                    <w:t>*</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1"/>
                              </w:rPr>
                              <w:t xml:space="preserve">  </w:t>
                            </w:r>
                            <w:r>
                              <w:rPr>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3" w:type="dxa"/>
            <w:gridSpan w:val="5"/>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r>
      <w:tr>
        <w:trPr/>
        <w:tc>
          <w:tcPr>
            <w:tcW w:w="4424" w:type="dxa"/>
            <w:gridSpan w:val="5"/>
            <w:tcBorders/>
            <w:vAlign w:val="center"/>
          </w:tcPr>
          <w:p>
            <w:pPr>
              <w:pStyle w:val="TableContents"/>
              <w:bidi w:val="0"/>
              <w:spacing w:lineRule="atLeast" w:line="200" w:before="0" w:after="0"/>
              <w:jc w:val="left"/>
              <w:rPr>
                <w:spacing w:val="-1"/>
              </w:rPr>
            </w:pPr>
            <w:r>
              <w:rPr>
                <w:spacing w:val="-1"/>
              </w:rPr>
              <w:t xml:space="preserve">The Consumer &amp; Specialties segment serves consumer end markets directly with mineral-to-market finished products and also provides specialty mineral-based solutions and technologies that are an essential component of our customers’ finished products. This segment includes two product lines: </w:t>
            </w:r>
          </w:p>
          <w:p>
            <w:pPr>
              <w:pStyle w:val="TableContents"/>
              <w:bidi w:val="0"/>
              <w:spacing w:lineRule="atLeast" w:line="180" w:before="100" w:after="0"/>
              <w:ind w:left="180" w:right="0" w:hanging="0"/>
              <w:jc w:val="left"/>
              <w:rPr>
                <w:spacing w:val="-1"/>
              </w:rPr>
            </w:pPr>
            <w:r>
              <w:rPr>
                <w:spacing w:val="-1"/>
              </w:rPr>
              <w:t xml:space="preserve">Household &amp; Personal Care </w:t>
            </w:r>
            <w:r>
              <mc:AlternateContent>
                <mc:Choice Requires="wps">
                  <w:drawing>
                    <wp:anchor behindDoc="0" distT="63500" distB="0" distL="0" distR="0" simplePos="0" locked="0" layoutInCell="1" allowOverlap="1" relativeHeight="630">
                      <wp:simplePos x="0" y="0"/>
                      <wp:positionH relativeFrom="column">
                        <wp:align>left</wp:align>
                      </wp:positionH>
                      <wp:positionV relativeFrom="line">
                        <wp:align>top</wp:align>
                      </wp:positionV>
                      <wp:extent cx="114300" cy="350520"/>
                      <wp:effectExtent l="0" t="0" r="0" b="0"/>
                      <wp:wrapSquare wrapText="right"/>
                      <wp:docPr id="576" name="Frame32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spacing w:val="-1"/>
              </w:rPr>
            </w:pPr>
            <w:r>
              <w:rPr>
                <w:spacing w:val="-1"/>
              </w:rPr>
              <w:t xml:space="preserve">Specialty Additives </w:t>
            </w:r>
            <w:r>
              <mc:AlternateContent>
                <mc:Choice Requires="wps">
                  <w:drawing>
                    <wp:anchor behindDoc="0" distT="38100" distB="0" distL="0" distR="0" simplePos="0" locked="0" layoutInCell="1" allowOverlap="1" relativeHeight="631">
                      <wp:simplePos x="0" y="0"/>
                      <wp:positionH relativeFrom="column">
                        <wp:align>left</wp:align>
                      </wp:positionH>
                      <wp:positionV relativeFrom="line">
                        <wp:align>top</wp:align>
                      </wp:positionV>
                      <wp:extent cx="114300" cy="350520"/>
                      <wp:effectExtent l="0" t="0" r="0" b="0"/>
                      <wp:wrapSquare wrapText="right"/>
                      <wp:docPr id="577" name="Frame3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3" w:type="dxa"/>
            <w:gridSpan w:val="5"/>
            <w:tcBorders/>
            <w:vAlign w:val="center"/>
          </w:tcPr>
          <w:p>
            <w:pPr>
              <w:pStyle w:val="TableContents"/>
              <w:bidi w:val="0"/>
              <w:spacing w:lineRule="atLeast" w:line="200" w:before="0" w:after="0"/>
              <w:jc w:val="left"/>
              <w:rPr/>
            </w:pPr>
            <w:r>
              <w:rPr>
                <w:spacing w:val="-1"/>
              </w:rPr>
              <w:t>The Engineered Solutions segment serves industrial end markets with engineered systems, mineral blends, and technologies that are designed to improve our customers’ manufacturing processes and projects. This segment includes two product lines:</w:t>
            </w:r>
            <w:r>
              <w:rPr/>
              <w:t xml:space="preserve"> </w:t>
            </w:r>
          </w:p>
          <w:p>
            <w:pPr>
              <w:pStyle w:val="TableContents"/>
              <w:bidi w:val="0"/>
              <w:spacing w:lineRule="atLeast" w:line="180" w:before="100" w:after="0"/>
              <w:ind w:left="180" w:right="0" w:hanging="0"/>
              <w:jc w:val="left"/>
              <w:rPr/>
            </w:pPr>
            <w:r>
              <w:rPr>
                <w:spacing w:val="-1"/>
              </w:rPr>
              <w:t>High-Temperature Technologies</w:t>
            </w:r>
            <w:r>
              <w:rPr/>
              <w:t xml:space="preserve"> </w:t>
            </w:r>
            <w:r>
              <mc:AlternateContent>
                <mc:Choice Requires="wps">
                  <w:drawing>
                    <wp:anchor behindDoc="0" distT="63500" distB="0" distL="0" distR="0" simplePos="0" locked="0" layoutInCell="1" allowOverlap="1" relativeHeight="632">
                      <wp:simplePos x="0" y="0"/>
                      <wp:positionH relativeFrom="column">
                        <wp:align>left</wp:align>
                      </wp:positionH>
                      <wp:positionV relativeFrom="line">
                        <wp:align>top</wp:align>
                      </wp:positionV>
                      <wp:extent cx="114300" cy="350520"/>
                      <wp:effectExtent l="0" t="0" r="0" b="0"/>
                      <wp:wrapSquare wrapText="right"/>
                      <wp:docPr id="578" name="Frame32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80" w:right="0" w:hanging="0"/>
              <w:jc w:val="left"/>
              <w:rPr/>
            </w:pPr>
            <w:r>
              <w:rPr>
                <w:spacing w:val="-1"/>
              </w:rPr>
              <w:t>Environmental &amp; Infrastructure</w:t>
            </w:r>
            <w:r>
              <w:rPr/>
              <w:t xml:space="preserve"> </w:t>
            </w:r>
            <w:r>
              <mc:AlternateContent>
                <mc:Choice Requires="wps">
                  <w:drawing>
                    <wp:anchor behindDoc="0" distT="38100" distB="0" distL="0" distR="0" simplePos="0" locked="0" layoutInCell="1" allowOverlap="1" relativeHeight="633">
                      <wp:simplePos x="0" y="0"/>
                      <wp:positionH relativeFrom="column">
                        <wp:align>left</wp:align>
                      </wp:positionH>
                      <wp:positionV relativeFrom="line">
                        <wp:align>top</wp:align>
                      </wp:positionV>
                      <wp:extent cx="114300" cy="350520"/>
                      <wp:effectExtent l="0" t="0" r="0" b="0"/>
                      <wp:wrapSquare wrapText="right"/>
                      <wp:docPr id="579" name="Frame32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283"/>
              <w:jc w:val="left"/>
              <w:rPr/>
            </w:pPr>
            <w:r>
              <w:rPr/>
              <w:t>​</w:t>
            </w:r>
          </w:p>
        </w:tc>
      </w:tr>
    </w:tbl>
    <w:p>
      <w:pPr>
        <w:pStyle w:val="TextBody"/>
        <w:bidi w:val="0"/>
        <w:spacing w:lineRule="atLeast" w:line="210" w:before="44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performance in 2025 reflects our continued progress against key objectives: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2100"/>
        <w:gridCol w:w="109"/>
        <w:gridCol w:w="109"/>
        <w:gridCol w:w="3544"/>
        <w:gridCol w:w="109"/>
        <w:gridCol w:w="109"/>
        <w:gridCol w:w="2826"/>
        <w:gridCol w:w="155"/>
      </w:tblGrid>
      <w:tr>
        <w:trPr/>
        <w:tc>
          <w:tcPr>
            <w:tcW w:w="124" w:type="dxa"/>
            <w:tcBorders/>
            <w:shd w:fill="002F56" w:val="clear"/>
            <w:vAlign w:val="center"/>
          </w:tcPr>
          <w:p>
            <w:pPr>
              <w:pStyle w:val="TableContents"/>
              <w:bidi w:val="0"/>
              <w:spacing w:before="0" w:after="283"/>
              <w:jc w:val="left"/>
              <w:rPr/>
            </w:pPr>
            <w:r>
              <w:rPr/>
              <w:t>​</w:t>
            </w:r>
          </w:p>
        </w:tc>
        <w:tc>
          <w:tcPr>
            <w:tcW w:w="2100" w:type="dxa"/>
            <w:tcBorders/>
            <w:shd w:fill="002F56" w:val="clear"/>
            <w:vAlign w:val="center"/>
          </w:tcPr>
          <w:p>
            <w:pPr>
              <w:pStyle w:val="TableContents"/>
              <w:bidi w:val="0"/>
              <w:spacing w:before="0" w:after="0"/>
              <w:jc w:val="left"/>
              <w:rPr/>
            </w:pPr>
            <w:r>
              <w:rPr/>
              <w:drawing>
                <wp:inline distT="0" distB="0" distL="0" distR="0">
                  <wp:extent cx="457200" cy="457200"/>
                  <wp:effectExtent l="0" t="0" r="0" b="0"/>
                  <wp:docPr id="58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241" descr=""/>
                          <pic:cNvPicPr>
                            <a:picLocks noChangeAspect="1" noChangeArrowheads="1"/>
                          </pic:cNvPicPr>
                        </pic:nvPicPr>
                        <pic:blipFill>
                          <a:blip r:embed="rId253"/>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50" w:before="176" w:after="283"/>
              <w:jc w:val="left"/>
              <w:rPr>
                <w:b/>
                <w:color w:val="71B1C8"/>
                <w:sz w:val="21"/>
              </w:rPr>
            </w:pPr>
            <w:r>
              <w:rPr>
                <w:b/>
                <w:color w:val="71B1C8"/>
                <w:spacing w:val="-13"/>
                <w:sz w:val="21"/>
              </w:rPr>
              <w:t>2025 PERFORMANCE HIGHLIGHTS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44" w:type="dxa"/>
            <w:tcBorders/>
            <w:vAlign w:val="center"/>
          </w:tcPr>
          <w:p>
            <w:pPr>
              <w:pStyle w:val="TableContents"/>
              <w:bidi w:val="0"/>
              <w:spacing w:lineRule="atLeast" w:line="220" w:before="0" w:after="0"/>
              <w:ind w:left="180" w:right="0" w:hanging="0"/>
              <w:jc w:val="left"/>
              <w:rPr/>
            </w:pPr>
            <w:r>
              <w:rPr>
                <w:spacing w:val="-1"/>
              </w:rPr>
              <w:t>Navigated volatile macro environment while remaining focused on growth initiatives in both segments</w:t>
            </w:r>
            <w:r>
              <w:rPr/>
              <w:t xml:space="preserve"> </w:t>
            </w:r>
            <w:r>
              <mc:AlternateContent>
                <mc:Choice Requires="wps">
                  <w:drawing>
                    <wp:anchor behindDoc="0" distT="0" distB="0" distL="0" distR="0" simplePos="0" locked="0" layoutInCell="1" allowOverlap="1" relativeHeight="634">
                      <wp:simplePos x="0" y="0"/>
                      <wp:positionH relativeFrom="column">
                        <wp:align>left</wp:align>
                      </wp:positionH>
                      <wp:positionV relativeFrom="line">
                        <wp:posOffset>635</wp:posOffset>
                      </wp:positionV>
                      <wp:extent cx="114300" cy="350520"/>
                      <wp:effectExtent l="0" t="0" r="0" b="0"/>
                      <wp:wrapSquare wrapText="right"/>
                      <wp:docPr id="581" name="Frame3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Made well-timed capital investments to support our growth</w:t>
            </w:r>
            <w:r>
              <w:rPr/>
              <w:t xml:space="preserve"> </w:t>
            </w:r>
            <w:r>
              <mc:AlternateContent>
                <mc:Choice Requires="wps">
                  <w:drawing>
                    <wp:anchor behindDoc="0" distT="50800" distB="0" distL="0" distR="0" simplePos="0" locked="0" layoutInCell="1" allowOverlap="1" relativeHeight="635">
                      <wp:simplePos x="0" y="0"/>
                      <wp:positionH relativeFrom="column">
                        <wp:align>left</wp:align>
                      </wp:positionH>
                      <wp:positionV relativeFrom="line">
                        <wp:align>top</wp:align>
                      </wp:positionV>
                      <wp:extent cx="114300" cy="350520"/>
                      <wp:effectExtent l="0" t="0" r="0" b="0"/>
                      <wp:wrapSquare wrapText="right"/>
                      <wp:docPr id="582" name="Frame3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New product revenue reached 19% of total sales*</w:t>
            </w:r>
            <w:r>
              <w:rPr/>
              <w:t xml:space="preserve"> </w:t>
            </w:r>
            <w:r>
              <mc:AlternateContent>
                <mc:Choice Requires="wps">
                  <w:drawing>
                    <wp:anchor behindDoc="0" distT="50800" distB="0" distL="0" distR="0" simplePos="0" locked="0" layoutInCell="1" allowOverlap="1" relativeHeight="636">
                      <wp:simplePos x="0" y="0"/>
                      <wp:positionH relativeFrom="column">
                        <wp:align>left</wp:align>
                      </wp:positionH>
                      <wp:positionV relativeFrom="line">
                        <wp:align>top</wp:align>
                      </wp:positionV>
                      <wp:extent cx="114300" cy="350520"/>
                      <wp:effectExtent l="0" t="0" r="0" b="0"/>
                      <wp:wrapSquare wrapText="right"/>
                      <wp:docPr id="583" name="Frame3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26" w:type="dxa"/>
            <w:tcBorders/>
            <w:vAlign w:val="center"/>
          </w:tcPr>
          <w:p>
            <w:pPr>
              <w:pStyle w:val="TableContents"/>
              <w:bidi w:val="0"/>
              <w:spacing w:lineRule="atLeast" w:line="220" w:before="0" w:after="0"/>
              <w:ind w:left="180" w:right="0" w:hanging="0"/>
              <w:jc w:val="left"/>
              <w:rPr/>
            </w:pPr>
            <w:r>
              <w:rPr>
                <w:spacing w:val="-1"/>
              </w:rPr>
              <w:t>Took proactive steps to improve cost structure</w:t>
            </w:r>
            <w:r>
              <w:rPr/>
              <w:t xml:space="preserve"> </w:t>
            </w:r>
            <w:r>
              <mc:AlternateContent>
                <mc:Choice Requires="wps">
                  <w:drawing>
                    <wp:anchor behindDoc="0" distT="0" distB="0" distL="0" distR="0" simplePos="0" locked="0" layoutInCell="1" allowOverlap="1" relativeHeight="637">
                      <wp:simplePos x="0" y="0"/>
                      <wp:positionH relativeFrom="column">
                        <wp:align>left</wp:align>
                      </wp:positionH>
                      <wp:positionV relativeFrom="line">
                        <wp:posOffset>635</wp:posOffset>
                      </wp:positionV>
                      <wp:extent cx="114300" cy="350520"/>
                      <wp:effectExtent l="0" t="0" r="0" b="0"/>
                      <wp:wrapSquare wrapText="right"/>
                      <wp:docPr id="584" name="Frame3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1"/>
              </w:rPr>
              <w:t>Returned $73M to shareholders through dividends and share repurchases</w:t>
            </w:r>
            <w:r>
              <w:rPr/>
              <w:t xml:space="preserve"> </w:t>
            </w:r>
            <w:r>
              <mc:AlternateContent>
                <mc:Choice Requires="wps">
                  <w:drawing>
                    <wp:anchor behindDoc="0" distT="50800" distB="0" distL="0" distR="0" simplePos="0" locked="0" layoutInCell="1" allowOverlap="1" relativeHeight="638">
                      <wp:simplePos x="0" y="0"/>
                      <wp:positionH relativeFrom="column">
                        <wp:align>left</wp:align>
                      </wp:positionH>
                      <wp:positionV relativeFrom="line">
                        <wp:align>top</wp:align>
                      </wp:positionV>
                      <wp:extent cx="114300" cy="350520"/>
                      <wp:effectExtent l="0" t="0" r="0" b="0"/>
                      <wp:wrapSquare wrapText="right"/>
                      <wp:docPr id="585" name="Frame3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Maintained strong balance sheet</w:t>
            </w:r>
            <w:r>
              <w:rPr/>
              <w:t xml:space="preserve"> </w:t>
            </w:r>
            <w:r>
              <mc:AlternateContent>
                <mc:Choice Requires="wps">
                  <w:drawing>
                    <wp:anchor behindDoc="0" distT="50800" distB="0" distL="0" distR="0" simplePos="0" locked="0" layoutInCell="1" allowOverlap="1" relativeHeight="639">
                      <wp:simplePos x="0" y="0"/>
                      <wp:positionH relativeFrom="column">
                        <wp:align>left</wp:align>
                      </wp:positionH>
                      <wp:positionV relativeFrom="line">
                        <wp:align>top</wp:align>
                      </wp:positionV>
                      <wp:extent cx="114300" cy="350520"/>
                      <wp:effectExtent l="0" t="0" r="0" b="0"/>
                      <wp:wrapSquare wrapText="right"/>
                      <wp:docPr id="586" name="Frame3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1"/>
              </w:rPr>
              <w:t>Record safety performance</w:t>
            </w:r>
            <w:r>
              <w:rPr/>
              <w:t xml:space="preserve"> </w:t>
            </w:r>
            <w:r>
              <mc:AlternateContent>
                <mc:Choice Requires="wps">
                  <w:drawing>
                    <wp:anchor behindDoc="0" distT="50800" distB="0" distL="0" distR="0" simplePos="0" locked="0" layoutInCell="1" allowOverlap="1" relativeHeight="640">
                      <wp:simplePos x="0" y="0"/>
                      <wp:positionH relativeFrom="column">
                        <wp:align>left</wp:align>
                      </wp:positionH>
                      <wp:positionV relativeFrom="line">
                        <wp:align>top</wp:align>
                      </wp:positionV>
                      <wp:extent cx="114300" cy="350520"/>
                      <wp:effectExtent l="0" t="0" r="0" b="0"/>
                      <wp:wrapSquare wrapText="right"/>
                      <wp:docPr id="587" name="Frame3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2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of sales from products commercialized in the last 5 years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127000" distB="0" distL="76200" distR="0" simplePos="0" locked="0" layoutInCell="1" allowOverlap="1" relativeHeight="641">
                <wp:simplePos x="0" y="0"/>
                <wp:positionH relativeFrom="column">
                  <wp:align>left</wp:align>
                </wp:positionH>
                <wp:positionV relativeFrom="line">
                  <wp:align>top</wp:align>
                </wp:positionV>
                <wp:extent cx="254000" cy="254000"/>
                <wp:effectExtent l="0" t="0" r="0" b="0"/>
                <wp:wrapSquare wrapText="right"/>
                <wp:docPr id="588" name="Frame33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10pt;mso-wrap-distance-bottom:0pt;margin-top:10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36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AOGS"/>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80" w:before="400" w:after="283"/>
        <w:ind w:left="1020" w:right="0" w:hanging="0"/>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ADVANCING OUR GROWTH STRATEGY</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continued to drive forward our multi-pronged approach to profitable growth, and we made meaningful progress across all our long-term growth priorities in 2025:</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4237"/>
        <w:gridCol w:w="109"/>
        <w:gridCol w:w="109"/>
        <w:gridCol w:w="109"/>
        <w:gridCol w:w="4342"/>
        <w:gridCol w:w="155"/>
      </w:tblGrid>
      <w:tr>
        <w:trPr/>
        <w:tc>
          <w:tcPr>
            <w:tcW w:w="124" w:type="dxa"/>
            <w:tcBorders/>
            <w:shd w:fill="002F56" w:val="clear"/>
            <w:vAlign w:val="center"/>
          </w:tcPr>
          <w:p>
            <w:pPr>
              <w:pStyle w:val="TableContents"/>
              <w:bidi w:val="0"/>
              <w:spacing w:before="0" w:after="283"/>
              <w:jc w:val="left"/>
              <w:rPr/>
            </w:pPr>
            <w:r>
              <w:rPr/>
              <w:t>​</w:t>
            </w:r>
          </w:p>
        </w:tc>
        <w:tc>
          <w:tcPr>
            <w:tcW w:w="4237" w:type="dxa"/>
            <w:tcBorders/>
            <w:shd w:fill="002F56" w:val="clear"/>
            <w:vAlign w:val="center"/>
          </w:tcPr>
          <w:p>
            <w:pPr>
              <w:pStyle w:val="TableContents"/>
              <w:bidi w:val="0"/>
              <w:spacing w:lineRule="atLeast" w:line="180" w:before="0" w:after="0"/>
              <w:ind w:left="240" w:right="0" w:hanging="0"/>
              <w:jc w:val="left"/>
              <w:rPr>
                <w:spacing w:val="-1"/>
              </w:rPr>
            </w:pPr>
            <w:r>
              <w:rPr>
                <w:spacing w:val="-1"/>
              </w:rPr>
              <w:t xml:space="preserve">Within Our </w:t>
            </w:r>
          </w:p>
          <w:p>
            <w:pPr>
              <w:pStyle w:val="TableContents"/>
              <w:bidi w:val="0"/>
              <w:spacing w:lineRule="atLeast" w:line="160" w:before="20" w:after="283"/>
              <w:ind w:left="240" w:right="0" w:hanging="0"/>
              <w:jc w:val="left"/>
              <w:rPr>
                <w:b/>
                <w:color w:val="FEFEFE"/>
                <w:sz w:val="24"/>
              </w:rPr>
            </w:pPr>
            <w:r>
              <w:rPr>
                <w:b/>
                <w:color w:val="FEFEFE"/>
                <w:spacing w:val="-8"/>
                <w:sz w:val="24"/>
              </w:rPr>
              <w:t>CONSUMER &amp; SPECIALTIES</w:t>
            </w:r>
            <w:r>
              <w:rPr>
                <w:b/>
                <w:color w:val="FFFFFF"/>
                <w:spacing w:val="-1"/>
                <w:sz w:val="24"/>
              </w:rPr>
              <w:t xml:space="preserve"> </w:t>
            </w:r>
            <w:r>
              <w:rPr>
                <w:b w:val="false"/>
                <w:color w:val="FFFFFF"/>
                <w:spacing w:val="-1"/>
                <w:sz w:val="16"/>
              </w:rPr>
              <w:t xml:space="preserve">Segment </w:t>
            </w:r>
          </w:p>
        </w:tc>
        <w:tc>
          <w:tcPr>
            <w:tcW w:w="109" w:type="dxa"/>
            <w:tcBorders/>
            <w:shd w:fill="002F56" w:val="clear"/>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4342" w:type="dxa"/>
            <w:tcBorders/>
            <w:shd w:fill="002F56" w:val="clear"/>
            <w:vAlign w:val="center"/>
          </w:tcPr>
          <w:p>
            <w:pPr>
              <w:pStyle w:val="TableContents"/>
              <w:bidi w:val="0"/>
              <w:spacing w:lineRule="atLeast" w:line="180" w:before="0" w:after="0"/>
              <w:ind w:left="240" w:right="0" w:hanging="0"/>
              <w:jc w:val="left"/>
              <w:rPr>
                <w:spacing w:val="-1"/>
              </w:rPr>
            </w:pPr>
            <w:r>
              <w:rPr>
                <w:spacing w:val="-1"/>
              </w:rPr>
              <w:t xml:space="preserve">Within Our </w:t>
            </w:r>
          </w:p>
          <w:p>
            <w:pPr>
              <w:pStyle w:val="TableContents"/>
              <w:bidi w:val="0"/>
              <w:spacing w:lineRule="atLeast" w:line="160" w:before="20" w:after="283"/>
              <w:ind w:left="240" w:right="0" w:hanging="0"/>
              <w:jc w:val="left"/>
              <w:rPr>
                <w:b/>
                <w:color w:val="FEFEFE"/>
                <w:sz w:val="24"/>
              </w:rPr>
            </w:pPr>
            <w:r>
              <w:rPr>
                <w:b/>
                <w:color w:val="FEFEFE"/>
                <w:spacing w:val="-8"/>
                <w:sz w:val="24"/>
              </w:rPr>
              <w:t>ENGINEERED SOLUTIONS</w:t>
            </w:r>
            <w:r>
              <w:rPr>
                <w:b/>
                <w:color w:val="FFFFFF"/>
                <w:spacing w:val="-1"/>
                <w:sz w:val="24"/>
              </w:rPr>
              <w:t xml:space="preserve"> </w:t>
            </w:r>
            <w:r>
              <w:rPr>
                <w:b w:val="false"/>
                <w:color w:val="FFFFFF"/>
                <w:spacing w:val="-1"/>
                <w:sz w:val="16"/>
              </w:rPr>
              <w:t xml:space="preserve">Segment </w:t>
            </w:r>
          </w:p>
        </w:tc>
        <w:tc>
          <w:tcPr>
            <w:tcW w:w="155" w:type="dxa"/>
            <w:tcBorders/>
            <w:shd w:fill="002F56"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37" w:type="dxa"/>
            <w:tcBorders/>
            <w:vAlign w:val="center"/>
          </w:tcPr>
          <w:p>
            <w:pPr>
              <w:pStyle w:val="TableContents"/>
              <w:bidi w:val="0"/>
              <w:spacing w:lineRule="atLeast" w:line="200" w:before="0" w:after="0"/>
              <w:ind w:left="180" w:right="0" w:hanging="0"/>
              <w:jc w:val="left"/>
              <w:rPr/>
            </w:pPr>
            <w:r>
              <w:rPr>
                <w:spacing w:val="-1"/>
              </w:rPr>
              <w:t xml:space="preserve">In our </w:t>
            </w:r>
            <w:r>
              <w:rPr>
                <w:b/>
                <w:spacing w:val="0"/>
              </w:rPr>
              <w:t>Household &amp; Personal Care (HPC)</w:t>
            </w:r>
            <w:r>
              <w:rPr>
                <w:spacing w:val="-1"/>
              </w:rPr>
              <w:t xml:space="preserve"> product line, we made several strategic investments that will further support growth starting in 2026. Those include:</w:t>
            </w:r>
            <w:r>
              <w:rPr/>
              <w:t xml:space="preserve"> </w:t>
            </w:r>
            <w:r>
              <mc:AlternateContent>
                <mc:Choice Requires="wps">
                  <w:drawing>
                    <wp:anchor behindDoc="0" distT="0" distB="0" distL="0" distR="0" simplePos="0" locked="0" layoutInCell="1" allowOverlap="1" relativeHeight="642">
                      <wp:simplePos x="0" y="0"/>
                      <wp:positionH relativeFrom="column">
                        <wp:align>left</wp:align>
                      </wp:positionH>
                      <wp:positionV relativeFrom="line">
                        <wp:posOffset>635</wp:posOffset>
                      </wp:positionV>
                      <wp:extent cx="114300" cy="350520"/>
                      <wp:effectExtent l="0" t="0" r="0" b="0"/>
                      <wp:wrapSquare wrapText="right"/>
                      <wp:docPr id="589" name="Frame3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360" w:right="180" w:hanging="0"/>
              <w:jc w:val="left"/>
              <w:rPr/>
            </w:pPr>
            <w:r>
              <w:rPr>
                <w:spacing w:val="-1"/>
              </w:rPr>
              <w:t>Upgrading cat litter hubs in the US and Canada to deliver high-quality products to our customers</w:t>
            </w:r>
            <w:r>
              <w:rPr/>
              <w:t xml:space="preserve"> </w:t>
            </w:r>
            <w:r>
              <mc:AlternateContent>
                <mc:Choice Requires="wps">
                  <w:drawing>
                    <wp:anchor behindDoc="0" distT="38100" distB="0" distL="114300" distR="0" simplePos="0" locked="0" layoutInCell="1" allowOverlap="1" relativeHeight="643">
                      <wp:simplePos x="0" y="0"/>
                      <wp:positionH relativeFrom="column">
                        <wp:align>left</wp:align>
                      </wp:positionH>
                      <wp:positionV relativeFrom="line">
                        <wp:align>top</wp:align>
                      </wp:positionV>
                      <wp:extent cx="114300" cy="350520"/>
                      <wp:effectExtent l="0" t="0" r="0" b="0"/>
                      <wp:wrapSquare wrapText="right"/>
                      <wp:docPr id="590" name="Frame3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99"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Expanding capacity in rapidly growing cat litter market in Asia</w:t>
            </w:r>
            <w:r>
              <w:rPr/>
              <w:t xml:space="preserve"> </w:t>
            </w:r>
            <w:r>
              <mc:AlternateContent>
                <mc:Choice Requires="wps">
                  <w:drawing>
                    <wp:anchor behindDoc="0" distT="38100" distB="0" distL="114300" distR="0" simplePos="0" locked="0" layoutInCell="1" allowOverlap="1" relativeHeight="644">
                      <wp:simplePos x="0" y="0"/>
                      <wp:positionH relativeFrom="column">
                        <wp:align>left</wp:align>
                      </wp:positionH>
                      <wp:positionV relativeFrom="line">
                        <wp:align>top</wp:align>
                      </wp:positionV>
                      <wp:extent cx="114300" cy="350520"/>
                      <wp:effectExtent l="0" t="0" r="0" b="0"/>
                      <wp:wrapSquare wrapText="right"/>
                      <wp:docPr id="591" name="Frame3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Expanding capacity to meet rapidly growing demand for sustainable aviation fuel and other renewable fuels</w:t>
            </w:r>
            <w:r>
              <w:rPr/>
              <w:t xml:space="preserve"> </w:t>
            </w:r>
            <w:r>
              <mc:AlternateContent>
                <mc:Choice Requires="wps">
                  <w:drawing>
                    <wp:anchor behindDoc="0" distT="38100" distB="0" distL="114300" distR="0" simplePos="0" locked="0" layoutInCell="1" allowOverlap="1" relativeHeight="645">
                      <wp:simplePos x="0" y="0"/>
                      <wp:positionH relativeFrom="column">
                        <wp:align>left</wp:align>
                      </wp:positionH>
                      <wp:positionV relativeFrom="line">
                        <wp:align>top</wp:align>
                      </wp:positionV>
                      <wp:extent cx="114300" cy="350520"/>
                      <wp:effectExtent l="0" t="0" r="0" b="0"/>
                      <wp:wrapSquare wrapText="right"/>
                      <wp:docPr id="592" name="Frame3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360" w:right="180" w:hanging="0"/>
              <w:jc w:val="left"/>
              <w:rPr/>
            </w:pPr>
            <w:r>
              <w:rPr>
                <w:spacing w:val="-1"/>
              </w:rPr>
              <w:t>Expanding capacity for animal health and fabric care products</w:t>
            </w:r>
            <w:r>
              <w:rPr/>
              <w:t xml:space="preserve"> </w:t>
            </w:r>
            <w:r>
              <mc:AlternateContent>
                <mc:Choice Requires="wps">
                  <w:drawing>
                    <wp:anchor behindDoc="0" distT="38100" distB="0" distL="114300" distR="0" simplePos="0" locked="0" layoutInCell="1" allowOverlap="1" relativeHeight="646">
                      <wp:simplePos x="0" y="0"/>
                      <wp:positionH relativeFrom="column">
                        <wp:align>left</wp:align>
                      </wp:positionH>
                      <wp:positionV relativeFrom="line">
                        <wp:align>top</wp:align>
                      </wp:positionV>
                      <wp:extent cx="114300" cy="350520"/>
                      <wp:effectExtent l="0" t="0" r="0" b="0"/>
                      <wp:wrapSquare wrapText="right"/>
                      <wp:docPr id="593" name="Frame3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99"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180" w:hanging="0"/>
              <w:jc w:val="left"/>
              <w:rPr/>
            </w:pPr>
            <w:r>
              <w:rPr>
                <w:spacing w:val="-1"/>
              </w:rPr>
              <w:t xml:space="preserve">In the </w:t>
            </w:r>
            <w:r>
              <w:rPr>
                <w:b/>
                <w:spacing w:val="0"/>
              </w:rPr>
              <w:t>Specialty Additives (SA)</w:t>
            </w:r>
            <w:r>
              <w:rPr>
                <w:spacing w:val="-1"/>
              </w:rPr>
              <w:t xml:space="preserve"> product line, we continued to execute against our growth initiatives in 2025 by:</w:t>
            </w:r>
            <w:r>
              <w:rPr/>
              <w:t xml:space="preserve"> </w:t>
            </w:r>
            <w:r>
              <mc:AlternateContent>
                <mc:Choice Requires="wps">
                  <w:drawing>
                    <wp:anchor behindDoc="0" distT="38100" distB="0" distL="0" distR="0" simplePos="0" locked="0" layoutInCell="1" allowOverlap="1" relativeHeight="647">
                      <wp:simplePos x="0" y="0"/>
                      <wp:positionH relativeFrom="column">
                        <wp:align>left</wp:align>
                      </wp:positionH>
                      <wp:positionV relativeFrom="line">
                        <wp:align>top</wp:align>
                      </wp:positionV>
                      <wp:extent cx="114300" cy="350520"/>
                      <wp:effectExtent l="0" t="0" r="0" b="0"/>
                      <wp:wrapSquare wrapText="right"/>
                      <wp:docPr id="594" name="Frame3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Expanding our existing footprint in Asia with 3 new satellites and a capacity expansion in one of our India locations</w:t>
            </w:r>
            <w:r>
              <w:rPr/>
              <w:t xml:space="preserve"> </w:t>
            </w:r>
            <w:r>
              <mc:AlternateContent>
                <mc:Choice Requires="wps">
                  <w:drawing>
                    <wp:anchor behindDoc="0" distT="38100" distB="0" distL="114300" distR="0" simplePos="0" locked="0" layoutInCell="1" allowOverlap="1" relativeHeight="648">
                      <wp:simplePos x="0" y="0"/>
                      <wp:positionH relativeFrom="column">
                        <wp:align>left</wp:align>
                      </wp:positionH>
                      <wp:positionV relativeFrom="line">
                        <wp:align>top</wp:align>
                      </wp:positionV>
                      <wp:extent cx="114300" cy="350520"/>
                      <wp:effectExtent l="0" t="0" r="0" b="0"/>
                      <wp:wrapSquare wrapText="right"/>
                      <wp:docPr id="595" name="Frame3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360" w:right="180" w:hanging="0"/>
              <w:jc w:val="left"/>
              <w:rPr/>
            </w:pPr>
            <w:r>
              <w:rPr>
                <w:spacing w:val="-1"/>
              </w:rPr>
              <w:t>Driving growth for our sustainable New Yield waste stream recycling technology</w:t>
            </w:r>
            <w:r>
              <w:rPr/>
              <w:t xml:space="preserve"> </w:t>
            </w:r>
            <w:r>
              <mc:AlternateContent>
                <mc:Choice Requires="wps">
                  <w:drawing>
                    <wp:anchor behindDoc="0" distT="38100" distB="0" distL="114300" distR="0" simplePos="0" locked="0" layoutInCell="1" allowOverlap="1" relativeHeight="649">
                      <wp:simplePos x="0" y="0"/>
                      <wp:positionH relativeFrom="column">
                        <wp:align>left</wp:align>
                      </wp:positionH>
                      <wp:positionV relativeFrom="line">
                        <wp:align>top</wp:align>
                      </wp:positionV>
                      <wp:extent cx="114300" cy="350520"/>
                      <wp:effectExtent l="0" t="0" r="0" b="0"/>
                      <wp:wrapSquare wrapText="right"/>
                      <wp:docPr id="596" name="Frame3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99"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DF0000"/>
            </w:tcBorders>
            <w:shd w:fill="DF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42" w:type="dxa"/>
            <w:tcBorders/>
            <w:vAlign w:val="center"/>
          </w:tcPr>
          <w:p>
            <w:pPr>
              <w:pStyle w:val="TableContents"/>
              <w:bidi w:val="0"/>
              <w:spacing w:lineRule="atLeast" w:line="180" w:before="0" w:after="0"/>
              <w:jc w:val="left"/>
              <w:rPr>
                <w:color w:val="002F56"/>
              </w:rPr>
            </w:pPr>
            <w:r>
              <w:rPr>
                <w:color w:val="002F56"/>
                <w:spacing w:val="5"/>
              </w:rPr>
              <w:t>•</w:t>
            </w:r>
            <w:r>
              <w:rPr>
                <w:color w:val="002F56"/>
              </w:rPr>
              <w:t xml:space="preserve"> </w:t>
            </w:r>
          </w:p>
          <w:p>
            <w:pPr>
              <w:pStyle w:val="TableContents"/>
              <w:bidi w:val="0"/>
              <w:spacing w:lineRule="atLeast" w:line="200" w:before="0" w:after="0"/>
              <w:ind w:left="180" w:right="0" w:hanging="0"/>
              <w:jc w:val="left"/>
              <w:rPr/>
            </w:pPr>
            <w:r>
              <w:rPr>
                <w:spacing w:val="-1"/>
              </w:rPr>
              <w:t xml:space="preserve">We have world leading positions in our </w:t>
            </w:r>
            <w:r>
              <w:rPr>
                <w:b/>
                <w:spacing w:val="0"/>
              </w:rPr>
              <w:t>High-Temperature Technologies (HTT</w:t>
            </w:r>
            <w:r>
              <w:rPr>
                <w:spacing w:val="-1"/>
              </w:rPr>
              <w:t>) product line serving customers in the steel and foundry markets. In 2025, we</w:t>
            </w:r>
            <w:r>
              <w:rPr/>
              <w:t xml:space="preserve"> </w:t>
            </w:r>
            <w:r>
              <mc:AlternateContent>
                <mc:Choice Requires="wps">
                  <w:drawing>
                    <wp:anchor behindDoc="0" distT="0" distB="0" distL="0" distR="0" simplePos="0" locked="0" layoutInCell="1" allowOverlap="1" relativeHeight="650">
                      <wp:simplePos x="0" y="0"/>
                      <wp:positionH relativeFrom="column">
                        <wp:align>left</wp:align>
                      </wp:positionH>
                      <wp:positionV relativeFrom="line">
                        <wp:posOffset>635</wp:posOffset>
                      </wp:positionV>
                      <wp:extent cx="114300" cy="350520"/>
                      <wp:effectExtent l="0" t="0" r="0" b="0"/>
                      <wp:wrapSquare wrapText="right"/>
                      <wp:docPr id="597" name="Frame3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Delivered 9% volume growth to foundry customers in Asia as we continued to make progress on our penetration strategy</w:t>
            </w:r>
            <w:r>
              <w:rPr/>
              <w:t xml:space="preserve"> </w:t>
            </w:r>
            <w:r>
              <mc:AlternateContent>
                <mc:Choice Requires="wps">
                  <w:drawing>
                    <wp:anchor behindDoc="0" distT="38100" distB="0" distL="114300" distR="0" simplePos="0" locked="0" layoutInCell="1" allowOverlap="1" relativeHeight="651">
                      <wp:simplePos x="0" y="0"/>
                      <wp:positionH relativeFrom="column">
                        <wp:align>left</wp:align>
                      </wp:positionH>
                      <wp:positionV relativeFrom="line">
                        <wp:align>top</wp:align>
                      </wp:positionV>
                      <wp:extent cx="114300" cy="350520"/>
                      <wp:effectExtent l="0" t="0" r="0" b="0"/>
                      <wp:wrapSquare wrapText="right"/>
                      <wp:docPr id="598" name="Frame3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Installed 4 of our automated Minscan® units at steel customers around the globe</w:t>
            </w:r>
            <w:r>
              <w:rPr/>
              <w:t xml:space="preserve"> </w:t>
            </w:r>
            <w:r>
              <mc:AlternateContent>
                <mc:Choice Requires="wps">
                  <w:drawing>
                    <wp:anchor behindDoc="0" distT="38100" distB="0" distL="114300" distR="0" simplePos="0" locked="0" layoutInCell="1" allowOverlap="1" relativeHeight="652">
                      <wp:simplePos x="0" y="0"/>
                      <wp:positionH relativeFrom="column">
                        <wp:align>left</wp:align>
                      </wp:positionH>
                      <wp:positionV relativeFrom="line">
                        <wp:align>top</wp:align>
                      </wp:positionV>
                      <wp:extent cx="114300" cy="350520"/>
                      <wp:effectExtent l="0" t="0" r="0" b="0"/>
                      <wp:wrapSquare wrapText="right"/>
                      <wp:docPr id="599" name="Frame3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Launched new high-durability refractory products for EAF furnaces</w:t>
            </w:r>
            <w:r>
              <w:rPr/>
              <w:t xml:space="preserve"> </w:t>
            </w:r>
            <w:r>
              <mc:AlternateContent>
                <mc:Choice Requires="wps">
                  <w:drawing>
                    <wp:anchor behindDoc="0" distT="38100" distB="0" distL="114300" distR="0" simplePos="0" locked="0" layoutInCell="1" allowOverlap="1" relativeHeight="653">
                      <wp:simplePos x="0" y="0"/>
                      <wp:positionH relativeFrom="column">
                        <wp:align>left</wp:align>
                      </wp:positionH>
                      <wp:positionV relativeFrom="line">
                        <wp:align>top</wp:align>
                      </wp:positionV>
                      <wp:extent cx="114300" cy="350520"/>
                      <wp:effectExtent l="0" t="0" r="0" b="0"/>
                      <wp:wrapSquare wrapText="right"/>
                      <wp:docPr id="600" name="Frame3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60" w:after="0"/>
              <w:ind w:left="180" w:right="180" w:hanging="0"/>
              <w:jc w:val="left"/>
              <w:rPr/>
            </w:pPr>
            <w:r>
              <w:rPr>
                <w:spacing w:val="-1"/>
              </w:rPr>
              <w:t xml:space="preserve">In the </w:t>
            </w:r>
            <w:r>
              <w:rPr>
                <w:b/>
                <w:spacing w:val="0"/>
              </w:rPr>
              <w:t>Environmental &amp; Infrastructure (E&amp;I)</w:t>
            </w:r>
            <w:r>
              <w:rPr>
                <w:spacing w:val="-1"/>
              </w:rPr>
              <w:t xml:space="preserve"> product line, we</w:t>
            </w:r>
            <w:r>
              <w:rPr/>
              <w:t xml:space="preserve"> </w:t>
            </w:r>
            <w:r>
              <mc:AlternateContent>
                <mc:Choice Requires="wps">
                  <w:drawing>
                    <wp:anchor behindDoc="0" distT="38100" distB="0" distL="0" distR="0" simplePos="0" locked="0" layoutInCell="1" allowOverlap="1" relativeHeight="654">
                      <wp:simplePos x="0" y="0"/>
                      <wp:positionH relativeFrom="column">
                        <wp:align>left</wp:align>
                      </wp:positionH>
                      <wp:positionV relativeFrom="line">
                        <wp:align>top</wp:align>
                      </wp:positionV>
                      <wp:extent cx="114300" cy="350520"/>
                      <wp:effectExtent l="0" t="0" r="0" b="0"/>
                      <wp:wrapSquare wrapText="right"/>
                      <wp:docPr id="601" name="Frame3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99"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pPr>
            <w:r>
              <w:rPr>
                <w:spacing w:val="-1"/>
              </w:rPr>
              <w:t>Installed 8 full-scale PFAS remediation solutions for municipal drinking water facilities by end of 2025</w:t>
            </w:r>
            <w:r>
              <w:rPr/>
              <w:t xml:space="preserve"> </w:t>
            </w:r>
            <w:r>
              <mc:AlternateContent>
                <mc:Choice Requires="wps">
                  <w:drawing>
                    <wp:anchor behindDoc="0" distT="38100" distB="0" distL="114300" distR="0" simplePos="0" locked="0" layoutInCell="1" allowOverlap="1" relativeHeight="655">
                      <wp:simplePos x="0" y="0"/>
                      <wp:positionH relativeFrom="column">
                        <wp:align>left</wp:align>
                      </wp:positionH>
                      <wp:positionV relativeFrom="line">
                        <wp:align>top</wp:align>
                      </wp:positionV>
                      <wp:extent cx="114300" cy="350520"/>
                      <wp:effectExtent l="0" t="0" r="0" b="0"/>
                      <wp:wrapSquare wrapText="right"/>
                      <wp:docPr id="602" name="Frame3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180" w:hanging="0"/>
              <w:jc w:val="left"/>
              <w:rPr>
                <w:spacing w:val="-1"/>
              </w:rPr>
            </w:pPr>
            <w:r>
              <w:rPr>
                <w:spacing w:val="-1"/>
              </w:rPr>
              <w:t xml:space="preserve">Continued to grow sales of our advanced drilling products for grid hardening and infrastructure applications </w:t>
            </w:r>
            <w:r>
              <mc:AlternateContent>
                <mc:Choice Requires="wps">
                  <w:drawing>
                    <wp:anchor behindDoc="0" distT="38100" distB="0" distL="114300" distR="0" simplePos="0" locked="0" layoutInCell="1" allowOverlap="1" relativeHeight="656">
                      <wp:simplePos x="0" y="0"/>
                      <wp:positionH relativeFrom="column">
                        <wp:align>left</wp:align>
                      </wp:positionH>
                      <wp:positionV relativeFrom="line">
                        <wp:align>top</wp:align>
                      </wp:positionV>
                      <wp:extent cx="114300" cy="350520"/>
                      <wp:effectExtent l="0" t="0" r="0" b="0"/>
                      <wp:wrapSquare wrapText="right"/>
                      <wp:docPr id="603" name="Frame3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10" w:before="252"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Innovation is a fundamental part of MTI’s history and one of the pillars of our continuous long-term, sustainable growth. In 2025, 19% of our revenue was from sales of new products commercialized in the past five years. In addition, 67% of MTI’s new products will support our or our customers’ sustainability goals.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unique global mineral reserves and differentiated technologies enable us to deliver new products aligned with sustainable trends across all four product lines, such as: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HPC:</w:t>
      </w:r>
      <w:r>
        <w:rPr>
          <w:rFonts w:ascii="Arial;Helvetica;sans-serif" w:hAnsi="Arial;Helvetica;sans-serif"/>
          <w:b w:val="false"/>
          <w:i w:val="false"/>
          <w:caps w:val="false"/>
          <w:smallCaps w:val="false"/>
          <w:color w:val="000000"/>
          <w:spacing w:val="-1"/>
          <w:sz w:val="18"/>
        </w:rPr>
        <w:t>  Natural ingredients for personal care and farm animals; clean energy and alternative fuel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9050" distB="0" distL="76200" distR="0" simplePos="0" locked="0" layoutInCell="1" allowOverlap="1" relativeHeight="657">
                <wp:simplePos x="0" y="0"/>
                <wp:positionH relativeFrom="column">
                  <wp:align>left</wp:align>
                </wp:positionH>
                <wp:positionV relativeFrom="line">
                  <wp:align>top</wp:align>
                </wp:positionV>
                <wp:extent cx="127000" cy="350520"/>
                <wp:effectExtent l="0" t="0" r="0" b="0"/>
                <wp:wrapSquare wrapText="right"/>
                <wp:docPr id="60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1.5pt;mso-wrap-distance-bottom:0pt;margin-top:1.5pt;mso-position-vertical:top;mso-position-vertical-relative:text;margin-left:6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SA:</w:t>
      </w:r>
      <w:r>
        <w:rPr>
          <w:rFonts w:ascii="Arial;Helvetica;sans-serif" w:hAnsi="Arial;Helvetica;sans-serif"/>
          <w:b w:val="false"/>
          <w:i w:val="false"/>
          <w:caps w:val="false"/>
          <w:smallCaps w:val="false"/>
          <w:color w:val="000000"/>
          <w:spacing w:val="-1"/>
          <w:sz w:val="18"/>
        </w:rPr>
        <w:t>     Decarbonization; recycling and sustainable packaging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76200" distR="0" simplePos="0" locked="0" layoutInCell="1" allowOverlap="1" relativeHeight="658">
                <wp:simplePos x="0" y="0"/>
                <wp:positionH relativeFrom="column">
                  <wp:align>left</wp:align>
                </wp:positionH>
                <wp:positionV relativeFrom="line">
                  <wp:align>top</wp:align>
                </wp:positionV>
                <wp:extent cx="127000" cy="350520"/>
                <wp:effectExtent l="0" t="0" r="0" b="0"/>
                <wp:wrapSquare wrapText="right"/>
                <wp:docPr id="60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2pt;mso-wrap-distance-bottom:0pt;margin-top:2pt;mso-position-vertical:top;mso-position-vertical-relative:text;margin-left:6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HTT:</w:t>
      </w:r>
      <w:r>
        <w:rPr>
          <w:rFonts w:ascii="Arial;Helvetica;sans-serif" w:hAnsi="Arial;Helvetica;sans-serif"/>
          <w:b w:val="false"/>
          <w:i w:val="false"/>
          <w:caps w:val="false"/>
          <w:smallCaps w:val="false"/>
          <w:color w:val="000000"/>
          <w:spacing w:val="-1"/>
          <w:sz w:val="18"/>
        </w:rPr>
        <w:t>    Emission reduction; increase in efficiency technologies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76200" distR="0" simplePos="0" locked="0" layoutInCell="1" allowOverlap="1" relativeHeight="659">
                <wp:simplePos x="0" y="0"/>
                <wp:positionH relativeFrom="column">
                  <wp:align>left</wp:align>
                </wp:positionH>
                <wp:positionV relativeFrom="line">
                  <wp:align>top</wp:align>
                </wp:positionV>
                <wp:extent cx="127000" cy="350520"/>
                <wp:effectExtent l="0" t="0" r="0" b="0"/>
                <wp:wrapSquare wrapText="right"/>
                <wp:docPr id="60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2pt;mso-wrap-distance-bottom:0pt;margin-top:2pt;mso-position-vertical:top;mso-position-vertical-relative:text;margin-left:22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0000"/>
          <w:spacing w:val="-2"/>
          <w:sz w:val="18"/>
        </w:rPr>
        <w:t>E&amp;I:</w:t>
      </w:r>
      <w:r>
        <w:rPr>
          <w:rFonts w:ascii="Arial;Helvetica;sans-serif" w:hAnsi="Arial;Helvetica;sans-serif"/>
          <w:b w:val="false"/>
          <w:i w:val="false"/>
          <w:caps w:val="false"/>
          <w:smallCaps w:val="false"/>
          <w:color w:val="000000"/>
          <w:spacing w:val="-1"/>
          <w:sz w:val="18"/>
        </w:rPr>
        <w:t>    Water purification; environmental conservation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76200" distR="0" simplePos="0" locked="0" layoutInCell="1" allowOverlap="1" relativeHeight="660">
                <wp:simplePos x="0" y="0"/>
                <wp:positionH relativeFrom="column">
                  <wp:align>left</wp:align>
                </wp:positionH>
                <wp:positionV relativeFrom="line">
                  <wp:align>top</wp:align>
                </wp:positionV>
                <wp:extent cx="127000" cy="350520"/>
                <wp:effectExtent l="0" t="0" r="0" b="0"/>
                <wp:wrapSquare wrapText="right"/>
                <wp:docPr id="60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pt;mso-wrap-distance-right:0pt;mso-wrap-distance-top:2pt;mso-wrap-distance-bottom:0pt;margin-top:2pt;mso-position-vertical:top;mso-position-vertical-relative:text;margin-left:6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 to closely collaborate with our customers and focus our efforts on developing the highest value products to meet our customers’ needs.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2134"/>
        <w:gridCol w:w="109"/>
        <w:gridCol w:w="109"/>
        <w:gridCol w:w="3867"/>
        <w:gridCol w:w="109"/>
        <w:gridCol w:w="109"/>
        <w:gridCol w:w="2468"/>
        <w:gridCol w:w="156"/>
      </w:tblGrid>
      <w:tr>
        <w:trPr/>
        <w:tc>
          <w:tcPr>
            <w:tcW w:w="124" w:type="dxa"/>
            <w:tcBorders/>
            <w:shd w:fill="002F56" w:val="clear"/>
            <w:vAlign w:val="center"/>
          </w:tcPr>
          <w:p>
            <w:pPr>
              <w:pStyle w:val="TableContents"/>
              <w:bidi w:val="0"/>
              <w:spacing w:before="0" w:after="283"/>
              <w:jc w:val="left"/>
              <w:rPr/>
            </w:pPr>
            <w:r>
              <w:rPr/>
              <w:t>​</w:t>
            </w:r>
          </w:p>
        </w:tc>
        <w:tc>
          <w:tcPr>
            <w:tcW w:w="2134" w:type="dxa"/>
            <w:tcBorders/>
            <w:shd w:fill="002F56" w:val="clear"/>
            <w:vAlign w:val="center"/>
          </w:tcPr>
          <w:p>
            <w:pPr>
              <w:pStyle w:val="TableContents"/>
              <w:bidi w:val="0"/>
              <w:spacing w:before="0" w:after="0"/>
              <w:jc w:val="left"/>
              <w:rPr/>
            </w:pPr>
            <w:r>
              <w:rPr/>
              <w:drawing>
                <wp:inline distT="0" distB="0" distL="0" distR="0">
                  <wp:extent cx="409575" cy="409575"/>
                  <wp:effectExtent l="0" t="0" r="0" b="0"/>
                  <wp:docPr id="60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242" descr=""/>
                          <pic:cNvPicPr>
                            <a:picLocks noChangeAspect="1" noChangeArrowheads="1"/>
                          </pic:cNvPicPr>
                        </pic:nvPicPr>
                        <pic:blipFill>
                          <a:blip r:embed="rId254"/>
                          <a:stretch>
                            <a:fillRect/>
                          </a:stretch>
                        </pic:blipFill>
                        <pic:spPr bwMode="auto">
                          <a:xfrm>
                            <a:off x="0" y="0"/>
                            <a:ext cx="409575" cy="409575"/>
                          </a:xfrm>
                          <a:prstGeom prst="rect">
                            <a:avLst/>
                          </a:prstGeom>
                        </pic:spPr>
                      </pic:pic>
                    </a:graphicData>
                  </a:graphic>
                </wp:inline>
              </w:drawing>
            </w:r>
            <w:r>
              <w:rPr/>
              <w:t xml:space="preserve"> </w:t>
            </w:r>
          </w:p>
          <w:p>
            <w:pPr>
              <w:pStyle w:val="TableContents"/>
              <w:bidi w:val="0"/>
              <w:spacing w:lineRule="atLeast" w:line="250" w:before="246" w:after="283"/>
              <w:jc w:val="left"/>
              <w:rPr>
                <w:b/>
                <w:color w:val="71B1C8"/>
                <w:sz w:val="21"/>
              </w:rPr>
            </w:pPr>
            <w:r>
              <w:rPr>
                <w:b/>
                <w:color w:val="71B1C8"/>
                <w:spacing w:val="-13"/>
                <w:sz w:val="21"/>
              </w:rPr>
              <w:t>STRENGHTENING OUR BUSINESS THROUGH ACQUISITIONS</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7" w:type="dxa"/>
            <w:tcBorders/>
            <w:vAlign w:val="center"/>
          </w:tcPr>
          <w:p>
            <w:pPr>
              <w:pStyle w:val="TableContents"/>
              <w:bidi w:val="0"/>
              <w:spacing w:lineRule="atLeast" w:line="220" w:before="0" w:after="0"/>
              <w:ind w:left="180" w:right="0" w:hanging="0"/>
              <w:jc w:val="left"/>
              <w:rPr/>
            </w:pPr>
            <w:r>
              <w:rPr>
                <w:spacing w:val="-1"/>
              </w:rPr>
              <w:t>M&amp;A also represents a strategic growth initiative of the Company.</w:t>
            </w:r>
            <w:r>
              <w:rPr/>
              <w:t xml:space="preserve"> </w:t>
            </w:r>
            <w:r>
              <mc:AlternateContent>
                <mc:Choice Requires="wps">
                  <w:drawing>
                    <wp:anchor behindDoc="0" distT="0" distB="0" distL="0" distR="0" simplePos="0" locked="0" layoutInCell="1" allowOverlap="1" relativeHeight="661">
                      <wp:simplePos x="0" y="0"/>
                      <wp:positionH relativeFrom="column">
                        <wp:align>left</wp:align>
                      </wp:positionH>
                      <wp:positionV relativeFrom="line">
                        <wp:posOffset>635</wp:posOffset>
                      </wp:positionV>
                      <wp:extent cx="114300" cy="350520"/>
                      <wp:effectExtent l="0" t="0" r="0" b="0"/>
                      <wp:wrapSquare wrapText="right"/>
                      <wp:docPr id="609" name="Frame3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1"/>
              </w:rPr>
            </w:pPr>
            <w:r>
              <w:rPr>
                <w:spacing w:val="-1"/>
              </w:rPr>
              <w:t xml:space="preserve">We maintain an active pipeline of potential opportunities. Our M&amp;A strategy is to focus on minerals-based companies where we can leverage our strong technological expertise, drive growth in attractive markets, and extend or deepen existing positions into new geographic regions and/or technologies. </w:t>
            </w:r>
            <w:r>
              <mc:AlternateContent>
                <mc:Choice Requires="wps">
                  <w:drawing>
                    <wp:anchor behindDoc="0" distT="50800" distB="0" distL="0" distR="0" simplePos="0" locked="0" layoutInCell="1" allowOverlap="1" relativeHeight="662">
                      <wp:simplePos x="0" y="0"/>
                      <wp:positionH relativeFrom="column">
                        <wp:align>left</wp:align>
                      </wp:positionH>
                      <wp:positionV relativeFrom="line">
                        <wp:align>top</wp:align>
                      </wp:positionV>
                      <wp:extent cx="114300" cy="350520"/>
                      <wp:effectExtent l="0" t="0" r="0" b="0"/>
                      <wp:wrapSquare wrapText="right"/>
                      <wp:docPr id="610" name="Frame3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8" w:type="dxa"/>
            <w:tcBorders/>
            <w:vAlign w:val="center"/>
          </w:tcPr>
          <w:p>
            <w:pPr>
              <w:pStyle w:val="TableContents"/>
              <w:bidi w:val="0"/>
              <w:spacing w:lineRule="atLeast" w:line="220" w:before="0" w:after="0"/>
              <w:ind w:left="180" w:right="0" w:hanging="0"/>
              <w:jc w:val="left"/>
              <w:rPr/>
            </w:pPr>
            <w:r>
              <w:rPr>
                <w:spacing w:val="-1"/>
              </w:rPr>
              <w:t>Our acquisition strategy allows us to build a higher-return, less cyclical, and more balanced portfolio that is supported by a strong balance sheet.</w:t>
            </w:r>
            <w:r>
              <w:rPr/>
              <w:t xml:space="preserve"> </w:t>
            </w:r>
            <w:r>
              <mc:AlternateContent>
                <mc:Choice Requires="wps">
                  <w:drawing>
                    <wp:anchor behindDoc="0" distT="0" distB="0" distL="0" distR="0" simplePos="0" locked="0" layoutInCell="1" allowOverlap="1" relativeHeight="663">
                      <wp:simplePos x="0" y="0"/>
                      <wp:positionH relativeFrom="column">
                        <wp:align>left</wp:align>
                      </wp:positionH>
                      <wp:positionV relativeFrom="line">
                        <wp:posOffset>635</wp:posOffset>
                      </wp:positionV>
                      <wp:extent cx="114300" cy="350520"/>
                      <wp:effectExtent l="0" t="0" r="0" b="0"/>
                      <wp:wrapSquare wrapText="right"/>
                      <wp:docPr id="611" name="Frame3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37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OPEX"/>
      <w:bookmarkEnd w:id="54"/>
      <w:r>
        <w:rPr>
          <w:rFonts w:ascii="calibri;arial;sans-serif" w:hAnsi="calibri;arial;sans-serif"/>
          <w:b w:val="false"/>
          <w:i w:val="false"/>
          <w:caps w:val="false"/>
          <w:smallCaps w:val="false"/>
          <w:color w:val="000000"/>
          <w:sz w:val="16"/>
        </w:rPr>
        <w:t>​</w:t>
      </w:r>
      <w:bookmarkStart w:id="55" w:name="tSAF"/>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80" w:before="400" w:after="283"/>
        <w:ind w:left="1020" w:right="0" w:hanging="0"/>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OPERATIONAL EXCELLENCE</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 to improve efficiency through a disciplined effort of embedding Operational Excellence and Lean principles throughout the organization.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664">
                <wp:simplePos x="0" y="0"/>
                <wp:positionH relativeFrom="column">
                  <wp:align>left</wp:align>
                </wp:positionH>
                <wp:positionV relativeFrom="line">
                  <wp:align>top</wp:align>
                </wp:positionV>
                <wp:extent cx="127000" cy="350520"/>
                <wp:effectExtent l="0" t="0" r="0" b="0"/>
                <wp:wrapSquare wrapText="right"/>
                <wp:docPr id="612"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efforts to embed Operational Excellence and Lean principles began 19 years ago. The engagement of our employees in our culture of continuous improvement is the foundation of MTI.</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665">
                <wp:simplePos x="0" y="0"/>
                <wp:positionH relativeFrom="column">
                  <wp:align>left</wp:align>
                </wp:positionH>
                <wp:positionV relativeFrom="line">
                  <wp:align>top</wp:align>
                </wp:positionV>
                <wp:extent cx="127000" cy="350520"/>
                <wp:effectExtent l="0" t="0" r="0" b="0"/>
                <wp:wrapSquare wrapText="right"/>
                <wp:docPr id="613"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we had: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0" w:after="283"/>
        <w:jc w:val="left"/>
        <w:rPr>
          <w:caps w:val="false"/>
          <w:smallCaps w:val="false"/>
          <w:color w:val="000000"/>
        </w:rPr>
      </w:pPr>
      <w:r>
        <w:rPr>
          <w:caps w:val="false"/>
          <w:smallCaps w:val="false"/>
          <w:color w:val="000000"/>
        </w:rPr>
        <w:drawing>
          <wp:inline distT="0" distB="0" distL="0" distR="0">
            <wp:extent cx="6267450" cy="1343025"/>
            <wp:effectExtent l="0" t="0" r="0" b="0"/>
            <wp:docPr id="61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243" descr=""/>
                    <pic:cNvPicPr>
                      <a:picLocks noChangeAspect="1" noChangeArrowheads="1"/>
                    </pic:cNvPicPr>
                  </pic:nvPicPr>
                  <pic:blipFill>
                    <a:blip r:embed="rId255"/>
                    <a:stretch>
                      <a:fillRect/>
                    </a:stretch>
                  </pic:blipFill>
                  <pic:spPr bwMode="auto">
                    <a:xfrm>
                      <a:off x="0" y="0"/>
                      <a:ext cx="6267450" cy="13430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25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SAFETY</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believe the goal of injury-free operation at 100% of our sites is attainable and we continue to work to achieve zero injuries.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666">
                <wp:simplePos x="0" y="0"/>
                <wp:positionH relativeFrom="column">
                  <wp:align>left</wp:align>
                </wp:positionH>
                <wp:positionV relativeFrom="line">
                  <wp:align>top</wp:align>
                </wp:positionV>
                <wp:extent cx="127000" cy="350520"/>
                <wp:effectExtent l="0" t="0" r="0" b="0"/>
                <wp:wrapSquare wrapText="right"/>
                <wp:docPr id="615"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continues to focus on the engagement of our employees in risk reduction activities, such as job observations, Gemba (the practice of personally visiting and seeing where work gets done), non-routine task risk assessment, and near miss reporting.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667">
                <wp:simplePos x="0" y="0"/>
                <wp:positionH relativeFrom="column">
                  <wp:align>left</wp:align>
                </wp:positionH>
                <wp:positionV relativeFrom="line">
                  <wp:align>top</wp:align>
                </wp:positionV>
                <wp:extent cx="127000" cy="350520"/>
                <wp:effectExtent l="0" t="0" r="0" b="0"/>
                <wp:wrapSquare wrapText="right"/>
                <wp:docPr id="616"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9185" w:type="dxa"/>
        <w:jc w:val="left"/>
        <w:tblInd w:w="1020" w:type="dxa"/>
        <w:tblLayout w:type="fixed"/>
        <w:tblCellMar>
          <w:top w:w="0" w:type="dxa"/>
          <w:left w:w="0" w:type="dxa"/>
          <w:bottom w:w="28" w:type="dxa"/>
          <w:right w:w="0" w:type="dxa"/>
        </w:tblCellMar>
      </w:tblPr>
      <w:tblGrid>
        <w:gridCol w:w="124"/>
        <w:gridCol w:w="2402"/>
        <w:gridCol w:w="109"/>
        <w:gridCol w:w="109"/>
        <w:gridCol w:w="109"/>
        <w:gridCol w:w="2878"/>
        <w:gridCol w:w="109"/>
        <w:gridCol w:w="109"/>
        <w:gridCol w:w="109"/>
        <w:gridCol w:w="2972"/>
        <w:gridCol w:w="155"/>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6" w:type="dxa"/>
            <w:gridSpan w:val="9"/>
            <w:tcBorders>
              <w:bottom w:val="single" w:sz="24" w:space="0" w:color="FEFEFE"/>
            </w:tcBorders>
            <w:shd w:fill="002F56" w:val="clear"/>
            <w:tcMar>
              <w:bottom w:w="70" w:type="dxa"/>
            </w:tcMar>
            <w:vAlign w:val="center"/>
          </w:tcPr>
          <w:p>
            <w:pPr>
              <w:pStyle w:val="TableContents"/>
              <w:bidi w:val="0"/>
              <w:spacing w:lineRule="atLeast" w:line="240" w:before="0" w:after="0"/>
              <w:jc w:val="center"/>
              <w:rPr>
                <w:spacing w:val="-7"/>
              </w:rPr>
            </w:pPr>
            <w:r>
              <w:rPr>
                <w:spacing w:val="-7"/>
              </w:rPr>
              <w:t xml:space="preserve">2025 SAFETY PERFORMANCE </w:t>
            </w:r>
          </w:p>
        </w:tc>
        <w:tc>
          <w:tcPr>
            <w:tcW w:w="155"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2402" w:type="dxa"/>
            <w:tcBorders/>
            <w:shd w:fill="71B1C8" w:val="clear"/>
            <w:tcMar>
              <w:bottom w:w="0" w:type="dxa"/>
            </w:tcMar>
            <w:vAlign w:val="center"/>
          </w:tcPr>
          <w:p>
            <w:pPr>
              <w:pStyle w:val="TableContents"/>
              <w:bidi w:val="0"/>
              <w:spacing w:before="0" w:after="0"/>
              <w:jc w:val="center"/>
              <w:rPr/>
            </w:pPr>
            <w:r>
              <w:rPr/>
              <w:drawing>
                <wp:inline distT="0" distB="0" distL="0" distR="0">
                  <wp:extent cx="257175" cy="381000"/>
                  <wp:effectExtent l="0" t="0" r="0" b="0"/>
                  <wp:docPr id="61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244" descr=""/>
                          <pic:cNvPicPr>
                            <a:picLocks noChangeAspect="1" noChangeArrowheads="1"/>
                          </pic:cNvPicPr>
                        </pic:nvPicPr>
                        <pic:blipFill>
                          <a:blip r:embed="rId256"/>
                          <a:stretch>
                            <a:fillRect/>
                          </a:stretch>
                        </pic:blipFill>
                        <pic:spPr bwMode="auto">
                          <a:xfrm>
                            <a:off x="0" y="0"/>
                            <a:ext cx="257175" cy="381000"/>
                          </a:xfrm>
                          <a:prstGeom prst="rect">
                            <a:avLst/>
                          </a:prstGeom>
                        </pic:spPr>
                      </pic:pic>
                    </a:graphicData>
                  </a:graphic>
                </wp:inline>
              </w:drawing>
            </w:r>
            <w:r>
              <w:rPr/>
              <w:t xml:space="preserve"> </w:t>
            </w:r>
          </w:p>
          <w:p>
            <w:pPr>
              <w:pStyle w:val="TableContents"/>
              <w:bidi w:val="0"/>
              <w:spacing w:lineRule="atLeast" w:line="480" w:before="100" w:after="283"/>
              <w:jc w:val="center"/>
              <w:rPr>
                <w:sz w:val="44"/>
              </w:rPr>
            </w:pPr>
            <w:r>
              <w:rPr>
                <w:spacing w:val="-3"/>
                <w:sz w:val="44"/>
              </w:rPr>
              <w:t>90%</w:t>
            </w:r>
            <w:r>
              <w:rPr>
                <w:sz w:val="44"/>
              </w:rPr>
              <w:t xml:space="preserve"> </w:t>
            </w:r>
          </w:p>
          <w:p>
            <w:pPr>
              <w:pStyle w:val="TableContents"/>
              <w:bidi w:val="0"/>
              <w:spacing w:lineRule="atLeast" w:line="220" w:before="40" w:after="283"/>
              <w:jc w:val="center"/>
              <w:rPr/>
            </w:pPr>
            <w:r>
              <w:rPr>
                <w:spacing w:val="-1"/>
              </w:rPr>
              <w:t xml:space="preserve">OF OPERATING SITES </w:t>
              <w:br/>
              <w:t>INJURY-FREE FOR 2025</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878" w:type="dxa"/>
            <w:tcBorders/>
            <w:shd w:fill="002F56" w:val="clear"/>
            <w:tcMar>
              <w:bottom w:w="0" w:type="dxa"/>
            </w:tcMar>
            <w:vAlign w:val="center"/>
          </w:tcPr>
          <w:p>
            <w:pPr>
              <w:pStyle w:val="TableContents"/>
              <w:bidi w:val="0"/>
              <w:spacing w:before="0" w:after="0"/>
              <w:jc w:val="center"/>
              <w:rPr/>
            </w:pPr>
            <w:r>
              <w:rPr/>
              <w:drawing>
                <wp:inline distT="0" distB="0" distL="0" distR="0">
                  <wp:extent cx="323850" cy="381000"/>
                  <wp:effectExtent l="0" t="0" r="0" b="0"/>
                  <wp:docPr id="61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245" descr=""/>
                          <pic:cNvPicPr>
                            <a:picLocks noChangeAspect="1" noChangeArrowheads="1"/>
                          </pic:cNvPicPr>
                        </pic:nvPicPr>
                        <pic:blipFill>
                          <a:blip r:embed="rId257"/>
                          <a:stretch>
                            <a:fillRect/>
                          </a:stretch>
                        </pic:blipFill>
                        <pic:spPr bwMode="auto">
                          <a:xfrm>
                            <a:off x="0" y="0"/>
                            <a:ext cx="323850" cy="381000"/>
                          </a:xfrm>
                          <a:prstGeom prst="rect">
                            <a:avLst/>
                          </a:prstGeom>
                        </pic:spPr>
                      </pic:pic>
                    </a:graphicData>
                  </a:graphic>
                </wp:inline>
              </w:drawing>
            </w:r>
            <w:r>
              <w:rPr/>
              <w:t xml:space="preserve"> </w:t>
            </w:r>
          </w:p>
          <w:p>
            <w:pPr>
              <w:pStyle w:val="TableContents"/>
              <w:bidi w:val="0"/>
              <w:spacing w:lineRule="atLeast" w:line="480" w:before="100" w:after="283"/>
              <w:jc w:val="center"/>
              <w:rPr>
                <w:sz w:val="44"/>
              </w:rPr>
            </w:pPr>
            <w:r>
              <w:rPr>
                <w:spacing w:val="-3"/>
                <w:sz w:val="44"/>
              </w:rPr>
              <w:t>0.54</w:t>
            </w:r>
            <w:r>
              <w:rPr>
                <w:sz w:val="44"/>
              </w:rPr>
              <w:t xml:space="preserve"> </w:t>
            </w:r>
          </w:p>
          <w:p>
            <w:pPr>
              <w:pStyle w:val="TableContents"/>
              <w:bidi w:val="0"/>
              <w:spacing w:lineRule="atLeast" w:line="220" w:before="40" w:after="283"/>
              <w:jc w:val="center"/>
              <w:rPr>
                <w:spacing w:val="-1"/>
              </w:rPr>
            </w:pPr>
            <w:r>
              <w:rPr>
                <w:spacing w:val="-1"/>
              </w:rPr>
              <w:t xml:space="preserve">RECORDABLE INJURY RATE </w:t>
              <w:br/>
              <w:t xml:space="preserve">(WORLD CLASS: 1.0)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2972" w:type="dxa"/>
            <w:tcBorders/>
            <w:shd w:fill="7F7F7F" w:val="clear"/>
            <w:tcMar>
              <w:bottom w:w="0" w:type="dxa"/>
            </w:tcMar>
            <w:vAlign w:val="center"/>
          </w:tcPr>
          <w:p>
            <w:pPr>
              <w:pStyle w:val="TableContents"/>
              <w:bidi w:val="0"/>
              <w:spacing w:before="0" w:after="0"/>
              <w:jc w:val="center"/>
              <w:rPr/>
            </w:pPr>
            <w:r>
              <w:rPr/>
              <w:drawing>
                <wp:inline distT="0" distB="0" distL="0" distR="0">
                  <wp:extent cx="390525" cy="390525"/>
                  <wp:effectExtent l="0" t="0" r="0" b="0"/>
                  <wp:docPr id="61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246" descr=""/>
                          <pic:cNvPicPr>
                            <a:picLocks noChangeAspect="1" noChangeArrowheads="1"/>
                          </pic:cNvPicPr>
                        </pic:nvPicPr>
                        <pic:blipFill>
                          <a:blip r:embed="rId258"/>
                          <a:stretch>
                            <a:fillRect/>
                          </a:stretch>
                        </pic:blipFill>
                        <pic:spPr bwMode="auto">
                          <a:xfrm>
                            <a:off x="0" y="0"/>
                            <a:ext cx="390525" cy="390525"/>
                          </a:xfrm>
                          <a:prstGeom prst="rect">
                            <a:avLst/>
                          </a:prstGeom>
                        </pic:spPr>
                      </pic:pic>
                    </a:graphicData>
                  </a:graphic>
                </wp:inline>
              </w:drawing>
            </w:r>
            <w:r>
              <w:rPr/>
              <w:t xml:space="preserve"> </w:t>
            </w:r>
          </w:p>
          <w:p>
            <w:pPr>
              <w:pStyle w:val="TableContents"/>
              <w:bidi w:val="0"/>
              <w:spacing w:lineRule="atLeast" w:line="480" w:before="100" w:after="283"/>
              <w:jc w:val="center"/>
              <w:rPr>
                <w:sz w:val="44"/>
              </w:rPr>
            </w:pPr>
            <w:r>
              <w:rPr>
                <w:spacing w:val="-3"/>
                <w:sz w:val="44"/>
              </w:rPr>
              <w:t>0.14</w:t>
            </w:r>
            <w:r>
              <w:rPr>
                <w:sz w:val="44"/>
              </w:rPr>
              <w:t xml:space="preserve"> </w:t>
            </w:r>
          </w:p>
          <w:p>
            <w:pPr>
              <w:pStyle w:val="TableContents"/>
              <w:bidi w:val="0"/>
              <w:spacing w:lineRule="atLeast" w:line="220" w:before="40" w:after="283"/>
              <w:jc w:val="center"/>
              <w:rPr/>
            </w:pPr>
            <w:r>
              <w:rPr>
                <w:spacing w:val="-1"/>
              </w:rPr>
              <w:t xml:space="preserve">LOST WORKDAY INJURY RATE </w:t>
              <w:br/>
              <w:t>(WORLD CLASS: 0.1)</w:t>
            </w:r>
            <w:r>
              <w:rPr/>
              <w:t xml:space="preserve"> </w:t>
            </w:r>
          </w:p>
        </w:tc>
        <w:tc>
          <w:tcPr>
            <w:tcW w:w="155" w:type="dxa"/>
            <w:tcBorders/>
            <w:shd w:fill="7F7F7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52" w:after="283"/>
        <w:ind w:left="11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Injury Rate = Injuries/100 Employees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38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FIPE"/>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80" w:before="400" w:after="283"/>
        <w:ind w:left="1020" w:right="0" w:hanging="0"/>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FINANCIAL PERFORMANCE</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11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The following is a summary of our performance highlights for 2025 and comparisons of our performance to prior years. In this Compensation Discussion and Analysis, as well as in the Proxy Summary, we refer to earnings per share excluding special items, operating income and margin excluding special items, and free cash flow, which are non-GAAP financial measures. We also refer to underlying sales, which means total sales excluding sales from a deconsolidated business, which is also a non-GAAP financial measure. See Appendix A to this Proxy Statement for a reconciliation to our results as reported under GAAP.</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00" w:before="11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we navigated a volatile macro environment as many of our end markets remained flat or weakened throughout the year. Our teams moved quickly to adjust to these conditions in our facilities by maintaining control of costs and managing inventories, while at the same time navigating changing tariffs and remaining focused on quality, customers, safety, and executing against our growth initiatives. Our sales, operating income, and earnings per share for 2025, along with the compound annual growth rate (CAGR) over the past 5 years, is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36" w:after="283"/>
        <w:jc w:val="left"/>
        <w:rPr>
          <w:caps w:val="false"/>
          <w:smallCaps w:val="false"/>
          <w:color w:val="000000"/>
        </w:rPr>
      </w:pPr>
      <w:r>
        <w:rPr>
          <w:caps w:val="false"/>
          <w:smallCaps w:val="false"/>
          <w:color w:val="000000"/>
        </w:rPr>
        <w:drawing>
          <wp:inline distT="0" distB="0" distL="0" distR="0">
            <wp:extent cx="6276975" cy="2047875"/>
            <wp:effectExtent l="0" t="0" r="0" b="0"/>
            <wp:docPr id="62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47" descr=""/>
                    <pic:cNvPicPr>
                      <a:picLocks noChangeAspect="1" noChangeArrowheads="1"/>
                    </pic:cNvPicPr>
                  </pic:nvPicPr>
                  <pic:blipFill>
                    <a:blip r:embed="rId259"/>
                    <a:stretch>
                      <a:fillRect/>
                    </a:stretch>
                  </pic:blipFill>
                  <pic:spPr bwMode="auto">
                    <a:xfrm>
                      <a:off x="0" y="0"/>
                      <a:ext cx="6276975" cy="20478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62"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2021, 2022 and 2023 sales reflect underlying sales.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2870" distB="0" distL="76200" distR="0" simplePos="0" locked="0" layoutInCell="1" allowOverlap="1" relativeHeight="668">
                <wp:simplePos x="0" y="0"/>
                <wp:positionH relativeFrom="column">
                  <wp:align>left</wp:align>
                </wp:positionH>
                <wp:positionV relativeFrom="line">
                  <wp:align>top</wp:align>
                </wp:positionV>
                <wp:extent cx="254000" cy="254000"/>
                <wp:effectExtent l="0" t="0" r="0" b="0"/>
                <wp:wrapSquare wrapText="right"/>
                <wp:docPr id="621" name="Frame36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2"/>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8.1pt;mso-wrap-distance-bottom:0pt;margin-top:8.1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2"/>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Excluding special items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669">
                <wp:simplePos x="0" y="0"/>
                <wp:positionH relativeFrom="column">
                  <wp:align>left</wp:align>
                </wp:positionH>
                <wp:positionV relativeFrom="line">
                  <wp:align>top</wp:align>
                </wp:positionV>
                <wp:extent cx="254000" cy="254000"/>
                <wp:effectExtent l="0" t="0" r="0" b="0"/>
                <wp:wrapSquare wrapText="right"/>
                <wp:docPr id="622" name="Frame36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50" w:before="176"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 xml:space="preserve">Consumer &amp; Specialties </w:t>
      </w:r>
      <w:r>
        <w:rPr>
          <w:rFonts w:ascii="Arial;Helvetica;sans-serif" w:hAnsi="Arial;Helvetica;sans-serif"/>
          <w:b/>
          <w:i w:val="false"/>
          <w:caps w:val="false"/>
          <w:smallCaps w:val="false"/>
          <w:color w:val="002F56"/>
          <w:spacing w:val="-3"/>
          <w:sz w:val="21"/>
        </w:rPr>
        <w:t>S</w:t>
      </w:r>
      <w:r>
        <w:rPr>
          <w:rFonts w:ascii="Arial;Helvetica;sans-serif" w:hAnsi="Arial;Helvetica;sans-serif"/>
          <w:b/>
          <w:i w:val="false"/>
          <w:caps w:val="false"/>
          <w:smallCaps w:val="false"/>
          <w:color w:val="002F56"/>
          <w:spacing w:val="0"/>
          <w:sz w:val="21"/>
        </w:rPr>
        <w:t>egment</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1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Sales in our Consumer &amp; Specialties segment were $1.1 billion: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2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Household &amp; Personal Care product line sales were $513 million, down 3% from prior year, primarily driven by lower sales of cat litter in the first half of the year. Sales of cat litter improved 7% from the first half of the year to the second half driven by higher volume in all regions. Demand for other consumer-oriented products, such as natural oil purification and animal feed additives continued to grow, with sales increasing by 17% and 12%, respectively.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0010" distB="0" distL="0" distR="0" simplePos="0" locked="0" layoutInCell="1" allowOverlap="1" relativeHeight="670">
                <wp:simplePos x="0" y="0"/>
                <wp:positionH relativeFrom="column">
                  <wp:align>left</wp:align>
                </wp:positionH>
                <wp:positionV relativeFrom="line">
                  <wp:align>top</wp:align>
                </wp:positionV>
                <wp:extent cx="127000" cy="350520"/>
                <wp:effectExtent l="0" t="0" r="0" b="0"/>
                <wp:wrapSquare wrapText="right"/>
                <wp:docPr id="623"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10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the Specialty Additives product line, sales were $585 million, a decrease of 4% from prior year primarily driven by two paper machine shutdowns in North America and lower demand from paper and packaging customers in Europe. Sales to paper and packaging customers improved 3% in the second half versus the first half, as several new satellites in Asia continued to ramp up. Product line sales were also affected by a slowdown in residential construction demand in the second half of the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7310" distB="0" distL="0" distR="0" simplePos="0" locked="0" layoutInCell="1" allowOverlap="1" relativeHeight="671">
                <wp:simplePos x="0" y="0"/>
                <wp:positionH relativeFrom="column">
                  <wp:align>left</wp:align>
                </wp:positionH>
                <wp:positionV relativeFrom="line">
                  <wp:align>top</wp:align>
                </wp:positionV>
                <wp:extent cx="127000" cy="350520"/>
                <wp:effectExtent l="0" t="0" r="0" b="0"/>
                <wp:wrapSquare wrapText="right"/>
                <wp:docPr id="624"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1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Operating income, excluding special items, for the Consumer &amp; Specialties segment was $134 million and operating margin, excluding special items, was 12.2%.</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36" w:after="283"/>
        <w:jc w:val="left"/>
        <w:rPr>
          <w:caps w:val="false"/>
          <w:smallCaps w:val="false"/>
          <w:color w:val="000000"/>
        </w:rPr>
      </w:pPr>
      <w:r>
        <w:rPr>
          <w:caps w:val="false"/>
          <w:smallCaps w:val="false"/>
          <w:color w:val="000000"/>
        </w:rPr>
        <w:drawing>
          <wp:inline distT="0" distB="0" distL="0" distR="0">
            <wp:extent cx="6276975" cy="1857375"/>
            <wp:effectExtent l="0" t="0" r="0" b="0"/>
            <wp:docPr id="62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248" descr=""/>
                    <pic:cNvPicPr>
                      <a:picLocks noChangeAspect="1" noChangeArrowheads="1"/>
                    </pic:cNvPicPr>
                  </pic:nvPicPr>
                  <pic:blipFill>
                    <a:blip r:embed="rId260"/>
                    <a:stretch>
                      <a:fillRect/>
                    </a:stretch>
                  </pic:blipFill>
                  <pic:spPr bwMode="auto">
                    <a:xfrm>
                      <a:off x="0" y="0"/>
                      <a:ext cx="6276975" cy="18573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22" w:after="0"/>
        <w:ind w:left="1540" w:right="0" w:hanging="0"/>
        <w:jc w:val="left"/>
        <w:rPr>
          <w:rFonts w:ascii="Arial;Helvetica;sans-serif" w:hAnsi="Arial;Helvetica;sans-serif"/>
          <w:b w:val="false"/>
          <w:i w:val="false"/>
          <w:caps w:val="false"/>
          <w:smallCaps w:val="false"/>
          <w:color w:val="000000"/>
          <w:sz w:val="12"/>
        </w:rPr>
      </w:pPr>
      <w:r>
        <w:rPr>
          <w:rFonts w:ascii="Arial;Helvetica;sans-serif" w:hAnsi="Arial;Helvetica;sans-serif"/>
          <w:b w:val="false"/>
          <w:i w:val="false"/>
          <w:caps w:val="false"/>
          <w:smallCaps w:val="false"/>
          <w:color w:val="000000"/>
          <w:spacing w:val="-1"/>
          <w:sz w:val="16"/>
        </w:rPr>
        <w:t>2021, 2022 and 2023 sales reflect underlying sales.</w:t>
      </w:r>
      <w:r>
        <w:rPr>
          <w:rFonts w:ascii="Arial;Helvetica;sans-serif" w:hAnsi="Arial;Helvetica;sans-serif"/>
          <w:b w:val="false"/>
          <w:i w:val="false"/>
          <w:caps w:val="false"/>
          <w:smallCaps w:val="false"/>
          <w:color w:val="000000"/>
          <w:sz w:val="12"/>
        </w:rPr>
        <w:t xml:space="preserve"> </w:t>
      </w:r>
      <w:r>
        <mc:AlternateContent>
          <mc:Choice Requires="wps">
            <w:drawing>
              <wp:anchor behindDoc="0" distT="77470" distB="0" distL="76200" distR="0" simplePos="0" locked="0" layoutInCell="1" allowOverlap="1" relativeHeight="672">
                <wp:simplePos x="0" y="0"/>
                <wp:positionH relativeFrom="column">
                  <wp:align>left</wp:align>
                </wp:positionH>
                <wp:positionV relativeFrom="line">
                  <wp:align>top</wp:align>
                </wp:positionV>
                <wp:extent cx="254000" cy="254000"/>
                <wp:effectExtent l="0" t="0" r="0" b="0"/>
                <wp:wrapSquare wrapText="right"/>
                <wp:docPr id="626" name="Frame36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2"/>
                              </w:rPr>
                            </w:pPr>
                            <w:r>
                              <w:rPr>
                                <w:spacing w:val="-1"/>
                                <w:sz w:val="12"/>
                              </w:rPr>
                              <w:t>+</w:t>
                            </w:r>
                            <w:r>
                              <w:rPr>
                                <w:sz w:val="12"/>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6.1pt;mso-wrap-distance-bottom:0pt;margin-top:6.1pt;mso-position-vertical:top;mso-position-vertical-relative:text;margin-left:6pt;mso-position-horizontal:left;mso-position-horizontal-relative:text">
                <v:textbox>
                  <w:txbxContent>
                    <w:p>
                      <w:pPr>
                        <w:pStyle w:val="TextBody"/>
                        <w:bidi w:val="0"/>
                        <w:spacing w:lineRule="atLeast" w:line="200" w:before="0" w:after="283"/>
                        <w:jc w:val="left"/>
                        <w:rPr>
                          <w:sz w:val="12"/>
                        </w:rPr>
                      </w:pPr>
                      <w:r>
                        <w:rPr>
                          <w:spacing w:val="-1"/>
                          <w:sz w:val="12"/>
                        </w:rPr>
                        <w:t>+</w:t>
                      </w:r>
                      <w:r>
                        <w:rPr>
                          <w:sz w:val="12"/>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Excluding special items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38100" distB="0" distL="76200" distR="0" simplePos="0" locked="0" layoutInCell="1" allowOverlap="1" relativeHeight="673">
                <wp:simplePos x="0" y="0"/>
                <wp:positionH relativeFrom="column">
                  <wp:align>left</wp:align>
                </wp:positionH>
                <wp:positionV relativeFrom="line">
                  <wp:align>top</wp:align>
                </wp:positionV>
                <wp:extent cx="254000" cy="254000"/>
                <wp:effectExtent l="0" t="0" r="0" b="0"/>
                <wp:wrapSquare wrapText="right"/>
                <wp:docPr id="627" name="Frame3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39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50" w:before="400" w:after="283"/>
        <w:ind w:left="1020" w:right="0" w:hanging="0"/>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Engineered Solutions Segment</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Sales in our Engineered Solutions segment were $1.0 billion in 2025, down 1% from prior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High-Temperature Technologies product line sales were 1% lower in the year at $705 million. Strong growth in the Asia foundry business was offset by softer demand from foundries serving the heavy truck and agricultural equipment markets in North America. Sales to steel customers in North America were up 5%, driven by innovative solutions such as our Minscan ® equipment technology and our newest high-durability refractory products, which were offset by softer steel market conditions in Europe.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0" distR="0" simplePos="0" locked="0" layoutInCell="1" allowOverlap="1" relativeHeight="674">
                <wp:simplePos x="0" y="0"/>
                <wp:positionH relativeFrom="column">
                  <wp:align>left</wp:align>
                </wp:positionH>
                <wp:positionV relativeFrom="line">
                  <wp:align>top</wp:align>
                </wp:positionV>
                <wp:extent cx="127000" cy="350520"/>
                <wp:effectExtent l="0" t="0" r="0" b="0"/>
                <wp:wrapSquare wrapText="right"/>
                <wp:docPr id="628"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Environmental &amp; Infrastructure product line sales increased 2% compared to prior year to $270 million, primarily driven by higher demand for environmental lining systems, infrastructure drilling products, and offshore water treatment.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675">
                <wp:simplePos x="0" y="0"/>
                <wp:positionH relativeFrom="column">
                  <wp:align>left</wp:align>
                </wp:positionH>
                <wp:positionV relativeFrom="line">
                  <wp:align>top</wp:align>
                </wp:positionV>
                <wp:extent cx="127000" cy="350520"/>
                <wp:effectExtent l="0" t="0" r="0" b="0"/>
                <wp:wrapSquare wrapText="right"/>
                <wp:docPr id="629"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Operating income, excluding special items, for the Engineered Solutions segment was a record $163 million in 2025 and operating margin, excluding special items, was 16.7%, also a record.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50" w:after="283"/>
        <w:jc w:val="left"/>
        <w:rPr>
          <w:caps w:val="false"/>
          <w:smallCaps w:val="false"/>
          <w:color w:val="000000"/>
        </w:rPr>
      </w:pPr>
      <w:r>
        <w:rPr>
          <w:caps w:val="false"/>
          <w:smallCaps w:val="false"/>
          <w:color w:val="000000"/>
        </w:rPr>
        <w:drawing>
          <wp:inline distT="0" distB="0" distL="0" distR="0">
            <wp:extent cx="6276975" cy="1857375"/>
            <wp:effectExtent l="0" t="0" r="0" b="0"/>
            <wp:docPr id="630"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249" descr=""/>
                    <pic:cNvPicPr>
                      <a:picLocks noChangeAspect="1" noChangeArrowheads="1"/>
                    </pic:cNvPicPr>
                  </pic:nvPicPr>
                  <pic:blipFill>
                    <a:blip r:embed="rId261"/>
                    <a:stretch>
                      <a:fillRect/>
                    </a:stretch>
                  </pic:blipFill>
                  <pic:spPr bwMode="auto">
                    <a:xfrm>
                      <a:off x="0" y="0"/>
                      <a:ext cx="6276975" cy="18573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7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Excluding special items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7950" distB="0" distL="76200" distR="0" simplePos="0" locked="0" layoutInCell="1" allowOverlap="1" relativeHeight="676">
                <wp:simplePos x="0" y="0"/>
                <wp:positionH relativeFrom="column">
                  <wp:align>left</wp:align>
                </wp:positionH>
                <wp:positionV relativeFrom="line">
                  <wp:align>top</wp:align>
                </wp:positionV>
                <wp:extent cx="254000" cy="254000"/>
                <wp:effectExtent l="0" t="0" r="0" b="0"/>
                <wp:wrapSquare wrapText="right"/>
                <wp:docPr id="631" name="Frame37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8.5pt;mso-wrap-distance-bottom:0pt;margin-top:8.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Balance Sheet</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continue to deliver on our cash allocation program, returning ~50% of free cash flow to shareholders. In 2025, we: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continued to keep our net leverage level below 2x EBITDA at 1.7x,</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5250" distB="0" distL="254000" distR="0" simplePos="0" locked="0" layoutInCell="1" allowOverlap="1" relativeHeight="677">
                <wp:simplePos x="0" y="0"/>
                <wp:positionH relativeFrom="column">
                  <wp:align>left</wp:align>
                </wp:positionH>
                <wp:positionV relativeFrom="line">
                  <wp:align>top</wp:align>
                </wp:positionV>
                <wp:extent cx="127000" cy="350520"/>
                <wp:effectExtent l="0" t="0" r="0" b="0"/>
                <wp:wrapSquare wrapText="right"/>
                <wp:docPr id="632"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repurchased $59 million of our shares under the $200 million repurchase program approved in the prior year,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78">
                <wp:simplePos x="0" y="0"/>
                <wp:positionH relativeFrom="column">
                  <wp:align>left</wp:align>
                </wp:positionH>
                <wp:positionV relativeFrom="line">
                  <wp:align>top</wp:align>
                </wp:positionV>
                <wp:extent cx="127000" cy="350520"/>
                <wp:effectExtent l="0" t="0" r="0" b="0"/>
                <wp:wrapSquare wrapText="right"/>
                <wp:docPr id="633"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5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6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increased dividends by 10%.</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254000" distR="0" simplePos="0" locked="0" layoutInCell="1" allowOverlap="1" relativeHeight="679">
                <wp:simplePos x="0" y="0"/>
                <wp:positionH relativeFrom="column">
                  <wp:align>left</wp:align>
                </wp:positionH>
                <wp:positionV relativeFrom="line">
                  <wp:align>top</wp:align>
                </wp:positionV>
                <wp:extent cx="127000" cy="350520"/>
                <wp:effectExtent l="0" t="0" r="0" b="0"/>
                <wp:wrapSquare wrapText="right"/>
                <wp:docPr id="634"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returned $73 million to shareholders in the form of dividends and share repurchases in 2025. Over the last three years, we have returned $172 million to shareholders.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2439"/>
        <w:gridCol w:w="109"/>
        <w:gridCol w:w="109"/>
        <w:gridCol w:w="109"/>
        <w:gridCol w:w="3670"/>
        <w:gridCol w:w="109"/>
        <w:gridCol w:w="109"/>
        <w:gridCol w:w="109"/>
        <w:gridCol w:w="2142"/>
        <w:gridCol w:w="156"/>
      </w:tblGrid>
      <w:tr>
        <w:trPr/>
        <w:tc>
          <w:tcPr>
            <w:tcW w:w="124" w:type="dxa"/>
            <w:tcBorders/>
            <w:shd w:fill="71B1C8" w:val="clear"/>
            <w:vAlign w:val="center"/>
          </w:tcPr>
          <w:p>
            <w:pPr>
              <w:pStyle w:val="TableContents"/>
              <w:bidi w:val="0"/>
              <w:spacing w:before="0" w:after="283"/>
              <w:jc w:val="left"/>
              <w:rPr/>
            </w:pPr>
            <w:r>
              <w:rPr/>
              <w:t>​</w:t>
            </w:r>
          </w:p>
        </w:tc>
        <w:tc>
          <w:tcPr>
            <w:tcW w:w="2439" w:type="dxa"/>
            <w:tcBorders/>
            <w:shd w:fill="71B1C8" w:val="clear"/>
            <w:vAlign w:val="center"/>
          </w:tcPr>
          <w:p>
            <w:pPr>
              <w:pStyle w:val="TableContents"/>
              <w:bidi w:val="0"/>
              <w:spacing w:lineRule="atLeast" w:line="220" w:before="0" w:after="0"/>
              <w:jc w:val="center"/>
              <w:rPr/>
            </w:pPr>
            <w:r>
              <w:rPr>
                <w:spacing w:val="-1"/>
              </w:rPr>
              <w:t>2025 CAPITAL DEPLOYMENT</w:t>
            </w:r>
            <w:r>
              <w:rPr/>
              <w:t xml:space="preserve"> </w:t>
            </w:r>
          </w:p>
          <w:p>
            <w:pPr>
              <w:pStyle w:val="TableContents"/>
              <w:bidi w:val="0"/>
              <w:spacing w:lineRule="atLeast" w:line="480" w:before="60" w:after="283"/>
              <w:jc w:val="center"/>
              <w:rPr>
                <w:sz w:val="44"/>
              </w:rPr>
            </w:pPr>
            <w:r>
              <w:rPr>
                <w:spacing w:val="-3"/>
                <w:sz w:val="44"/>
              </w:rPr>
              <w:t>$107M</w:t>
            </w:r>
            <w:r>
              <w:rPr>
                <w:sz w:val="44"/>
              </w:rPr>
              <w:t xml:space="preserve"> </w:t>
            </w:r>
          </w:p>
          <w:p>
            <w:pPr>
              <w:pStyle w:val="TableContents"/>
              <w:bidi w:val="0"/>
              <w:spacing w:lineRule="atLeast" w:line="220" w:before="40" w:after="283"/>
              <w:jc w:val="center"/>
              <w:rPr/>
            </w:pPr>
            <w:r>
              <w:rPr>
                <w:spacing w:val="-1"/>
              </w:rPr>
              <w:t>CapEx</w:t>
            </w:r>
            <w:r>
              <w:rPr/>
              <w:t xml:space="preserve"> </w:t>
            </w:r>
          </w:p>
          <w:p>
            <w:pPr>
              <w:pStyle w:val="TableContents"/>
              <w:bidi w:val="0"/>
              <w:spacing w:lineRule="atLeast" w:line="480" w:before="60" w:after="283"/>
              <w:jc w:val="center"/>
              <w:rPr>
                <w:sz w:val="44"/>
              </w:rPr>
            </w:pPr>
            <w:r>
              <w:rPr>
                <w:spacing w:val="-3"/>
                <w:sz w:val="44"/>
              </w:rPr>
              <w:t>$73M</w:t>
            </w:r>
            <w:r>
              <w:rPr>
                <w:sz w:val="44"/>
              </w:rPr>
              <w:t xml:space="preserve"> </w:t>
            </w:r>
          </w:p>
          <w:p>
            <w:pPr>
              <w:pStyle w:val="TableContents"/>
              <w:bidi w:val="0"/>
              <w:spacing w:lineRule="atLeast" w:line="220" w:before="40" w:after="283"/>
              <w:jc w:val="center"/>
              <w:rPr/>
            </w:pPr>
            <w:r>
              <w:rPr>
                <w:spacing w:val="-1"/>
              </w:rPr>
              <w:t>Return to Shareholders</w:t>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3670" w:type="dxa"/>
            <w:tcBorders/>
            <w:shd w:fill="002F56" w:val="clear"/>
            <w:vAlign w:val="center"/>
          </w:tcPr>
          <w:p>
            <w:pPr>
              <w:pStyle w:val="TableContents"/>
              <w:bidi w:val="0"/>
              <w:spacing w:lineRule="atLeast" w:line="220" w:before="0" w:after="0"/>
              <w:jc w:val="center"/>
              <w:rPr/>
            </w:pPr>
            <w:r>
              <w:rPr>
                <w:spacing w:val="-1"/>
              </w:rPr>
              <w:t>LIQUIDITY</w:t>
            </w:r>
            <w:r>
              <w:rPr/>
              <w:t xml:space="preserve"> </w:t>
            </w:r>
          </w:p>
          <w:p>
            <w:pPr>
              <w:pStyle w:val="TableContents"/>
              <w:bidi w:val="0"/>
              <w:spacing w:lineRule="atLeast" w:line="480" w:before="240" w:after="283"/>
              <w:jc w:val="center"/>
              <w:rPr>
                <w:sz w:val="44"/>
              </w:rPr>
            </w:pPr>
            <w:r>
              <w:rPr>
                <w:spacing w:val="-3"/>
                <w:sz w:val="44"/>
              </w:rPr>
              <w:t>$724M</w:t>
            </w:r>
            <w:r>
              <w:rPr>
                <w:sz w:val="44"/>
              </w:rPr>
              <w:t xml:space="preserve"> </w:t>
            </w:r>
          </w:p>
          <w:p>
            <w:pPr>
              <w:pStyle w:val="TableContents"/>
              <w:bidi w:val="0"/>
              <w:spacing w:lineRule="atLeast" w:line="220" w:before="40" w:after="283"/>
              <w:jc w:val="center"/>
              <w:rPr/>
            </w:pPr>
            <w:r>
              <w:rPr>
                <w:spacing w:val="-1"/>
              </w:rPr>
              <w:t xml:space="preserve">Cash, Cash Equivalents, Short-Term Investments and Available Revolver </w:t>
              <w:br/>
              <w:t>(At 12/31/2025)</w:t>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7F7F7F" w:val="clear"/>
            <w:vAlign w:val="center"/>
          </w:tcPr>
          <w:p>
            <w:pPr>
              <w:pStyle w:val="TableContents"/>
              <w:bidi w:val="0"/>
              <w:spacing w:before="0" w:after="283"/>
              <w:jc w:val="left"/>
              <w:rPr/>
            </w:pPr>
            <w:r>
              <w:rPr/>
              <w:t>​</w:t>
            </w:r>
          </w:p>
        </w:tc>
        <w:tc>
          <w:tcPr>
            <w:tcW w:w="2142" w:type="dxa"/>
            <w:tcBorders/>
            <w:shd w:fill="7F7F7F" w:val="clear"/>
            <w:vAlign w:val="center"/>
          </w:tcPr>
          <w:p>
            <w:pPr>
              <w:pStyle w:val="TableContents"/>
              <w:bidi w:val="0"/>
              <w:spacing w:lineRule="atLeast" w:line="220" w:before="0" w:after="0"/>
              <w:jc w:val="center"/>
              <w:rPr/>
            </w:pPr>
            <w:r>
              <w:rPr>
                <w:spacing w:val="-1"/>
              </w:rPr>
              <w:t>NET LEVERAGE RATIO</w:t>
            </w:r>
            <w:r>
              <w:rPr/>
              <w:t xml:space="preserve"> </w:t>
            </w:r>
          </w:p>
          <w:p>
            <w:pPr>
              <w:pStyle w:val="TableContents"/>
              <w:bidi w:val="0"/>
              <w:spacing w:lineRule="atLeast" w:line="480" w:before="240" w:after="283"/>
              <w:jc w:val="center"/>
              <w:rPr>
                <w:sz w:val="44"/>
              </w:rPr>
            </w:pPr>
            <w:r>
              <w:rPr>
                <w:spacing w:val="-3"/>
                <w:sz w:val="44"/>
              </w:rPr>
              <w:t xml:space="preserve">1.7x Adjusted </w:t>
              <w:br/>
              <w:t>EBITDA</w:t>
            </w:r>
            <w:r>
              <w:rPr>
                <w:sz w:val="44"/>
              </w:rPr>
              <w:t xml:space="preserve"> </w:t>
              <w:br/>
            </w:r>
            <w:r>
              <w:rPr>
                <w:spacing w:val="-1"/>
                <w:sz w:val="18"/>
              </w:rPr>
              <w:t>(At 12/31/2025)</w:t>
            </w:r>
            <w:r>
              <w:rPr>
                <w:sz w:val="44"/>
              </w:rPr>
              <w:t xml:space="preserve"> </w:t>
            </w:r>
          </w:p>
        </w:tc>
        <w:tc>
          <w:tcPr>
            <w:tcW w:w="156" w:type="dxa"/>
            <w:tcBorders/>
            <w:shd w:fill="7F7F7F" w:val="cle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40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TSR"/>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80" w:before="400" w:after="283"/>
        <w:ind w:left="1020" w:right="0" w:hanging="0"/>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TOTAL SHAREHOLDER RETURN</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those who wish to consider total shareholder return when evaluating executive compensation, the graph below compares Minerals Technologies Inc.’s cumulative three-year total shareholder return on common stock with the cumulative total return of the comparator groups used for the Company’s long-term incentive plan. This graph tracks the performance of a $100 investment in our common stock compared with our Peer Index (with the reinvestment of all dividends), the Russell 2000 Index, and the S&amp;P SmallCap 600 Index over the covered periods.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0" w:after="283"/>
        <w:jc w:val="left"/>
        <w:rPr>
          <w:caps w:val="false"/>
          <w:smallCaps w:val="false"/>
          <w:color w:val="000000"/>
        </w:rPr>
      </w:pPr>
      <w:r>
        <w:rPr>
          <w:caps w:val="false"/>
          <w:smallCaps w:val="false"/>
          <w:color w:val="000000"/>
        </w:rPr>
        <w:drawing>
          <wp:inline distT="0" distB="0" distL="0" distR="0">
            <wp:extent cx="6248400" cy="2867025"/>
            <wp:effectExtent l="0" t="0" r="0" b="0"/>
            <wp:docPr id="635"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250" descr=""/>
                    <pic:cNvPicPr>
                      <a:picLocks noChangeAspect="1" noChangeArrowheads="1"/>
                    </pic:cNvPicPr>
                  </pic:nvPicPr>
                  <pic:blipFill>
                    <a:blip r:embed="rId262"/>
                    <a:stretch>
                      <a:fillRect/>
                    </a:stretch>
                  </pic:blipFill>
                  <pic:spPr bwMode="auto">
                    <a:xfrm>
                      <a:off x="0" y="0"/>
                      <a:ext cx="6248400" cy="286702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41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ECP"/>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EXECUTIVE COMPENSATION PRACTICES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2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highlight below certain executive compensation practices, both the practices we have implemented to incentivize performance and certain other practices that we have not implemented because we do not believe they would serve shareholders’ long-term interests: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783"/>
        <w:gridCol w:w="109"/>
        <w:gridCol w:w="109"/>
        <w:gridCol w:w="4122"/>
        <w:gridCol w:w="109"/>
        <w:gridCol w:w="109"/>
        <w:gridCol w:w="3564"/>
        <w:gridCol w:w="156"/>
      </w:tblGrid>
      <w:tr>
        <w:trPr/>
        <w:tc>
          <w:tcPr>
            <w:tcW w:w="124" w:type="dxa"/>
            <w:tcBorders/>
            <w:shd w:fill="002F56" w:val="clear"/>
            <w:vAlign w:val="center"/>
          </w:tcPr>
          <w:p>
            <w:pPr>
              <w:pStyle w:val="TableContents"/>
              <w:bidi w:val="0"/>
              <w:spacing w:before="0" w:after="283"/>
              <w:jc w:val="left"/>
              <w:rPr/>
            </w:pPr>
            <w:r>
              <w:rPr/>
              <w:t>​</w:t>
            </w:r>
          </w:p>
        </w:tc>
        <w:tc>
          <w:tcPr>
            <w:tcW w:w="783" w:type="dxa"/>
            <w:tcBorders/>
            <w:shd w:fill="002F56" w:val="clear"/>
            <w:vAlign w:val="center"/>
          </w:tcPr>
          <w:p>
            <w:pPr>
              <w:pStyle w:val="TableContents"/>
              <w:bidi w:val="0"/>
              <w:spacing w:before="0" w:after="283"/>
              <w:jc w:val="left"/>
              <w:rPr/>
            </w:pPr>
            <w:r>
              <w:rPr/>
              <w:drawing>
                <wp:inline distT="0" distB="0" distL="0" distR="0">
                  <wp:extent cx="409575" cy="409575"/>
                  <wp:effectExtent l="0" t="0" r="0" b="0"/>
                  <wp:docPr id="636"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251" descr=""/>
                          <pic:cNvPicPr>
                            <a:picLocks noChangeAspect="1" noChangeArrowheads="1"/>
                          </pic:cNvPicPr>
                        </pic:nvPicPr>
                        <pic:blipFill>
                          <a:blip r:embed="rId263"/>
                          <a:stretch>
                            <a:fillRect/>
                          </a:stretch>
                        </pic:blipFill>
                        <pic:spPr bwMode="auto">
                          <a:xfrm>
                            <a:off x="0" y="0"/>
                            <a:ext cx="409575" cy="409575"/>
                          </a:xfrm>
                          <a:prstGeom prst="rect">
                            <a:avLst/>
                          </a:prstGeom>
                        </pic:spPr>
                      </pic:pic>
                    </a:graphicData>
                  </a:graphic>
                </wp:inline>
              </w:drawing>
            </w:r>
            <w:r>
              <w:rPr/>
              <w:t xml:space="preserve"> </w:t>
            </w:r>
          </w:p>
          <w:p>
            <w:pPr>
              <w:pStyle w:val="TableContents"/>
              <w:bidi w:val="0"/>
              <w:spacing w:lineRule="atLeast" w:line="242" w:before="192" w:after="283"/>
              <w:jc w:val="left"/>
              <w:rPr>
                <w:b/>
                <w:color w:val="71B1C8"/>
                <w:sz w:val="21"/>
              </w:rPr>
            </w:pPr>
            <w:r>
              <w:rPr>
                <w:b/>
                <w:color w:val="71B1C8"/>
                <w:spacing w:val="-13"/>
                <w:sz w:val="21"/>
              </w:rPr>
              <w:t>WHAT WE DO</w:t>
            </w:r>
            <w:r>
              <w:rPr>
                <w:b/>
                <w:color w:val="71B1C8"/>
                <w:sz w:val="21"/>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22" w:type="dxa"/>
            <w:tcBorders/>
            <w:vAlign w:val="center"/>
          </w:tcPr>
          <w:p>
            <w:pPr>
              <w:pStyle w:val="TableContents"/>
              <w:bidi w:val="0"/>
              <w:spacing w:lineRule="atLeast" w:line="218" w:before="0" w:after="0"/>
              <w:ind w:left="170" w:right="0" w:hanging="0"/>
              <w:jc w:val="left"/>
              <w:rPr/>
            </w:pPr>
            <w:r>
              <w:rPr>
                <w:b/>
                <w:color w:val="002F56"/>
                <w:spacing w:val="-6"/>
                <w:sz w:val="18"/>
              </w:rPr>
              <w:t>PAY-FOR-PERFORMANCE.</w:t>
            </w:r>
            <w:r>
              <w:rPr>
                <w:spacing w:val="-1"/>
              </w:rPr>
              <w:t> We tie pay to performance based on corporate and business goals and differentiate based on individual achievement. The vast majority of our named executive officers’ compensation is at-risk and variable depending on Company and individual performance.</w:t>
            </w:r>
            <w:r>
              <w:rPr/>
              <w:t xml:space="preserve"> </w:t>
            </w:r>
            <w:r>
              <mc:AlternateContent>
                <mc:Choice Requires="wps">
                  <w:drawing>
                    <wp:anchor behindDoc="0" distT="0" distB="0" distL="0" distR="0" simplePos="0" locked="0" layoutInCell="1" allowOverlap="1" relativeHeight="680">
                      <wp:simplePos x="0" y="0"/>
                      <wp:positionH relativeFrom="column">
                        <wp:align>left</wp:align>
                      </wp:positionH>
                      <wp:positionV relativeFrom="line">
                        <wp:posOffset>635</wp:posOffset>
                      </wp:positionV>
                      <wp:extent cx="107950" cy="350520"/>
                      <wp:effectExtent l="0" t="0" r="0" b="0"/>
                      <wp:wrapSquare wrapText="right"/>
                      <wp:docPr id="637" name="Frame37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USE OBJECTIVE FINANCIAL METRICS.</w:t>
            </w:r>
            <w:r>
              <w:rPr>
                <w:spacing w:val="-1"/>
              </w:rPr>
              <w:t> A substantial majority of the awards granted under our Annual Incentive Plan are based on the achievement of corporate financial metrics that we believe are challenging in light of the economic condition in the markets we serve and the risks to achieve high performance.</w:t>
            </w:r>
            <w:r>
              <w:rPr/>
              <w:t xml:space="preserve"> </w:t>
            </w:r>
            <w:r>
              <mc:AlternateContent>
                <mc:Choice Requires="wps">
                  <w:drawing>
                    <wp:anchor behindDoc="0" distT="49530" distB="0" distL="0" distR="0" simplePos="0" locked="0" layoutInCell="1" allowOverlap="1" relativeHeight="681">
                      <wp:simplePos x="0" y="0"/>
                      <wp:positionH relativeFrom="column">
                        <wp:align>left</wp:align>
                      </wp:positionH>
                      <wp:positionV relativeFrom="line">
                        <wp:align>top</wp:align>
                      </wp:positionV>
                      <wp:extent cx="107950" cy="350520"/>
                      <wp:effectExtent l="0" t="0" r="0" b="0"/>
                      <wp:wrapSquare wrapText="right"/>
                      <wp:docPr id="638" name="Frame37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 xml:space="preserve">TIE PERSONAL PERFORMANCE TO </w:t>
              <w:br/>
              <w:t>SUSTAINABILITY OBJECTIVES.</w:t>
            </w:r>
            <w:r>
              <w:rPr>
                <w:spacing w:val="-1"/>
              </w:rPr>
              <w:t> Personal performance under our incentive compensation plan is tied to achieving specific sustainability-related projects, as well as quantifiable financial targets.</w:t>
            </w:r>
            <w:r>
              <w:rPr/>
              <w:t xml:space="preserve"> </w:t>
            </w:r>
            <w:r>
              <mc:AlternateContent>
                <mc:Choice Requires="wps">
                  <w:drawing>
                    <wp:anchor behindDoc="0" distT="49530" distB="0" distL="0" distR="0" simplePos="0" locked="0" layoutInCell="1" allowOverlap="1" relativeHeight="682">
                      <wp:simplePos x="0" y="0"/>
                      <wp:positionH relativeFrom="column">
                        <wp:align>left</wp:align>
                      </wp:positionH>
                      <wp:positionV relativeFrom="line">
                        <wp:align>top</wp:align>
                      </wp:positionV>
                      <wp:extent cx="107950" cy="350520"/>
                      <wp:effectExtent l="0" t="0" r="0" b="0"/>
                      <wp:wrapSquare wrapText="right"/>
                      <wp:docPr id="639" name="Frame37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color w:val="002F56"/>
              </w:rPr>
            </w:pPr>
            <w:r>
              <w:rPr>
                <w:b/>
                <w:color w:val="002F56"/>
                <w:spacing w:val="-6"/>
                <w:sz w:val="18"/>
              </w:rPr>
              <w:t xml:space="preserve">ENSURE AT LEAST 50% OF LONG-TERM COMPENSATION IS PERFORMANCE- </w:t>
              <w:br/>
              <w:t>BASED.</w:t>
            </w:r>
            <w:r>
              <w:rPr>
                <w:color w:val="000000"/>
                <w:spacing w:val="-1"/>
              </w:rPr>
              <w:t> Performance-based awards comprise 50% of total target long-term incentive compensation.</w:t>
            </w:r>
            <w:r>
              <w:rPr>
                <w:color w:val="002F56"/>
              </w:rPr>
              <w:t xml:space="preserve"> </w:t>
            </w:r>
            <w:r>
              <mc:AlternateContent>
                <mc:Choice Requires="wps">
                  <w:drawing>
                    <wp:anchor behindDoc="0" distT="49530" distB="0" distL="0" distR="0" simplePos="0" locked="0" layoutInCell="1" allowOverlap="1" relativeHeight="683">
                      <wp:simplePos x="0" y="0"/>
                      <wp:positionH relativeFrom="column">
                        <wp:align>left</wp:align>
                      </wp:positionH>
                      <wp:positionV relativeFrom="line">
                        <wp:align>top</wp:align>
                      </wp:positionV>
                      <wp:extent cx="107950" cy="350520"/>
                      <wp:effectExtent l="0" t="0" r="0" b="0"/>
                      <wp:wrapSquare wrapText="right"/>
                      <wp:docPr id="640" name="Frame37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color w:val="002F56"/>
                                    </w:rPr>
                                  </w:pPr>
                                  <w:r>
                                    <w:rPr>
                                      <w:color w:val="002F56"/>
                                      <w:spacing w:val="5"/>
                                    </w:rPr>
                                    <w:t>•</w:t>
                                  </w:r>
                                  <w:r>
                                    <w:rPr>
                                      <w:color w:val="002F56"/>
                                    </w:rPr>
                                    <w:t xml:space="preserve"> </w:t>
                                  </w:r>
                                  <w:r>
                                    <w:rPr>
                                      <w:color w:val="002F56"/>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color w:val="002F56"/>
                              </w:rPr>
                            </w:pPr>
                            <w:r>
                              <w:rPr>
                                <w:color w:val="002F56"/>
                                <w:spacing w:val="5"/>
                              </w:rPr>
                              <w:t>•</w:t>
                            </w:r>
                            <w:r>
                              <w:rPr>
                                <w:color w:val="002F56"/>
                              </w:rPr>
                              <w:t xml:space="preserve"> </w:t>
                            </w:r>
                            <w:r>
                              <w:rPr>
                                <w:color w:val="002F56"/>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LINK LONG-TERM COMPENSATION TO STOCK PERFORMANCE.</w:t>
            </w:r>
            <w:r>
              <w:rPr>
                <w:spacing w:val="-1"/>
              </w:rPr>
              <w:t> Half of our long-term awards vest over a three-year period and as equity they directly link pay with the interests of shareholders. Two of the three metrics in our cash-based long-term incentive plan are based on our stock performance.</w:t>
            </w:r>
            <w:r>
              <w:rPr/>
              <w:t xml:space="preserve"> </w:t>
            </w:r>
            <w:r>
              <mc:AlternateContent>
                <mc:Choice Requires="wps">
                  <w:drawing>
                    <wp:anchor behindDoc="0" distT="49530" distB="0" distL="0" distR="0" simplePos="0" locked="0" layoutInCell="1" allowOverlap="1" relativeHeight="684">
                      <wp:simplePos x="0" y="0"/>
                      <wp:positionH relativeFrom="column">
                        <wp:align>left</wp:align>
                      </wp:positionH>
                      <wp:positionV relativeFrom="line">
                        <wp:align>top</wp:align>
                      </wp:positionV>
                      <wp:extent cx="107950" cy="350520"/>
                      <wp:effectExtent l="0" t="0" r="0" b="0"/>
                      <wp:wrapSquare wrapText="right"/>
                      <wp:docPr id="641" name="Frame37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USE AN APPROPRIATE PEER GROUP.</w:t>
            </w:r>
            <w:r>
              <w:rPr>
                <w:spacing w:val="-1"/>
              </w:rPr>
              <w:t> We annually evaluate our peer group to ensure appropriate comparators are in place.</w:t>
            </w:r>
            <w:r>
              <w:rPr/>
              <w:t xml:space="preserve"> </w:t>
            </w:r>
            <w:r>
              <mc:AlternateContent>
                <mc:Choice Requires="wps">
                  <w:drawing>
                    <wp:anchor behindDoc="0" distT="49530" distB="0" distL="0" distR="0" simplePos="0" locked="0" layoutInCell="1" allowOverlap="1" relativeHeight="685">
                      <wp:simplePos x="0" y="0"/>
                      <wp:positionH relativeFrom="column">
                        <wp:align>left</wp:align>
                      </wp:positionH>
                      <wp:positionV relativeFrom="line">
                        <wp:align>top</wp:align>
                      </wp:positionV>
                      <wp:extent cx="107950" cy="350520"/>
                      <wp:effectExtent l="0" t="0" r="0" b="0"/>
                      <wp:wrapSquare wrapText="right"/>
                      <wp:docPr id="642" name="Frame38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EXPECT HIGH PERFORMANCE.</w:t>
            </w:r>
            <w:r>
              <w:rPr>
                <w:spacing w:val="-1"/>
              </w:rPr>
              <w:t xml:space="preserve"> We expect our executives to deliver sustained high performance year-over-year and over time to stay in their respective positions. </w:t>
            </w:r>
            <w:r>
              <mc:AlternateContent>
                <mc:Choice Requires="wps">
                  <w:drawing>
                    <wp:anchor behindDoc="0" distT="49530" distB="0" distL="0" distR="0" simplePos="0" locked="0" layoutInCell="1" allowOverlap="1" relativeHeight="686">
                      <wp:simplePos x="0" y="0"/>
                      <wp:positionH relativeFrom="column">
                        <wp:align>left</wp:align>
                      </wp:positionH>
                      <wp:positionV relativeFrom="line">
                        <wp:align>top</wp:align>
                      </wp:positionV>
                      <wp:extent cx="107950" cy="350520"/>
                      <wp:effectExtent l="0" t="0" r="0" b="0"/>
                      <wp:wrapSquare wrapText="right"/>
                      <wp:docPr id="643" name="Frame38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MINIMAL PERQUISITES.</w:t>
            </w:r>
            <w:r>
              <w:rPr>
                <w:spacing w:val="-1"/>
              </w:rPr>
              <w:t> We provide only minimal perquisites that have a sound benefit to the Company’s business.</w:t>
            </w:r>
            <w:r>
              <w:rPr/>
              <w:t xml:space="preserve"> </w:t>
            </w:r>
            <w:r>
              <mc:AlternateContent>
                <mc:Choice Requires="wps">
                  <w:drawing>
                    <wp:anchor behindDoc="0" distT="49530" distB="0" distL="0" distR="0" simplePos="0" locked="0" layoutInCell="1" allowOverlap="1" relativeHeight="687">
                      <wp:simplePos x="0" y="0"/>
                      <wp:positionH relativeFrom="column">
                        <wp:align>left</wp:align>
                      </wp:positionH>
                      <wp:positionV relativeFrom="line">
                        <wp:align>top</wp:align>
                      </wp:positionV>
                      <wp:extent cx="107950" cy="350520"/>
                      <wp:effectExtent l="0" t="0" r="0" b="0"/>
                      <wp:wrapSquare wrapText="right"/>
                      <wp:docPr id="644" name="Frame3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4" w:type="dxa"/>
            <w:tcBorders/>
            <w:vAlign w:val="center"/>
          </w:tcPr>
          <w:p>
            <w:pPr>
              <w:pStyle w:val="TableContents"/>
              <w:bidi w:val="0"/>
              <w:spacing w:lineRule="atLeast" w:line="218" w:before="0" w:after="0"/>
              <w:ind w:left="170" w:right="0" w:hanging="0"/>
              <w:jc w:val="left"/>
              <w:rPr/>
            </w:pPr>
            <w:r>
              <w:rPr>
                <w:b/>
                <w:color w:val="002F56"/>
                <w:spacing w:val="-6"/>
                <w:sz w:val="18"/>
              </w:rPr>
              <w:t>REVIEW TALLY SHEETS.</w:t>
            </w:r>
            <w:r>
              <w:rPr>
                <w:spacing w:val="-1"/>
              </w:rPr>
              <w:t> We review tally sheets for our named executive officers prior to making annual executive compensation decisions.</w:t>
            </w:r>
            <w:r>
              <w:rPr/>
              <w:t xml:space="preserve"> </w:t>
            </w:r>
            <w:r>
              <mc:AlternateContent>
                <mc:Choice Requires="wps">
                  <w:drawing>
                    <wp:anchor behindDoc="0" distT="0" distB="0" distL="0" distR="0" simplePos="0" locked="0" layoutInCell="1" allowOverlap="1" relativeHeight="688">
                      <wp:simplePos x="0" y="0"/>
                      <wp:positionH relativeFrom="column">
                        <wp:align>left</wp:align>
                      </wp:positionH>
                      <wp:positionV relativeFrom="line">
                        <wp:posOffset>635</wp:posOffset>
                      </wp:positionV>
                      <wp:extent cx="107950" cy="350520"/>
                      <wp:effectExtent l="0" t="0" r="0" b="0"/>
                      <wp:wrapSquare wrapText="right"/>
                      <wp:docPr id="645" name="Frame3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 xml:space="preserve">HAVE APPROPRIATE SEVERANCE </w:t>
              <w:br/>
              <w:t>ARRANGEMENTS.</w:t>
            </w:r>
            <w:r>
              <w:rPr>
                <w:spacing w:val="-1"/>
              </w:rPr>
              <w:t> We provide our officers with appropriate severance protection in the event of a qualifying termination following a change-in-control.</w:t>
            </w:r>
            <w:r>
              <w:rPr/>
              <w:t xml:space="preserve"> </w:t>
            </w:r>
            <w:r>
              <mc:AlternateContent>
                <mc:Choice Requires="wps">
                  <w:drawing>
                    <wp:anchor behindDoc="0" distT="49530" distB="0" distL="0" distR="0" simplePos="0" locked="0" layoutInCell="1" allowOverlap="1" relativeHeight="689">
                      <wp:simplePos x="0" y="0"/>
                      <wp:positionH relativeFrom="column">
                        <wp:align>left</wp:align>
                      </wp:positionH>
                      <wp:positionV relativeFrom="line">
                        <wp:align>top</wp:align>
                      </wp:positionV>
                      <wp:extent cx="107950" cy="350520"/>
                      <wp:effectExtent l="0" t="0" r="0" b="0"/>
                      <wp:wrapSquare wrapText="right"/>
                      <wp:docPr id="646" name="Frame38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 xml:space="preserve">DOUBLE TRIGGER FOR VESTING ON </w:t>
              <w:br/>
              <w:t>CHANGE IN CONTROL.</w:t>
            </w:r>
            <w:r>
              <w:rPr>
                <w:spacing w:val="-1"/>
              </w:rPr>
              <w:t> Our equity compensation plan provides for accelerated vesting of awards after a change in control only if an employee is also terminated (a “double trigger”).</w:t>
            </w:r>
            <w:r>
              <w:rPr/>
              <w:t xml:space="preserve"> </w:t>
            </w:r>
            <w:r>
              <mc:AlternateContent>
                <mc:Choice Requires="wps">
                  <w:drawing>
                    <wp:anchor behindDoc="0" distT="49530" distB="0" distL="0" distR="0" simplePos="0" locked="0" layoutInCell="1" allowOverlap="1" relativeHeight="690">
                      <wp:simplePos x="0" y="0"/>
                      <wp:positionH relativeFrom="column">
                        <wp:align>left</wp:align>
                      </wp:positionH>
                      <wp:positionV relativeFrom="line">
                        <wp:align>top</wp:align>
                      </wp:positionV>
                      <wp:extent cx="107950" cy="350520"/>
                      <wp:effectExtent l="0" t="0" r="0" b="0"/>
                      <wp:wrapSquare wrapText="right"/>
                      <wp:docPr id="647" name="Frame38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CLAWBACK.</w:t>
            </w:r>
            <w:r>
              <w:rPr>
                <w:spacing w:val="-1"/>
              </w:rPr>
              <w:t> We have a policy to recoup certain incentive and other compensation payments (a “clawback” policy) to ensure that our executives do not retain undeserved windfalls and to enhance our pay-for-performance initiatives.</w:t>
            </w:r>
            <w:r>
              <w:rPr/>
              <w:t xml:space="preserve"> </w:t>
            </w:r>
            <w:r>
              <mc:AlternateContent>
                <mc:Choice Requires="wps">
                  <w:drawing>
                    <wp:anchor behindDoc="0" distT="49530" distB="0" distL="0" distR="0" simplePos="0" locked="0" layoutInCell="1" allowOverlap="1" relativeHeight="691">
                      <wp:simplePos x="0" y="0"/>
                      <wp:positionH relativeFrom="column">
                        <wp:align>left</wp:align>
                      </wp:positionH>
                      <wp:positionV relativeFrom="line">
                        <wp:align>top</wp:align>
                      </wp:positionV>
                      <wp:extent cx="107950" cy="350520"/>
                      <wp:effectExtent l="0" t="0" r="0" b="0"/>
                      <wp:wrapSquare wrapText="right"/>
                      <wp:docPr id="648" name="Frame38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 xml:space="preserve">STRINGENT STOCK OWNERSHIP </w:t>
              <w:br/>
              <w:t>GUIDELINES.</w:t>
            </w:r>
            <w:r>
              <w:rPr>
                <w:spacing w:val="-1"/>
              </w:rPr>
              <w:t> We maintain stock ownership guidelines — six times base salary for our CEO, four times base salary for our CFO and Group Presidents, three times base salary for our other executives, and five times the annual cash retainer for directors.</w:t>
            </w:r>
            <w:r>
              <w:rPr/>
              <w:t xml:space="preserve"> </w:t>
            </w:r>
            <w:r>
              <mc:AlternateContent>
                <mc:Choice Requires="wps">
                  <w:drawing>
                    <wp:anchor behindDoc="0" distT="49530" distB="0" distL="0" distR="0" simplePos="0" locked="0" layoutInCell="1" allowOverlap="1" relativeHeight="692">
                      <wp:simplePos x="0" y="0"/>
                      <wp:positionH relativeFrom="column">
                        <wp:align>left</wp:align>
                      </wp:positionH>
                      <wp:positionV relativeFrom="line">
                        <wp:align>top</wp:align>
                      </wp:positionV>
                      <wp:extent cx="107950" cy="350520"/>
                      <wp:effectExtent l="0" t="0" r="0" b="0"/>
                      <wp:wrapSquare wrapText="right"/>
                      <wp:docPr id="649" name="Frame38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 xml:space="preserve">RETENTION PERIOD ON EXERCISED STOCK </w:t>
              <w:br/>
              <w:t>OPTIONS AND VESTED DRSUs.</w:t>
            </w:r>
            <w:r>
              <w:rPr>
                <w:spacing w:val="-1"/>
              </w:rPr>
              <w:t> Executives must hold for at least five years a minimum of 50% of after-tax value of appreciation of stock options upon exercise and retain at least 50% of stock received after-tax from Deferred Restricted Stock Units (DRSUs) upon vesting.</w:t>
            </w:r>
            <w:r>
              <w:rPr/>
              <w:t xml:space="preserve"> </w:t>
            </w:r>
            <w:r>
              <mc:AlternateContent>
                <mc:Choice Requires="wps">
                  <w:drawing>
                    <wp:anchor behindDoc="0" distT="49530" distB="0" distL="0" distR="0" simplePos="0" locked="0" layoutInCell="1" allowOverlap="1" relativeHeight="693">
                      <wp:simplePos x="0" y="0"/>
                      <wp:positionH relativeFrom="column">
                        <wp:align>left</wp:align>
                      </wp:positionH>
                      <wp:positionV relativeFrom="line">
                        <wp:align>top</wp:align>
                      </wp:positionV>
                      <wp:extent cx="107950" cy="350520"/>
                      <wp:effectExtent l="0" t="0" r="0" b="0"/>
                      <wp:wrapSquare wrapText="right"/>
                      <wp:docPr id="650" name="Frame38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8" w:before="78" w:after="0"/>
              <w:ind w:left="170" w:right="0" w:hanging="0"/>
              <w:jc w:val="left"/>
              <w:rPr/>
            </w:pPr>
            <w:r>
              <w:rPr>
                <w:b/>
                <w:color w:val="002F56"/>
                <w:spacing w:val="-6"/>
                <w:sz w:val="18"/>
              </w:rPr>
              <w:t xml:space="preserve">INDEPENDENT COMPENSATION </w:t>
              <w:br/>
              <w:t>CONSULTING FIRM.</w:t>
            </w:r>
            <w:r>
              <w:rPr>
                <w:spacing w:val="-1"/>
              </w:rPr>
              <w:t> The Compensation Committee benefits from its utilization of an independent compensation consulting firm which provides no other services to the Company.</w:t>
            </w:r>
            <w:r>
              <w:rPr/>
              <w:t xml:space="preserve"> </w:t>
            </w:r>
            <w:r>
              <mc:AlternateContent>
                <mc:Choice Requires="wps">
                  <w:drawing>
                    <wp:anchor behindDoc="0" distT="49530" distB="0" distL="0" distR="0" simplePos="0" locked="0" layoutInCell="1" allowOverlap="1" relativeHeight="694">
                      <wp:simplePos x="0" y="0"/>
                      <wp:positionH relativeFrom="column">
                        <wp:align>left</wp:align>
                      </wp:positionH>
                      <wp:positionV relativeFrom="line">
                        <wp:align>top</wp:align>
                      </wp:positionV>
                      <wp:extent cx="107950" cy="350520"/>
                      <wp:effectExtent l="0" t="0" r="0" b="0"/>
                      <wp:wrapSquare wrapText="right"/>
                      <wp:docPr id="651" name="Frame38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8"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18"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809"/>
        <w:gridCol w:w="109"/>
        <w:gridCol w:w="109"/>
        <w:gridCol w:w="3825"/>
        <w:gridCol w:w="109"/>
        <w:gridCol w:w="109"/>
        <w:gridCol w:w="3835"/>
        <w:gridCol w:w="156"/>
      </w:tblGrid>
      <w:tr>
        <w:trPr/>
        <w:tc>
          <w:tcPr>
            <w:tcW w:w="124" w:type="dxa"/>
            <w:tcBorders/>
            <w:shd w:fill="7F7F7F" w:val="clear"/>
            <w:vAlign w:val="center"/>
          </w:tcPr>
          <w:p>
            <w:pPr>
              <w:pStyle w:val="TableContents"/>
              <w:bidi w:val="0"/>
              <w:spacing w:before="0" w:after="283"/>
              <w:jc w:val="left"/>
              <w:rPr/>
            </w:pPr>
            <w:r>
              <w:rPr/>
              <w:t>​</w:t>
            </w:r>
          </w:p>
        </w:tc>
        <w:tc>
          <w:tcPr>
            <w:tcW w:w="809" w:type="dxa"/>
            <w:tcBorders/>
            <w:shd w:fill="7F7F7F" w:val="clear"/>
            <w:vAlign w:val="center"/>
          </w:tcPr>
          <w:p>
            <w:pPr>
              <w:pStyle w:val="TableContents"/>
              <w:bidi w:val="0"/>
              <w:spacing w:before="0" w:after="0"/>
              <w:jc w:val="left"/>
              <w:rPr/>
            </w:pPr>
            <w:r>
              <w:rPr/>
              <w:drawing>
                <wp:inline distT="0" distB="0" distL="0" distR="0">
                  <wp:extent cx="409575" cy="419100"/>
                  <wp:effectExtent l="0" t="0" r="0" b="0"/>
                  <wp:docPr id="6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52" descr=""/>
                          <pic:cNvPicPr>
                            <a:picLocks noChangeAspect="1" noChangeArrowheads="1"/>
                          </pic:cNvPicPr>
                        </pic:nvPicPr>
                        <pic:blipFill>
                          <a:blip r:embed="rId264"/>
                          <a:stretch>
                            <a:fillRect/>
                          </a:stretch>
                        </pic:blipFill>
                        <pic:spPr bwMode="auto">
                          <a:xfrm>
                            <a:off x="0" y="0"/>
                            <a:ext cx="409575" cy="419100"/>
                          </a:xfrm>
                          <a:prstGeom prst="rect">
                            <a:avLst/>
                          </a:prstGeom>
                        </pic:spPr>
                      </pic:pic>
                    </a:graphicData>
                  </a:graphic>
                </wp:inline>
              </w:drawing>
            </w:r>
            <w:r>
              <w:rPr/>
              <w:t xml:space="preserve"> </w:t>
            </w:r>
          </w:p>
          <w:p>
            <w:pPr>
              <w:pStyle w:val="TableContents"/>
              <w:bidi w:val="0"/>
              <w:spacing w:lineRule="atLeast" w:line="250" w:before="176" w:after="283"/>
              <w:jc w:val="left"/>
              <w:rPr>
                <w:color w:val="FEFEFE"/>
                <w:sz w:val="21"/>
              </w:rPr>
            </w:pPr>
            <w:r>
              <w:rPr>
                <w:color w:val="FEFEFE"/>
                <w:spacing w:val="-13"/>
                <w:sz w:val="21"/>
              </w:rPr>
              <w:t xml:space="preserve">WHAT WE </w:t>
              <w:br/>
              <w:t>DON’T DO</w:t>
            </w:r>
            <w:r>
              <w:rPr>
                <w:color w:val="FEFEFE"/>
                <w:sz w:val="21"/>
              </w:rPr>
              <w:t xml:space="preserve"> </w:t>
            </w:r>
          </w:p>
        </w:tc>
        <w:tc>
          <w:tcPr>
            <w:tcW w:w="109" w:type="dxa"/>
            <w:tcBorders/>
            <w:shd w:fill="7F7F7F"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5" w:type="dxa"/>
            <w:tcBorders/>
            <w:vAlign w:val="center"/>
          </w:tcPr>
          <w:p>
            <w:pPr>
              <w:pStyle w:val="TableContents"/>
              <w:bidi w:val="0"/>
              <w:spacing w:lineRule="atLeast" w:line="220" w:before="0" w:after="0"/>
              <w:ind w:left="180" w:right="0" w:hanging="0"/>
              <w:jc w:val="left"/>
              <w:rPr/>
            </w:pPr>
            <w:r>
              <w:rPr>
                <w:spacing w:val="-6"/>
              </w:rPr>
              <w:t>WE DO NOT PAY DIVIDEND EQUIVALENTS ON STOCK OPTIONS AND UNVESTED DRSUs.</w:t>
            </w:r>
            <w:r>
              <w:rPr/>
              <w:t xml:space="preserve"> </w:t>
            </w:r>
            <w:r>
              <mc:AlternateContent>
                <mc:Choice Requires="wps">
                  <w:drawing>
                    <wp:anchor behindDoc="0" distT="0" distB="0" distL="0" distR="0" simplePos="0" locked="0" layoutInCell="1" allowOverlap="1" relativeHeight="695">
                      <wp:simplePos x="0" y="0"/>
                      <wp:positionH relativeFrom="column">
                        <wp:align>left</wp:align>
                      </wp:positionH>
                      <wp:positionV relativeFrom="line">
                        <wp:posOffset>635</wp:posOffset>
                      </wp:positionV>
                      <wp:extent cx="114300" cy="350520"/>
                      <wp:effectExtent l="0" t="0" r="0" b="0"/>
                      <wp:wrapSquare wrapText="right"/>
                      <wp:docPr id="653" name="Frame3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6"/>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DF0000"/>
                                <w:spacing w:val="-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6"/>
              </w:rPr>
              <w:t>NO REPRICING UNDERWATER STOCK OPTIONS OR BACKDATING STOCK OPTIONS.</w:t>
            </w:r>
            <w:r>
              <w:rPr/>
              <w:t xml:space="preserve"> </w:t>
            </w:r>
            <w:r>
              <mc:AlternateContent>
                <mc:Choice Requires="wps">
                  <w:drawing>
                    <wp:anchor behindDoc="0" distT="50800" distB="0" distL="0" distR="0" simplePos="0" locked="0" layoutInCell="1" allowOverlap="1" relativeHeight="696">
                      <wp:simplePos x="0" y="0"/>
                      <wp:positionH relativeFrom="column">
                        <wp:align>left</wp:align>
                      </wp:positionH>
                      <wp:positionV relativeFrom="line">
                        <wp:align>top</wp:align>
                      </wp:positionV>
                      <wp:extent cx="114300" cy="350520"/>
                      <wp:effectExtent l="0" t="0" r="0" b="0"/>
                      <wp:wrapSquare wrapText="right"/>
                      <wp:docPr id="654" name="Frame3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6"/>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DF0000"/>
                                <w:spacing w:val="-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spacing w:val="-6"/>
              </w:rPr>
            </w:pPr>
            <w:r>
              <w:rPr>
                <w:spacing w:val="-6"/>
              </w:rPr>
              <w:t xml:space="preserve">NO INCLUSION OF THE VALUE OF EQUITY AWARDS IN PENSION OR SEVERANCE CALCULATIONS. </w:t>
            </w:r>
            <w:r>
              <mc:AlternateContent>
                <mc:Choice Requires="wps">
                  <w:drawing>
                    <wp:anchor behindDoc="0" distT="50800" distB="0" distL="0" distR="0" simplePos="0" locked="0" layoutInCell="1" allowOverlap="1" relativeHeight="697">
                      <wp:simplePos x="0" y="0"/>
                      <wp:positionH relativeFrom="column">
                        <wp:align>left</wp:align>
                      </wp:positionH>
                      <wp:positionV relativeFrom="line">
                        <wp:align>top</wp:align>
                      </wp:positionV>
                      <wp:extent cx="114300" cy="350520"/>
                      <wp:effectExtent l="0" t="0" r="0" b="0"/>
                      <wp:wrapSquare wrapText="right"/>
                      <wp:docPr id="655" name="Frame3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6"/>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DF0000"/>
                                <w:spacing w:val="-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35" w:type="dxa"/>
            <w:tcBorders/>
            <w:vAlign w:val="center"/>
          </w:tcPr>
          <w:p>
            <w:pPr>
              <w:pStyle w:val="TableContents"/>
              <w:bidi w:val="0"/>
              <w:spacing w:lineRule="atLeast" w:line="220" w:before="0" w:after="0"/>
              <w:ind w:left="180" w:right="0" w:hanging="0"/>
              <w:jc w:val="left"/>
              <w:rPr/>
            </w:pPr>
            <w:r>
              <w:rPr>
                <w:spacing w:val="-6"/>
              </w:rPr>
              <w:t>NO EXCISE TAX GROSS-UP PAYMENTS UPON CHANGE IN CONTROL.</w:t>
            </w:r>
            <w:r>
              <w:rPr/>
              <w:t xml:space="preserve"> </w:t>
            </w:r>
            <w:r>
              <mc:AlternateContent>
                <mc:Choice Requires="wps">
                  <w:drawing>
                    <wp:anchor behindDoc="0" distT="0" distB="0" distL="0" distR="0" simplePos="0" locked="0" layoutInCell="1" allowOverlap="1" relativeHeight="698">
                      <wp:simplePos x="0" y="0"/>
                      <wp:positionH relativeFrom="column">
                        <wp:align>left</wp:align>
                      </wp:positionH>
                      <wp:positionV relativeFrom="line">
                        <wp:posOffset>635</wp:posOffset>
                      </wp:positionV>
                      <wp:extent cx="114300" cy="350520"/>
                      <wp:effectExtent l="0" t="0" r="0" b="0"/>
                      <wp:wrapSquare wrapText="right"/>
                      <wp:docPr id="656" name="Frame3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6"/>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DF0000"/>
                                <w:spacing w:val="-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6"/>
              </w:rPr>
              <w:t>NO DIVIDEND EQUIVALENTS PAID ON PERFORMANCE UNITS.</w:t>
            </w:r>
            <w:r>
              <w:rPr/>
              <w:t xml:space="preserve"> </w:t>
            </w:r>
            <w:r>
              <mc:AlternateContent>
                <mc:Choice Requires="wps">
                  <w:drawing>
                    <wp:anchor behindDoc="0" distT="50800" distB="0" distL="0" distR="0" simplePos="0" locked="0" layoutInCell="1" allowOverlap="1" relativeHeight="699">
                      <wp:simplePos x="0" y="0"/>
                      <wp:positionH relativeFrom="column">
                        <wp:align>left</wp:align>
                      </wp:positionH>
                      <wp:positionV relativeFrom="line">
                        <wp:align>top</wp:align>
                      </wp:positionV>
                      <wp:extent cx="114300" cy="350520"/>
                      <wp:effectExtent l="0" t="0" r="0" b="0"/>
                      <wp:wrapSquare wrapText="right"/>
                      <wp:docPr id="657" name="Frame3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6"/>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DF0000"/>
                                <w:spacing w:val="-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180" w:right="0" w:hanging="0"/>
              <w:jc w:val="left"/>
              <w:rPr/>
            </w:pPr>
            <w:r>
              <w:rPr>
                <w:spacing w:val="-6"/>
              </w:rPr>
              <w:t>NO HEDGING TRANSACTIONS, PLEDGES OF STOCK OR SHORT SALES BY EXECUTIVES PERMITTED.</w:t>
            </w:r>
            <w:r>
              <w:rPr/>
              <w:t xml:space="preserve"> </w:t>
            </w:r>
            <w:r>
              <mc:AlternateContent>
                <mc:Choice Requires="wps">
                  <w:drawing>
                    <wp:anchor behindDoc="0" distT="50800" distB="0" distL="0" distR="0" simplePos="0" locked="0" layoutInCell="1" allowOverlap="1" relativeHeight="700">
                      <wp:simplePos x="0" y="0"/>
                      <wp:positionH relativeFrom="column">
                        <wp:align>left</wp:align>
                      </wp:positionH>
                      <wp:positionV relativeFrom="line">
                        <wp:align>top</wp:align>
                      </wp:positionV>
                      <wp:extent cx="114300" cy="350520"/>
                      <wp:effectExtent l="0" t="0" r="0" b="0"/>
                      <wp:wrapSquare wrapText="right"/>
                      <wp:docPr id="658" name="Frame3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DF0000"/>
                                      <w:spacing w:val="-6"/>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DF0000"/>
                                <w:spacing w:val="-6"/>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42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CORO"/>
      <w:bookmarkEnd w:id="59"/>
      <w:r>
        <w:rPr>
          <w:rFonts w:ascii="calibri;arial;sans-serif" w:hAnsi="calibri;arial;sans-serif"/>
          <w:b w:val="false"/>
          <w:i w:val="false"/>
          <w:caps w:val="false"/>
          <w:smallCaps w:val="false"/>
          <w:color w:val="000000"/>
          <w:sz w:val="16"/>
        </w:rPr>
        <w:t>​</w:t>
      </w:r>
      <w:bookmarkStart w:id="60" w:name="tWWPA"/>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CONSIDERATION OF RESULTS OF 2025 SHAREHOLDER ADVISORY VOTE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our 2025 Annual Meeting, our shareholders approved the 2024 compensation of our named executive officers with 79% of the shares voting on the matter at the meeting voting in favor. As discussed above under “</w:t>
      </w:r>
      <w:r>
        <w:rPr>
          <w:rFonts w:ascii="Arial;Helvetica;sans-serif" w:hAnsi="Arial;Helvetica;sans-serif"/>
          <w:b w:val="false"/>
          <w:i/>
          <w:caps w:val="false"/>
          <w:smallCaps w:val="false"/>
          <w:color w:val="000000"/>
          <w:sz w:val="18"/>
        </w:rPr>
        <w:t>Shareholder Engagement</w:t>
      </w:r>
      <w:r>
        <w:rPr>
          <w:rFonts w:ascii="Arial;Helvetica;sans-serif" w:hAnsi="Arial;Helvetica;sans-serif"/>
          <w:b w:val="false"/>
          <w:i w:val="false"/>
          <w:caps w:val="false"/>
          <w:smallCaps w:val="false"/>
          <w:color w:val="000000"/>
          <w:spacing w:val="-1"/>
          <w:sz w:val="18"/>
        </w:rPr>
        <w:t>,” we conduct an extensive, ongoing shareholder engagement effort discussing corporate governance, compensation, and other matters. We believe that the approval of our 2025 “Say-on-Pay” proposal resulted in large measure from our shareholder engagement effort.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our outreach program in 2025, we contacted shareholders that we believe held approximately 89% of our stock and received direct feedback from 45% of our shareholder base. As part of this effort, we specifically solicited our shareholders’ views on our executive compensation program design and linkage between pay and performance. During our outreach, our shareholders did not identify any concerns regarding executive compensation matters or the overall design of our executive compensation program. Shareholders also expressed support for the recent changes we implemented to our executive compensation program, such as increasing the weighting of performance-based LTI to 50% beginning with 2024 awards. See “</w:t>
      </w:r>
      <w:r>
        <w:rPr>
          <w:rFonts w:ascii="Arial;Helvetica;sans-serif" w:hAnsi="Arial;Helvetica;sans-serif"/>
          <w:b w:val="false"/>
          <w:i/>
          <w:caps w:val="false"/>
          <w:smallCaps w:val="false"/>
          <w:color w:val="000000"/>
          <w:sz w:val="18"/>
        </w:rPr>
        <w:t>Shareholder Engagement</w:t>
      </w:r>
      <w:r>
        <w:rPr>
          <w:rFonts w:ascii="Arial;Helvetica;sans-serif" w:hAnsi="Arial;Helvetica;sans-serif"/>
          <w:b w:val="false"/>
          <w:i w:val="false"/>
          <w:caps w:val="false"/>
          <w:smallCaps w:val="false"/>
          <w:color w:val="000000"/>
          <w:spacing w:val="-1"/>
          <w:sz w:val="18"/>
        </w:rPr>
        <w:t>” on pages 6 – 7 for more information.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a result of the vast majority of shares favoring our “Say-on-Pay” proposal at our 2025 Annual Meeting and that we received no concerns over the design of our program during our 2025-2026 shareholder outreach program, we have substantially maintained our executive compensation program. The Compensation Committee will continue to consider the views of our shareholders in connection with our executive compensation program and make improvements based upon evolving best practices, market compensation information, and changing regulatory requirements.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WHAT WE PAY AND WHY: ELEMENTS OF OUR COMPENSATION PROGRAM FOR NAMED EXECUTIVE OFFICERS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structured the major portion of executive compensation as “total direct remuneration,” consisting of base salary, annual incentive awards, and long-term incentive awards. Long-term incentive awards consist of stock options, Deferred Restricted Stock Units (DRSUs), and Performance Units awarded under our long-term incentive plan. Additional elements supplement the total direct remuneration. As illustrated below, in 2025 the majority of total direct remuneration to our named executive officers was variable and at-risk.</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6276975" cy="2886075"/>
            <wp:effectExtent l="0" t="0" r="0" b="0"/>
            <wp:docPr id="65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253" descr=""/>
                    <pic:cNvPicPr>
                      <a:picLocks noChangeAspect="1" noChangeArrowheads="1"/>
                    </pic:cNvPicPr>
                  </pic:nvPicPr>
                  <pic:blipFill>
                    <a:blip r:embed="rId265"/>
                    <a:stretch>
                      <a:fillRect/>
                    </a:stretch>
                  </pic:blipFill>
                  <pic:spPr bwMode="auto">
                    <a:xfrm>
                      <a:off x="0" y="0"/>
                      <a:ext cx="6276975" cy="2886075"/>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43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summarizes the compensatory elements of our program and briefly explains their purpose. Following the table, we provide a detailed description of each element, why we pay it, and what decisions were made for individual payments and awards in 2025.</w:t>
      </w:r>
      <w:r>
        <w:rPr>
          <w:rFonts w:ascii="Arial;Helvetica;sans-serif" w:hAnsi="Arial;Helvetica;sans-serif"/>
          <w:b w:val="false"/>
          <w:i w:val="false"/>
          <w:caps w:val="false"/>
          <w:smallCaps w:val="false"/>
          <w:color w:val="000000"/>
          <w:spacing w:val="4"/>
          <w:sz w:val="18"/>
        </w:rPr>
        <w:t xml:space="preserve"> </w:t>
      </w:r>
    </w:p>
    <w:tbl>
      <w:tblPr>
        <w:tblW w:w="13739" w:type="dxa"/>
        <w:jc w:val="left"/>
        <w:tblInd w:w="1020" w:type="dxa"/>
        <w:tblLayout w:type="fixed"/>
        <w:tblCellMar>
          <w:top w:w="0" w:type="dxa"/>
          <w:left w:w="0" w:type="dxa"/>
          <w:bottom w:w="0" w:type="dxa"/>
          <w:right w:w="0" w:type="dxa"/>
        </w:tblCellMar>
      </w:tblPr>
      <w:tblGrid>
        <w:gridCol w:w="124"/>
        <w:gridCol w:w="5130"/>
        <w:gridCol w:w="109"/>
        <w:gridCol w:w="109"/>
        <w:gridCol w:w="2001"/>
        <w:gridCol w:w="109"/>
        <w:gridCol w:w="109"/>
        <w:gridCol w:w="2094"/>
        <w:gridCol w:w="109"/>
        <w:gridCol w:w="109"/>
        <w:gridCol w:w="1890"/>
        <w:gridCol w:w="109"/>
        <w:gridCol w:w="109"/>
        <w:gridCol w:w="1474"/>
        <w:gridCol w:w="154"/>
      </w:tblGrid>
      <w:tr>
        <w:trPr/>
        <w:tc>
          <w:tcPr>
            <w:tcW w:w="124" w:type="dxa"/>
            <w:tcBorders/>
            <w:shd w:fill="002F56" w:val="clear"/>
            <w:vAlign w:val="center"/>
          </w:tcPr>
          <w:p>
            <w:pPr>
              <w:pStyle w:val="TableContents"/>
              <w:bidi w:val="0"/>
              <w:spacing w:before="0" w:after="283"/>
              <w:jc w:val="left"/>
              <w:rPr/>
            </w:pPr>
            <w:r>
              <w:rPr/>
              <w:t>​</w:t>
            </w:r>
          </w:p>
        </w:tc>
        <w:tc>
          <w:tcPr>
            <w:tcW w:w="5130"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4313" w:type="dxa"/>
            <w:gridSpan w:val="4"/>
            <w:tcBorders/>
            <w:shd w:fill="002F56" w:val="clear"/>
            <w:vAlign w:val="center"/>
          </w:tcPr>
          <w:p>
            <w:pPr>
              <w:pStyle w:val="TableContents"/>
              <w:bidi w:val="0"/>
              <w:spacing w:before="0" w:after="0"/>
              <w:jc w:val="center"/>
              <w:rPr>
                <w:spacing w:val="0"/>
              </w:rPr>
            </w:pPr>
            <w:r>
              <w:rPr>
                <w:spacing w:val="0"/>
              </w:rPr>
              <w:t xml:space="preserve">Element of Compensation Program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890" w:type="dxa"/>
            <w:tcBorders/>
            <w:shd w:fill="002F56" w:val="clear"/>
            <w:vAlign w:val="center"/>
          </w:tcPr>
          <w:p>
            <w:pPr>
              <w:pStyle w:val="TableContents"/>
              <w:bidi w:val="0"/>
              <w:spacing w:before="0" w:after="0"/>
              <w:jc w:val="left"/>
              <w:rPr>
                <w:spacing w:val="0"/>
              </w:rPr>
            </w:pPr>
            <w:r>
              <w:rPr>
                <w:spacing w:val="0"/>
              </w:rPr>
              <w:t xml:space="preserve">Description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4" w:type="dxa"/>
            <w:tcBorders/>
            <w:shd w:fill="002F56" w:val="clear"/>
            <w:vAlign w:val="center"/>
          </w:tcPr>
          <w:p>
            <w:pPr>
              <w:pStyle w:val="TableContents"/>
              <w:bidi w:val="0"/>
              <w:spacing w:before="0" w:after="283"/>
              <w:jc w:val="left"/>
              <w:rPr>
                <w:spacing w:val="0"/>
              </w:rPr>
            </w:pPr>
            <w:r>
              <w:rPr>
                <w:spacing w:val="0"/>
              </w:rPr>
              <w:t xml:space="preserve">How This Element Promotes </w:t>
              <w:br/>
              <w:t xml:space="preserve">Company Objectives/Positioning vs. </w:t>
              <w:br/>
              <w:t xml:space="preserve">Market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shd w:fill="7F7F7F" w:val="clear"/>
            <w:vAlign w:val="center"/>
          </w:tcPr>
          <w:p>
            <w:pPr>
              <w:pStyle w:val="TableContents"/>
              <w:bidi w:val="0"/>
              <w:spacing w:before="0" w:after="283"/>
              <w:jc w:val="left"/>
              <w:rPr/>
            </w:pPr>
            <w:r>
              <w:rPr/>
              <w:t>​</w:t>
            </w:r>
          </w:p>
        </w:tc>
        <w:tc>
          <w:tcPr>
            <w:tcW w:w="5130" w:type="dxa"/>
            <w:tcBorders/>
            <w:shd w:fill="7F7F7F" w:val="clear"/>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55320" cy="330200"/>
                      <wp:effectExtent l="0" t="0" r="0" b="0"/>
                      <wp:wrapNone/>
                      <wp:docPr id="660" name="Frame396"/>
                      <a:graphic xmlns:a="http://schemas.openxmlformats.org/drawingml/2006/main">
                        <a:graphicData uri="http://schemas.microsoft.com/office/word/2010/wordprocessingShape">
                          <wps:wsp>
                            <wps:cNvSpPr txBox="1"/>
                            <wps:spPr>
                              <a:xfrm>
                                <a:off x="0" y="0"/>
                                <a:ext cx="655320" cy="330200"/>
                              </a:xfrm>
                              <a:prstGeom prst="rect"/>
                              <a:solidFill>
                                <a:srgbClr val="FFFFFF"/>
                              </a:solidFill>
                            </wps:spPr>
                            <wps:txbx>
                              <w:txbxContent>
                                <w:p>
                                  <w:pPr>
                                    <w:pStyle w:val="TextBody"/>
                                    <w:bidi w:val="0"/>
                                    <w:spacing w:before="0" w:after="283"/>
                                    <w:jc w:val="left"/>
                                    <w:rPr>
                                      <w:color w:val="FEFEFE"/>
                                    </w:rPr>
                                  </w:pPr>
                                  <w:r>
                                    <w:rPr>
                                      <w:color w:val="FEFEFE"/>
                                    </w:rPr>
                                    <w:t>◄</w:t>
                                  </w:r>
                                  <w:r>
                                    <w:rPr>
                                      <w:color w:val="FEFEFE"/>
                                      <w:spacing w:val="-1"/>
                                    </w:rPr>
                                    <w:t xml:space="preserve"> </w:t>
                                  </w:r>
                                  <w:r>
                                    <w:rPr>
                                      <w:b w:val="false"/>
                                      <w:color w:val="FEFEFE"/>
                                      <w:spacing w:val="-1"/>
                                      <w:sz w:val="18"/>
                                    </w:rPr>
                                    <w:t xml:space="preserve">FIXED </w:t>
                                  </w:r>
                                  <w:r>
                                    <w:rPr>
                                      <w:b/>
                                      <w:color w:val="FEFEFE"/>
                                      <w:sz w:val="18"/>
                                    </w:rPr>
                                    <w:t>►</w:t>
                                  </w:r>
                                </w:p>
                              </w:txbxContent>
                            </wps:txbx>
                            <wps:bodyPr anchor="t" lIns="0" tIns="0" rIns="0" bIns="0">
                              <a:noAutofit/>
                            </wps:bodyPr>
                          </wps:wsp>
                        </a:graphicData>
                      </a:graphic>
                    </wp:anchor>
                  </w:drawing>
                </mc:Choice>
                <mc:Fallback>
                  <w:pict>
                    <v:rect style="position:absolute;rotation:-0;width:51.6pt;height:2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FEFEFE"/>
                              </w:rPr>
                            </w:pPr>
                            <w:r>
                              <w:rPr>
                                <w:color w:val="FEFEFE"/>
                              </w:rPr>
                              <w:t>◄</w:t>
                            </w:r>
                            <w:r>
                              <w:rPr>
                                <w:color w:val="FEFEFE"/>
                                <w:spacing w:val="-1"/>
                              </w:rPr>
                              <w:t xml:space="preserve"> </w:t>
                            </w:r>
                            <w:r>
                              <w:rPr>
                                <w:b w:val="false"/>
                                <w:color w:val="FEFEFE"/>
                                <w:spacing w:val="-1"/>
                                <w:sz w:val="18"/>
                              </w:rPr>
                              <w:t xml:space="preserve">FIXED </w:t>
                            </w:r>
                            <w:r>
                              <w:rPr>
                                <w:b/>
                                <w:color w:val="FEFEFE"/>
                                <w:sz w:val="18"/>
                              </w:rPr>
                              <w:t>►</w:t>
                            </w:r>
                          </w:p>
                        </w:txbxContent>
                      </v:textbox>
                      <w10:wrap type="none"/>
                    </v:rect>
                  </w:pict>
                </mc:Fallback>
              </mc:AlternateContent>
            </w:r>
          </w:p>
        </w:tc>
        <w:tc>
          <w:tcPr>
            <w:tcW w:w="109" w:type="dxa"/>
            <w:tcBorders/>
            <w:shd w:fill="7F7F7F"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001" w:type="dxa"/>
            <w:tcBorders/>
            <w:shd w:fill="D8D8D8" w:val="clear"/>
            <w:vAlign w:val="center"/>
          </w:tcPr>
          <w:p>
            <w:pPr>
              <w:pStyle w:val="TableContents"/>
              <w:bidi w:val="0"/>
              <w:spacing w:lineRule="atLeast" w:line="177" w:before="0" w:after="0"/>
              <w:jc w:val="left"/>
              <w:rPr>
                <w:b/>
                <w:i/>
              </w:rPr>
            </w:pPr>
            <w:r>
              <w:rPr>
                <w:b/>
                <w:i/>
                <w:spacing w:val="-5"/>
              </w:rPr>
              <w:t>ANNUAL COMPENSATION</w:t>
            </w:r>
            <w:r>
              <w:rPr>
                <w:b/>
                <w:i/>
              </w:rPr>
              <w:t xml:space="preserve"> </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43" w:type="dxa"/>
            </w:tcMar>
            <w:vAlign w:val="center"/>
          </w:tcPr>
          <w:p>
            <w:pPr>
              <w:pStyle w:val="TableContents"/>
              <w:bidi w:val="0"/>
              <w:spacing w:before="0" w:after="0"/>
              <w:jc w:val="left"/>
              <w:rPr>
                <w:b/>
              </w:rPr>
            </w:pPr>
            <w:r>
              <w:rPr>
                <w:b/>
                <w:spacing w:val="-10"/>
              </w:rPr>
              <w:t>BASE SALARY</w:t>
            </w:r>
            <w:r>
              <w:rPr>
                <w:b/>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43" w:type="dxa"/>
            </w:tcMar>
            <w:vAlign w:val="center"/>
          </w:tcPr>
          <w:p>
            <w:pPr>
              <w:pStyle w:val="TableContents"/>
              <w:bidi w:val="0"/>
              <w:spacing w:lineRule="atLeast" w:line="177" w:before="0" w:after="0"/>
              <w:ind w:left="160" w:right="0" w:hanging="0"/>
              <w:jc w:val="left"/>
              <w:rPr/>
            </w:pPr>
            <w:r>
              <w:rPr>
                <w:spacing w:val="-1"/>
              </w:rPr>
              <w:t>Fixed annual compensation that is certain as to payment.</w:t>
            </w:r>
            <w:r>
              <w:rPr/>
              <w:t xml:space="preserve"> </w:t>
            </w:r>
            <w:r>
              <mc:AlternateContent>
                <mc:Choice Requires="wps">
                  <w:drawing>
                    <wp:anchor behindDoc="0" distT="0" distB="0" distL="0" distR="0" simplePos="0" locked="0" layoutInCell="1" allowOverlap="1" relativeHeight="702">
                      <wp:simplePos x="0" y="0"/>
                      <wp:positionH relativeFrom="column">
                        <wp:align>left</wp:align>
                      </wp:positionH>
                      <wp:positionV relativeFrom="line">
                        <wp:posOffset>635</wp:posOffset>
                      </wp:positionV>
                      <wp:extent cx="101600" cy="350520"/>
                      <wp:effectExtent l="0" t="0" r="0" b="0"/>
                      <wp:wrapSquare wrapText="right"/>
                      <wp:docPr id="661" name="Frame3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7" w:before="40" w:after="0"/>
              <w:ind w:left="160" w:right="0" w:hanging="0"/>
              <w:jc w:val="left"/>
              <w:rPr>
                <w:spacing w:val="-1"/>
              </w:rPr>
            </w:pPr>
            <w:r>
              <w:rPr>
                <w:spacing w:val="-1"/>
              </w:rPr>
              <w:t xml:space="preserve">Provides continuous income to meet ongoing living costs. </w:t>
            </w:r>
            <w:r>
              <mc:AlternateContent>
                <mc:Choice Requires="wps">
                  <w:drawing>
                    <wp:anchor behindDoc="0" distT="25400" distB="0" distL="0" distR="0" simplePos="0" locked="0" layoutInCell="1" allowOverlap="1" relativeHeight="703">
                      <wp:simplePos x="0" y="0"/>
                      <wp:positionH relativeFrom="column">
                        <wp:align>left</wp:align>
                      </wp:positionH>
                      <wp:positionV relativeFrom="line">
                        <wp:align>top</wp:align>
                      </wp:positionV>
                      <wp:extent cx="101600" cy="350520"/>
                      <wp:effectExtent l="0" t="0" r="0" b="0"/>
                      <wp:wrapSquare wrapText="right"/>
                      <wp:docPr id="662" name="Frame3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43" w:type="dxa"/>
            </w:tcMar>
            <w:vAlign w:val="center"/>
          </w:tcPr>
          <w:p>
            <w:pPr>
              <w:pStyle w:val="TableContents"/>
              <w:bidi w:val="0"/>
              <w:spacing w:lineRule="atLeast" w:line="177" w:before="0" w:after="0"/>
              <w:ind w:left="160" w:right="0" w:hanging="0"/>
              <w:jc w:val="left"/>
              <w:rPr>
                <w:spacing w:val="-1"/>
              </w:rPr>
            </w:pPr>
            <w:r>
              <w:rPr>
                <w:spacing w:val="-1"/>
              </w:rPr>
              <w:t xml:space="preserve">Intended to be competitive with marketplace, to aid in recruitment and retention. </w:t>
            </w:r>
            <w:r>
              <mc:AlternateContent>
                <mc:Choice Requires="wps">
                  <w:drawing>
                    <wp:anchor behindDoc="0" distT="0" distB="0" distL="0" distR="0" simplePos="0" locked="0" layoutInCell="1" allowOverlap="1" relativeHeight="704">
                      <wp:simplePos x="0" y="0"/>
                      <wp:positionH relativeFrom="column">
                        <wp:align>left</wp:align>
                      </wp:positionH>
                      <wp:positionV relativeFrom="line">
                        <wp:posOffset>635</wp:posOffset>
                      </wp:positionV>
                      <wp:extent cx="101600" cy="350520"/>
                      <wp:effectExtent l="0" t="0" r="0" b="0"/>
                      <wp:wrapSquare wrapText="right"/>
                      <wp:docPr id="663" name="Frame3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5130" w:type="dxa"/>
            <w:vMerge w:val="restart"/>
            <w:tcBorders>
              <w:bottom w:val="single" w:sz="2" w:space="0" w:color="FEFEFE"/>
            </w:tcBorders>
            <w:shd w:fill="71B1C8" w:val="clear"/>
            <w:tcMar>
              <w:bottom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792730" cy="330200"/>
                      <wp:effectExtent l="0" t="0" r="0" b="0"/>
                      <wp:wrapNone/>
                      <wp:docPr id="664" name="Frame400"/>
                      <a:graphic xmlns:a="http://schemas.openxmlformats.org/drawingml/2006/main">
                        <a:graphicData uri="http://schemas.microsoft.com/office/word/2010/wordprocessingShape">
                          <wps:wsp>
                            <wps:cNvSpPr txBox="1"/>
                            <wps:spPr>
                              <a:xfrm>
                                <a:off x="0" y="0"/>
                                <a:ext cx="2792730" cy="330200"/>
                              </a:xfrm>
                              <a:prstGeom prst="rect"/>
                              <a:solidFill>
                                <a:srgbClr val="FFFFFF"/>
                              </a:solidFill>
                            </wps:spPr>
                            <wps:txbx>
                              <w:txbxContent>
                                <w:p>
                                  <w:pPr>
                                    <w:pStyle w:val="TextBody"/>
                                    <w:bidi w:val="0"/>
                                    <w:spacing w:before="0" w:after="283"/>
                                    <w:jc w:val="left"/>
                                    <w:rPr>
                                      <w:color w:val="FEFEFE"/>
                                    </w:rPr>
                                  </w:pPr>
                                  <w:r>
                                    <w:rPr>
                                      <w:color w:val="FEFEFE"/>
                                    </w:rPr>
                                    <w:t>◄</w:t>
                                  </w:r>
                                  <w:r>
                                    <w:rPr>
                                      <w:color w:val="FEFEFE"/>
                                      <w:spacing w:val="-1"/>
                                    </w:rPr>
                                    <w:t xml:space="preserve"> </w:t>
                                  </w:r>
                                  <w:r>
                                    <w:rPr>
                                      <w:b w:val="false"/>
                                      <w:color w:val="FEFEFE"/>
                                      <w:spacing w:val="-1"/>
                                      <w:sz w:val="18"/>
                                    </w:rPr>
                                    <w:t xml:space="preserve">AT-RISK / VARIABLE </w:t>
                                  </w:r>
                                  <w:r>
                                    <w:rPr>
                                      <w:b/>
                                      <w:color w:val="FEFEFE"/>
                                      <w:sz w:val="18"/>
                                    </w:rPr>
                                    <w:t>►</w:t>
                                  </w:r>
                                </w:p>
                              </w:txbxContent>
                            </wps:txbx>
                            <wps:bodyPr anchor="t" lIns="0" tIns="0" rIns="0" bIns="0">
                              <a:noAutofit/>
                            </wps:bodyPr>
                          </wps:wsp>
                        </a:graphicData>
                      </a:graphic>
                    </wp:anchor>
                  </w:drawing>
                </mc:Choice>
                <mc:Fallback>
                  <w:pict>
                    <v:rect style="position:absolute;rotation:-0;width:219.9pt;height:2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FEFEFE"/>
                              </w:rPr>
                            </w:pPr>
                            <w:r>
                              <w:rPr>
                                <w:color w:val="FEFEFE"/>
                              </w:rPr>
                              <w:t>◄</w:t>
                            </w:r>
                            <w:r>
                              <w:rPr>
                                <w:color w:val="FEFEFE"/>
                                <w:spacing w:val="-1"/>
                              </w:rPr>
                              <w:t xml:space="preserve"> </w:t>
                            </w:r>
                            <w:r>
                              <w:rPr>
                                <w:b w:val="false"/>
                                <w:color w:val="FEFEFE"/>
                                <w:spacing w:val="-1"/>
                                <w:sz w:val="18"/>
                              </w:rPr>
                              <w:t xml:space="preserve">AT-RISK / VARIABLE </w:t>
                            </w:r>
                            <w:r>
                              <w:rPr>
                                <w:b/>
                                <w:color w:val="FEFEFE"/>
                                <w:sz w:val="18"/>
                              </w:rPr>
                              <w:t>►</w:t>
                            </w:r>
                          </w:p>
                        </w:txbxContent>
                      </v:textbox>
                      <w10:wrap type="none"/>
                    </v:rect>
                  </w:pict>
                </mc:Fallback>
              </mc:AlternateContent>
            </w:r>
          </w:p>
        </w:tc>
        <w:tc>
          <w:tcPr>
            <w:tcW w:w="109" w:type="dxa"/>
            <w:vMerge w:val="restart"/>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shd w:fill="D8D8D8" w:val="clear"/>
            <w:tcMar>
              <w:bottom w:w="28" w:type="dxa"/>
            </w:tcMar>
            <w:vAlign w:val="center"/>
          </w:tcPr>
          <w:p>
            <w:pPr>
              <w:pStyle w:val="TableContents"/>
              <w:bidi w:val="0"/>
              <w:spacing w:before="0" w:after="283"/>
              <w:jc w:val="left"/>
              <w:rPr/>
            </w:pPr>
            <w:r>
              <w:rPr/>
              <w:t>​</w:t>
            </w:r>
          </w:p>
        </w:tc>
        <w:tc>
          <w:tcPr>
            <w:tcW w:w="2001" w:type="dxa"/>
            <w:tcBorders>
              <w:bottom w:val="single" w:sz="2" w:space="0" w:color="002F56"/>
            </w:tcBorders>
            <w:shd w:fill="D8D8D8" w:val="clear"/>
            <w:tcMar>
              <w:bottom w:w="43" w:type="dxa"/>
            </w:tcMar>
            <w:vAlign w:val="center"/>
          </w:tcPr>
          <w:p>
            <w:pPr>
              <w:pStyle w:val="TableContents"/>
              <w:bidi w:val="0"/>
              <w:spacing w:before="0" w:after="283"/>
              <w:jc w:val="left"/>
              <w:rPr/>
            </w:pPr>
            <w:r>
              <w:rPr/>
              <w:t>​</w:t>
            </w:r>
          </w:p>
        </w:tc>
        <w:tc>
          <w:tcPr>
            <w:tcW w:w="109" w:type="dxa"/>
            <w:tcBorders>
              <w:bottom w:val="single" w:sz="2" w:space="0" w:color="002F56"/>
            </w:tcBorders>
            <w:shd w:fill="D8D8D8" w:val="clear"/>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2094" w:type="dxa"/>
            <w:tcBorders>
              <w:bottom w:val="single" w:sz="2" w:space="0" w:color="002F56"/>
            </w:tcBorders>
            <w:tcMar>
              <w:bottom w:w="43" w:type="dxa"/>
            </w:tcMar>
            <w:vAlign w:val="center"/>
          </w:tcPr>
          <w:p>
            <w:pPr>
              <w:pStyle w:val="TableContents"/>
              <w:bidi w:val="0"/>
              <w:spacing w:lineRule="atLeast" w:line="177" w:before="0" w:after="0"/>
              <w:jc w:val="left"/>
              <w:rPr>
                <w:b/>
              </w:rPr>
            </w:pPr>
            <w:r>
              <w:rPr>
                <w:b/>
                <w:spacing w:val="-10"/>
              </w:rPr>
              <w:t>ANNUAL INCENTIVE PLAN</w:t>
            </w:r>
            <w:r>
              <w:rPr>
                <w:b/>
              </w:rPr>
              <w:t xml:space="preserve">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890" w:type="dxa"/>
            <w:tcBorders>
              <w:bottom w:val="single" w:sz="2" w:space="0" w:color="002F56"/>
            </w:tcBorders>
            <w:tcMar>
              <w:bottom w:w="43" w:type="dxa"/>
            </w:tcMar>
            <w:vAlign w:val="center"/>
          </w:tcPr>
          <w:p>
            <w:pPr>
              <w:pStyle w:val="TableContents"/>
              <w:bidi w:val="0"/>
              <w:spacing w:lineRule="atLeast" w:line="177" w:before="0" w:after="0"/>
              <w:ind w:left="160" w:right="0" w:hanging="0"/>
              <w:jc w:val="left"/>
              <w:rPr>
                <w:spacing w:val="-1"/>
              </w:rPr>
            </w:pPr>
            <w:r>
              <w:rPr>
                <w:spacing w:val="-1"/>
              </w:rPr>
              <w:t xml:space="preserve">Offers opportunity to earn performance-based compensation for achieving pre-set annual goals. </w:t>
            </w:r>
            <w:r>
              <mc:AlternateContent>
                <mc:Choice Requires="wps">
                  <w:drawing>
                    <wp:anchor behindDoc="0" distT="0" distB="0" distL="0" distR="0" simplePos="0" locked="0" layoutInCell="1" allowOverlap="1" relativeHeight="706">
                      <wp:simplePos x="0" y="0"/>
                      <wp:positionH relativeFrom="column">
                        <wp:align>left</wp:align>
                      </wp:positionH>
                      <wp:positionV relativeFrom="line">
                        <wp:posOffset>635</wp:posOffset>
                      </wp:positionV>
                      <wp:extent cx="101600" cy="350520"/>
                      <wp:effectExtent l="0" t="0" r="0" b="0"/>
                      <wp:wrapSquare wrapText="right"/>
                      <wp:docPr id="665" name="Frame4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474" w:type="dxa"/>
            <w:tcBorders>
              <w:bottom w:val="single" w:sz="2" w:space="0" w:color="002F56"/>
            </w:tcBorders>
            <w:tcMar>
              <w:bottom w:w="43" w:type="dxa"/>
            </w:tcMar>
            <w:vAlign w:val="center"/>
          </w:tcPr>
          <w:p>
            <w:pPr>
              <w:pStyle w:val="TableContents"/>
              <w:bidi w:val="0"/>
              <w:spacing w:lineRule="atLeast" w:line="177" w:before="0" w:after="0"/>
              <w:ind w:left="160" w:right="0" w:hanging="0"/>
              <w:jc w:val="left"/>
              <w:rPr>
                <w:spacing w:val="-1"/>
              </w:rPr>
            </w:pPr>
            <w:r>
              <w:rPr>
                <w:spacing w:val="-1"/>
              </w:rPr>
              <w:t xml:space="preserve">Motivate and reward achievement of corporate objectives. </w:t>
            </w:r>
            <w:r>
              <mc:AlternateContent>
                <mc:Choice Requires="wps">
                  <w:drawing>
                    <wp:anchor behindDoc="0" distT="0" distB="0" distL="0" distR="0" simplePos="0" locked="0" layoutInCell="1" allowOverlap="1" relativeHeight="707">
                      <wp:simplePos x="0" y="0"/>
                      <wp:positionH relativeFrom="column">
                        <wp:align>left</wp:align>
                      </wp:positionH>
                      <wp:positionV relativeFrom="line">
                        <wp:posOffset>635</wp:posOffset>
                      </wp:positionV>
                      <wp:extent cx="101600" cy="350520"/>
                      <wp:effectExtent l="0" t="0" r="0" b="0"/>
                      <wp:wrapSquare wrapText="right"/>
                      <wp:docPr id="666" name="Frame4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02F5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5130"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109"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109" w:type="dxa"/>
            <w:vMerge w:val="restart"/>
            <w:tcBorders>
              <w:bottom w:val="single" w:sz="2" w:space="0" w:color="002F56"/>
            </w:tcBorders>
            <w:shd w:fill="EAF3F7" w:val="clear"/>
            <w:tcMar>
              <w:bottom w:w="28" w:type="dxa"/>
            </w:tcMar>
            <w:vAlign w:val="center"/>
          </w:tcPr>
          <w:p>
            <w:pPr>
              <w:pStyle w:val="TableContents"/>
              <w:bidi w:val="0"/>
              <w:spacing w:before="0" w:after="283"/>
              <w:jc w:val="left"/>
              <w:rPr/>
            </w:pPr>
            <w:r>
              <w:rPr/>
              <w:t>​</w:t>
            </w:r>
          </w:p>
        </w:tc>
        <w:tc>
          <w:tcPr>
            <w:tcW w:w="2001" w:type="dxa"/>
            <w:vMerge w:val="restart"/>
            <w:tcBorders>
              <w:bottom w:val="single" w:sz="2" w:space="0" w:color="002F56"/>
            </w:tcBorders>
            <w:shd w:fill="EAF3F7" w:val="clear"/>
            <w:tcMar>
              <w:bottom w:w="28" w:type="dxa"/>
            </w:tcMar>
            <w:vAlign w:val="center"/>
          </w:tcPr>
          <w:p>
            <w:pPr>
              <w:pStyle w:val="TableContents"/>
              <w:bidi w:val="0"/>
              <w:spacing w:lineRule="atLeast" w:line="177" w:before="0" w:after="0"/>
              <w:jc w:val="left"/>
              <w:rPr>
                <w:b/>
                <w:i/>
              </w:rPr>
            </w:pPr>
            <w:r>
              <w:rPr>
                <w:b/>
                <w:i/>
                <w:spacing w:val="-5"/>
              </w:rPr>
              <w:t>LONG-TERM COMPENSATION</w:t>
            </w:r>
            <w:r>
              <w:rPr>
                <w:b/>
                <w:i/>
              </w:rPr>
              <w:t xml:space="preserve"> </w:t>
            </w:r>
          </w:p>
          <w:p>
            <w:pPr>
              <w:pStyle w:val="TableContents"/>
              <w:bidi w:val="0"/>
              <w:spacing w:before="498" w:after="283"/>
              <w:jc w:val="left"/>
              <w:rPr/>
            </w:pPr>
            <w:r>
              <w:rPr/>
              <w:drawing>
                <wp:inline distT="0" distB="0" distL="0" distR="0">
                  <wp:extent cx="800100" cy="847725"/>
                  <wp:effectExtent l="0" t="0" r="0" b="0"/>
                  <wp:docPr id="66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254" descr=""/>
                          <pic:cNvPicPr>
                            <a:picLocks noChangeAspect="1" noChangeArrowheads="1"/>
                          </pic:cNvPicPr>
                        </pic:nvPicPr>
                        <pic:blipFill>
                          <a:blip r:embed="rId266"/>
                          <a:stretch>
                            <a:fillRect/>
                          </a:stretch>
                        </pic:blipFill>
                        <pic:spPr bwMode="auto">
                          <a:xfrm>
                            <a:off x="0" y="0"/>
                            <a:ext cx="800100" cy="847725"/>
                          </a:xfrm>
                          <a:prstGeom prst="rect">
                            <a:avLst/>
                          </a:prstGeom>
                        </pic:spPr>
                      </pic:pic>
                    </a:graphicData>
                  </a:graphic>
                </wp:inline>
              </w:drawing>
            </w:r>
            <w:r>
              <w:rPr/>
              <w:t xml:space="preserve"> </w:t>
            </w:r>
          </w:p>
        </w:tc>
        <w:tc>
          <w:tcPr>
            <w:tcW w:w="109" w:type="dxa"/>
            <w:vMerge w:val="restart"/>
            <w:tcBorders>
              <w:bottom w:val="single" w:sz="2" w:space="0" w:color="002F56"/>
            </w:tcBorders>
            <w:shd w:fill="EAF3F7"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28" w:type="dxa"/>
            </w:tcMar>
            <w:vAlign w:val="center"/>
          </w:tcPr>
          <w:p>
            <w:pPr>
              <w:pStyle w:val="TableContents"/>
              <w:bidi w:val="0"/>
              <w:spacing w:lineRule="atLeast" w:line="177" w:before="0" w:after="0"/>
              <w:jc w:val="left"/>
              <w:rPr/>
            </w:pPr>
            <w:r>
              <w:rPr>
                <w:b/>
                <w:spacing w:val="-10"/>
              </w:rPr>
              <w:t>PERFORMANCE UNITS</w:t>
            </w:r>
            <w:r>
              <w:rPr/>
              <w:t xml:space="preserve"> </w:t>
              <w:br/>
            </w:r>
            <w:r>
              <w:rPr>
                <w:b/>
                <w:spacing w:val="-2"/>
              </w:rPr>
              <w:t>50%</w:t>
            </w:r>
            <w:r>
              <w:rPr>
                <w:spacing w:val="-1"/>
              </w:rPr>
              <w:t xml:space="preserve"> of Total Long-Term Compensation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Units pay out cash based on three-year performance goals. </w:t>
            </w:r>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101600" cy="350520"/>
                      <wp:effectExtent l="0" t="0" r="0" b="0"/>
                      <wp:wrapSquare wrapText="right"/>
                      <wp:docPr id="668" name="Frame4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Units earned based on performance metrics that are believed to be key to achieving success in the Company’s strategies. </w:t>
            </w:r>
            <w:r>
              <mc:AlternateContent>
                <mc:Choice Requires="wps">
                  <w:drawing>
                    <wp:anchor behindDoc="0" distT="0" distB="0" distL="0" distR="0" simplePos="0" locked="0" layoutInCell="1" allowOverlap="1" relativeHeight="709">
                      <wp:simplePos x="0" y="0"/>
                      <wp:positionH relativeFrom="column">
                        <wp:align>left</wp:align>
                      </wp:positionH>
                      <wp:positionV relativeFrom="line">
                        <wp:posOffset>635</wp:posOffset>
                      </wp:positionV>
                      <wp:extent cx="101600" cy="350520"/>
                      <wp:effectExtent l="0" t="0" r="0" b="0"/>
                      <wp:wrapSquare wrapText="right"/>
                      <wp:docPr id="669" name="Frame4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5130"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109"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109" w:type="dxa"/>
            <w:vMerge w:val="continue"/>
            <w:tcBorders>
              <w:bottom w:val="single" w:sz="2" w:space="0" w:color="002F56"/>
            </w:tcBorders>
            <w:shd w:fill="EAF3F7" w:val="clear"/>
            <w:tcMar>
              <w:bottom w:w="28" w:type="dxa"/>
            </w:tcMar>
            <w:vAlign w:val="center"/>
          </w:tcPr>
          <w:p>
            <w:pPr>
              <w:pStyle w:val="Normal"/>
              <w:bidi w:val="0"/>
              <w:jc w:val="left"/>
              <w:rPr/>
            </w:pPr>
            <w:r>
              <w:rPr/>
            </w:r>
          </w:p>
        </w:tc>
        <w:tc>
          <w:tcPr>
            <w:tcW w:w="2001" w:type="dxa"/>
            <w:vMerge w:val="continue"/>
            <w:tcBorders>
              <w:bottom w:val="single" w:sz="2" w:space="0" w:color="002F56"/>
            </w:tcBorders>
            <w:shd w:fill="EAF3F7" w:val="clear"/>
            <w:tcMar>
              <w:bottom w:w="28" w:type="dxa"/>
            </w:tcMar>
            <w:vAlign w:val="center"/>
          </w:tcPr>
          <w:p>
            <w:pPr>
              <w:pStyle w:val="Normal"/>
              <w:bidi w:val="0"/>
              <w:jc w:val="left"/>
              <w:rPr/>
            </w:pPr>
            <w:r>
              <w:rPr/>
            </w:r>
          </w:p>
        </w:tc>
        <w:tc>
          <w:tcPr>
            <w:tcW w:w="109" w:type="dxa"/>
            <w:vMerge w:val="continue"/>
            <w:tcBorders>
              <w:bottom w:val="single" w:sz="2" w:space="0" w:color="002F56"/>
            </w:tcBorders>
            <w:shd w:fill="EAF3F7" w:val="clear"/>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28" w:type="dxa"/>
            </w:tcMar>
            <w:vAlign w:val="center"/>
          </w:tcPr>
          <w:p>
            <w:pPr>
              <w:pStyle w:val="TableContents"/>
              <w:bidi w:val="0"/>
              <w:spacing w:before="0" w:after="283"/>
              <w:jc w:val="left"/>
              <w:rPr/>
            </w:pPr>
            <w:r>
              <w:rPr>
                <w:b/>
                <w:spacing w:val="-5"/>
              </w:rPr>
              <w:t>DRSUs</w:t>
            </w:r>
            <w:r>
              <w:rPr/>
              <w:t xml:space="preserve"> </w:t>
              <w:br/>
            </w:r>
            <w:r>
              <w:rPr>
                <w:b/>
                <w:spacing w:val="-2"/>
              </w:rPr>
              <w:t>40%</w:t>
            </w:r>
            <w:r>
              <w:rPr>
                <w:spacing w:val="-1"/>
              </w:rPr>
              <w:t xml:space="preserve"> of Total Long-Term Compensation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Full value grant of stock units typically with ratable vesting over three years. </w:t>
            </w:r>
            <w:r>
              <mc:AlternateContent>
                <mc:Choice Requires="wps">
                  <w:drawing>
                    <wp:anchor behindDoc="0" distT="0" distB="0" distL="0" distR="0" simplePos="0" locked="0" layoutInCell="1" allowOverlap="1" relativeHeight="710">
                      <wp:simplePos x="0" y="0"/>
                      <wp:positionH relativeFrom="column">
                        <wp:align>left</wp:align>
                      </wp:positionH>
                      <wp:positionV relativeFrom="line">
                        <wp:posOffset>635</wp:posOffset>
                      </wp:positionV>
                      <wp:extent cx="101600" cy="350520"/>
                      <wp:effectExtent l="0" t="0" r="0" b="0"/>
                      <wp:wrapSquare wrapText="right"/>
                      <wp:docPr id="670" name="Frame4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pPr>
            <w:r>
              <w:rPr>
                <w:spacing w:val="-1"/>
              </w:rPr>
              <w:t>Intended to increase long-term equity ownership and to focus executives on providing shareholders with superior investment returns.</w:t>
            </w:r>
            <w:r>
              <w:rPr/>
              <w:t xml:space="preserve"> </w:t>
            </w:r>
            <w:r>
              <mc:AlternateContent>
                <mc:Choice Requires="wps">
                  <w:drawing>
                    <wp:anchor behindDoc="0" distT="0" distB="0" distL="0" distR="0" simplePos="0" locked="0" layoutInCell="1" allowOverlap="1" relativeHeight="711">
                      <wp:simplePos x="0" y="0"/>
                      <wp:positionH relativeFrom="column">
                        <wp:align>left</wp:align>
                      </wp:positionH>
                      <wp:positionV relativeFrom="line">
                        <wp:posOffset>635</wp:posOffset>
                      </wp:positionV>
                      <wp:extent cx="101600" cy="350520"/>
                      <wp:effectExtent l="0" t="0" r="0" b="0"/>
                      <wp:wrapSquare wrapText="right"/>
                      <wp:docPr id="671" name="Frame4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7" w:before="40" w:after="0"/>
              <w:ind w:left="160" w:right="0" w:hanging="0"/>
              <w:jc w:val="left"/>
              <w:rPr>
                <w:spacing w:val="-1"/>
              </w:rPr>
            </w:pPr>
            <w:r>
              <w:rPr>
                <w:spacing w:val="-1"/>
              </w:rPr>
              <w:t xml:space="preserve">Vesting terms and holding requirements promote retention and a strong linkage to the long-term interests of shareholders. </w:t>
            </w:r>
            <w:r>
              <mc:AlternateContent>
                <mc:Choice Requires="wps">
                  <w:drawing>
                    <wp:anchor behindDoc="0" distT="25400" distB="0" distL="0" distR="0" simplePos="0" locked="0" layoutInCell="1" allowOverlap="1" relativeHeight="712">
                      <wp:simplePos x="0" y="0"/>
                      <wp:positionH relativeFrom="column">
                        <wp:align>left</wp:align>
                      </wp:positionH>
                      <wp:positionV relativeFrom="line">
                        <wp:align>top</wp:align>
                      </wp:positionV>
                      <wp:extent cx="101600" cy="350520"/>
                      <wp:effectExtent l="0" t="0" r="0" b="0"/>
                      <wp:wrapSquare wrapText="right"/>
                      <wp:docPr id="672" name="Frame4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5130"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109" w:type="dxa"/>
            <w:vMerge w:val="continue"/>
            <w:tcBorders>
              <w:bottom w:val="single" w:sz="2" w:space="0" w:color="FEFEFE"/>
            </w:tcBorders>
            <w:shd w:fill="71B1C8" w:val="clear"/>
            <w:tcMar>
              <w:bottom w:w="28" w:type="dxa"/>
            </w:tcMar>
            <w:vAlign w:val="center"/>
          </w:tcPr>
          <w:p>
            <w:pPr>
              <w:pStyle w:val="Normal"/>
              <w:bidi w:val="0"/>
              <w:jc w:val="left"/>
              <w:rPr/>
            </w:pPr>
            <w:r>
              <w:rPr/>
            </w:r>
          </w:p>
        </w:tc>
        <w:tc>
          <w:tcPr>
            <w:tcW w:w="109" w:type="dxa"/>
            <w:vMerge w:val="continue"/>
            <w:tcBorders>
              <w:bottom w:val="single" w:sz="2" w:space="0" w:color="002F56"/>
            </w:tcBorders>
            <w:shd w:fill="EAF3F7" w:val="clear"/>
            <w:tcMar>
              <w:bottom w:w="28" w:type="dxa"/>
            </w:tcMar>
            <w:vAlign w:val="center"/>
          </w:tcPr>
          <w:p>
            <w:pPr>
              <w:pStyle w:val="Normal"/>
              <w:bidi w:val="0"/>
              <w:jc w:val="left"/>
              <w:rPr/>
            </w:pPr>
            <w:r>
              <w:rPr/>
            </w:r>
          </w:p>
        </w:tc>
        <w:tc>
          <w:tcPr>
            <w:tcW w:w="2001" w:type="dxa"/>
            <w:vMerge w:val="continue"/>
            <w:tcBorders>
              <w:bottom w:val="single" w:sz="2" w:space="0" w:color="002F56"/>
            </w:tcBorders>
            <w:shd w:fill="EAF3F7" w:val="clear"/>
            <w:tcMar>
              <w:bottom w:w="28" w:type="dxa"/>
            </w:tcMar>
            <w:vAlign w:val="center"/>
          </w:tcPr>
          <w:p>
            <w:pPr>
              <w:pStyle w:val="Normal"/>
              <w:bidi w:val="0"/>
              <w:jc w:val="left"/>
              <w:rPr/>
            </w:pPr>
            <w:r>
              <w:rPr/>
            </w:r>
          </w:p>
        </w:tc>
        <w:tc>
          <w:tcPr>
            <w:tcW w:w="109" w:type="dxa"/>
            <w:vMerge w:val="continue"/>
            <w:tcBorders>
              <w:bottom w:val="single" w:sz="2" w:space="0" w:color="002F56"/>
            </w:tcBorders>
            <w:shd w:fill="EAF3F7" w:val="clear"/>
            <w:tcMar>
              <w:bottom w:w="28" w:type="dxa"/>
            </w:tcMar>
            <w:vAlign w:val="center"/>
          </w:tcPr>
          <w:p>
            <w:pPr>
              <w:pStyle w:val="Normal"/>
              <w:bidi w:val="0"/>
              <w:jc w:val="left"/>
              <w:rPr/>
            </w:pPr>
            <w:r>
              <w:rPr/>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2094" w:type="dxa"/>
            <w:tcBorders>
              <w:bottom w:val="single" w:sz="2" w:space="0" w:color="002F56"/>
            </w:tcBorders>
            <w:tcMar>
              <w:bottom w:w="50" w:type="dxa"/>
            </w:tcMar>
            <w:vAlign w:val="center"/>
          </w:tcPr>
          <w:p>
            <w:pPr>
              <w:pStyle w:val="TableContents"/>
              <w:bidi w:val="0"/>
              <w:spacing w:before="0" w:after="283"/>
              <w:jc w:val="left"/>
              <w:rPr/>
            </w:pPr>
            <w:r>
              <w:rPr>
                <w:b/>
                <w:spacing w:val="-2"/>
              </w:rPr>
              <w:t>STOCK OPTIONS</w:t>
            </w:r>
            <w:r>
              <w:rPr>
                <w:spacing w:val="-1"/>
              </w:rPr>
              <w:t xml:space="preserve"> </w:t>
            </w:r>
            <w:r>
              <w:rPr/>
              <w:br/>
            </w:r>
            <w:r>
              <w:rPr>
                <w:b/>
                <w:spacing w:val="-2"/>
              </w:rPr>
              <w:t>10%</w:t>
            </w:r>
            <w:r>
              <w:rPr>
                <w:spacing w:val="-1"/>
              </w:rPr>
              <w:t xml:space="preserve"> of Total Long-Term Compensation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890" w:type="dxa"/>
            <w:tcBorders>
              <w:bottom w:val="single" w:sz="2" w:space="0" w:color="002F56"/>
            </w:tcBorders>
            <w:tcMar>
              <w:bottom w:w="50" w:type="dxa"/>
            </w:tcMar>
            <w:vAlign w:val="center"/>
          </w:tcPr>
          <w:p>
            <w:pPr>
              <w:pStyle w:val="TableContents"/>
              <w:bidi w:val="0"/>
              <w:spacing w:lineRule="atLeast" w:line="177" w:before="0" w:after="0"/>
              <w:ind w:left="160" w:right="0" w:hanging="0"/>
              <w:jc w:val="left"/>
              <w:rPr>
                <w:spacing w:val="-1"/>
              </w:rPr>
            </w:pPr>
            <w:r>
              <w:rPr>
                <w:spacing w:val="-1"/>
              </w:rPr>
              <w:t xml:space="preserve">Stock options granted at fair market value on date of grant typically with ratable vesting over three years. </w:t>
            </w:r>
            <w:r>
              <mc:AlternateContent>
                <mc:Choice Requires="wps">
                  <w:drawing>
                    <wp:anchor behindDoc="0" distT="0" distB="0" distL="0" distR="0" simplePos="0" locked="0" layoutInCell="1" allowOverlap="1" relativeHeight="713">
                      <wp:simplePos x="0" y="0"/>
                      <wp:positionH relativeFrom="column">
                        <wp:align>left</wp:align>
                      </wp:positionH>
                      <wp:positionV relativeFrom="line">
                        <wp:posOffset>635</wp:posOffset>
                      </wp:positionV>
                      <wp:extent cx="101600" cy="350520"/>
                      <wp:effectExtent l="0" t="0" r="0" b="0"/>
                      <wp:wrapSquare wrapText="right"/>
                      <wp:docPr id="673" name="Frame4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474" w:type="dxa"/>
            <w:tcBorders>
              <w:bottom w:val="single" w:sz="2" w:space="0" w:color="002F56"/>
            </w:tcBorders>
            <w:tcMar>
              <w:bottom w:w="50" w:type="dxa"/>
            </w:tcMar>
            <w:vAlign w:val="center"/>
          </w:tcPr>
          <w:p>
            <w:pPr>
              <w:pStyle w:val="TableContents"/>
              <w:bidi w:val="0"/>
              <w:spacing w:lineRule="atLeast" w:line="177" w:before="0" w:after="0"/>
              <w:ind w:left="160" w:right="0" w:hanging="0"/>
              <w:jc w:val="left"/>
              <w:rPr/>
            </w:pPr>
            <w:r>
              <w:rPr>
                <w:spacing w:val="-1"/>
              </w:rPr>
              <w:t>More highly leveraged risk and reward alignment with shareholder value.</w:t>
            </w:r>
            <w:r>
              <w:rPr/>
              <w:t xml:space="preserve"> </w:t>
            </w:r>
            <w:r>
              <mc:AlternateContent>
                <mc:Choice Requires="wps">
                  <w:drawing>
                    <wp:anchor behindDoc="0" distT="0" distB="0" distL="0" distR="0" simplePos="0" locked="0" layoutInCell="1" allowOverlap="1" relativeHeight="714">
                      <wp:simplePos x="0" y="0"/>
                      <wp:positionH relativeFrom="column">
                        <wp:align>left</wp:align>
                      </wp:positionH>
                      <wp:positionV relativeFrom="line">
                        <wp:posOffset>635</wp:posOffset>
                      </wp:positionV>
                      <wp:extent cx="101600" cy="350520"/>
                      <wp:effectExtent l="0" t="0" r="0" b="0"/>
                      <wp:wrapSquare wrapText="right"/>
                      <wp:docPr id="674" name="Frame4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7" w:before="40" w:after="0"/>
              <w:ind w:left="160" w:right="0" w:hanging="0"/>
              <w:jc w:val="left"/>
              <w:rPr>
                <w:spacing w:val="-1"/>
              </w:rPr>
            </w:pPr>
            <w:r>
              <w:rPr>
                <w:spacing w:val="-1"/>
              </w:rPr>
              <w:t xml:space="preserve">Vesting terms and holding requirements promote retention and a strong linkage to the long-term interests of shareholders. </w:t>
            </w:r>
            <w:r>
              <mc:AlternateContent>
                <mc:Choice Requires="wps">
                  <w:drawing>
                    <wp:anchor behindDoc="0" distT="25400" distB="0" distL="0" distR="0" simplePos="0" locked="0" layoutInCell="1" allowOverlap="1" relativeHeight="715">
                      <wp:simplePos x="0" y="0"/>
                      <wp:positionH relativeFrom="column">
                        <wp:align>left</wp:align>
                      </wp:positionH>
                      <wp:positionV relativeFrom="line">
                        <wp:align>top</wp:align>
                      </wp:positionV>
                      <wp:extent cx="101600" cy="350520"/>
                      <wp:effectExtent l="0" t="0" r="0" b="0"/>
                      <wp:wrapSquare wrapText="right"/>
                      <wp:docPr id="675" name="Frame4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02F56"/>
            </w:tcBorders>
            <w:tcMar>
              <w:bottom w:w="28" w:type="dxa"/>
            </w:tcMar>
            <w:vAlign w:val="center"/>
          </w:tcPr>
          <w:p>
            <w:pPr>
              <w:pStyle w:val="TableContents"/>
              <w:bidi w:val="0"/>
              <w:spacing w:before="0" w:after="283"/>
              <w:jc w:val="left"/>
              <w:rPr/>
            </w:pPr>
            <w:r>
              <w:rPr/>
              <w:t>​</w:t>
            </w:r>
          </w:p>
        </w:tc>
      </w:tr>
      <w:tr>
        <w:trPr/>
        <w:tc>
          <w:tcPr>
            <w:tcW w:w="124" w:type="dxa"/>
            <w:vMerge w:val="restart"/>
            <w:tcBorders>
              <w:bottom w:val="single" w:sz="12" w:space="0" w:color="71B1C8"/>
            </w:tcBorders>
            <w:shd w:fill="002F56" w:val="clear"/>
            <w:tcMar>
              <w:bottom w:w="28" w:type="dxa"/>
            </w:tcMar>
            <w:vAlign w:val="center"/>
          </w:tcPr>
          <w:p>
            <w:pPr>
              <w:pStyle w:val="TableContents"/>
              <w:bidi w:val="0"/>
              <w:spacing w:before="0" w:after="283"/>
              <w:jc w:val="left"/>
              <w:rPr/>
            </w:pPr>
            <w:r>
              <w:rPr/>
              <w:t>​</w:t>
            </w:r>
          </w:p>
        </w:tc>
        <w:tc>
          <w:tcPr>
            <w:tcW w:w="5130" w:type="dxa"/>
            <w:vMerge w:val="restart"/>
            <w:tcBorders>
              <w:bottom w:val="single" w:sz="12" w:space="0" w:color="71B1C8"/>
            </w:tcBorders>
            <w:shd w:fill="002F56" w:val="clear"/>
            <w:tcMar>
              <w:bottom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3202940" cy="330200"/>
                      <wp:effectExtent l="0" t="0" r="0" b="0"/>
                      <wp:wrapNone/>
                      <wp:docPr id="676" name="Frame411"/>
                      <a:graphic xmlns:a="http://schemas.openxmlformats.org/drawingml/2006/main">
                        <a:graphicData uri="http://schemas.microsoft.com/office/word/2010/wordprocessingShape">
                          <wps:wsp>
                            <wps:cNvSpPr txBox="1"/>
                            <wps:spPr>
                              <a:xfrm>
                                <a:off x="0" y="0"/>
                                <a:ext cx="3202940" cy="330200"/>
                              </a:xfrm>
                              <a:prstGeom prst="rect"/>
                              <a:solidFill>
                                <a:srgbClr val="FFFFFF"/>
                              </a:solidFill>
                            </wps:spPr>
                            <wps:txbx>
                              <w:txbxContent>
                                <w:p>
                                  <w:pPr>
                                    <w:pStyle w:val="TextBody"/>
                                    <w:bidi w:val="0"/>
                                    <w:spacing w:before="0" w:after="283"/>
                                    <w:jc w:val="left"/>
                                    <w:rPr>
                                      <w:color w:val="FEFEFE"/>
                                    </w:rPr>
                                  </w:pPr>
                                  <w:r>
                                    <w:rPr>
                                      <w:color w:val="FEFEFE"/>
                                    </w:rPr>
                                    <w:t>◄</w:t>
                                  </w:r>
                                  <w:r>
                                    <w:rPr>
                                      <w:color w:val="FEFEFE"/>
                                      <w:spacing w:val="-1"/>
                                    </w:rPr>
                                    <w:t xml:space="preserve"> </w:t>
                                  </w:r>
                                  <w:r>
                                    <w:rPr>
                                      <w:b w:val="false"/>
                                      <w:color w:val="FEFEFE"/>
                                      <w:spacing w:val="-1"/>
                                      <w:sz w:val="18"/>
                                    </w:rPr>
                                    <w:t xml:space="preserve">OTHER </w:t>
                                  </w:r>
                                  <w:r>
                                    <w:rPr>
                                      <w:b/>
                                      <w:color w:val="FEFEFE"/>
                                      <w:sz w:val="18"/>
                                    </w:rPr>
                                    <w:t>►</w:t>
                                  </w:r>
                                </w:p>
                              </w:txbxContent>
                            </wps:txbx>
                            <wps:bodyPr anchor="t" lIns="0" tIns="0" rIns="0" bIns="0">
                              <a:noAutofit/>
                            </wps:bodyPr>
                          </wps:wsp>
                        </a:graphicData>
                      </a:graphic>
                    </wp:anchor>
                  </w:drawing>
                </mc:Choice>
                <mc:Fallback>
                  <w:pict>
                    <v:rect style="position:absolute;rotation:-0;width:252.2pt;height:2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FEFEFE"/>
                              </w:rPr>
                            </w:pPr>
                            <w:r>
                              <w:rPr>
                                <w:color w:val="FEFEFE"/>
                              </w:rPr>
                              <w:t>◄</w:t>
                            </w:r>
                            <w:r>
                              <w:rPr>
                                <w:color w:val="FEFEFE"/>
                                <w:spacing w:val="-1"/>
                              </w:rPr>
                              <w:t xml:space="preserve"> </w:t>
                            </w:r>
                            <w:r>
                              <w:rPr>
                                <w:b w:val="false"/>
                                <w:color w:val="FEFEFE"/>
                                <w:spacing w:val="-1"/>
                                <w:sz w:val="18"/>
                              </w:rPr>
                              <w:t xml:space="preserve">OTHER </w:t>
                            </w:r>
                            <w:r>
                              <w:rPr>
                                <w:b/>
                                <w:color w:val="FEFEFE"/>
                                <w:sz w:val="18"/>
                              </w:rPr>
                              <w:t>►</w:t>
                            </w:r>
                          </w:p>
                        </w:txbxContent>
                      </v:textbox>
                      <w10:wrap type="none"/>
                    </v:rect>
                  </w:pict>
                </mc:Fallback>
              </mc:AlternateContent>
            </w:r>
          </w:p>
        </w:tc>
        <w:tc>
          <w:tcPr>
            <w:tcW w:w="109" w:type="dxa"/>
            <w:vMerge w:val="restart"/>
            <w:tcBorders>
              <w:bottom w:val="single" w:sz="12" w:space="0" w:color="71B1C8"/>
            </w:tcBorders>
            <w:shd w:fill="002F56" w:val="clear"/>
            <w:tcMar>
              <w:bottom w:w="28" w:type="dxa"/>
            </w:tcMar>
            <w:vAlign w:val="center"/>
          </w:tcPr>
          <w:p>
            <w:pPr>
              <w:pStyle w:val="TableContents"/>
              <w:bidi w:val="0"/>
              <w:spacing w:before="0" w:after="283"/>
              <w:jc w:val="left"/>
              <w:rPr/>
            </w:pPr>
            <w:r>
              <w:rPr/>
              <w:t>​</w:t>
            </w:r>
          </w:p>
        </w:tc>
        <w:tc>
          <w:tcPr>
            <w:tcW w:w="109" w:type="dxa"/>
            <w:vMerge w:val="restart"/>
            <w:tcBorders>
              <w:bottom w:val="single" w:sz="12" w:space="0" w:color="71B1C8"/>
            </w:tcBorders>
            <w:shd w:fill="EEF6F8" w:val="clear"/>
            <w:tcMar>
              <w:bottom w:w="28" w:type="dxa"/>
            </w:tcMar>
            <w:vAlign w:val="center"/>
          </w:tcPr>
          <w:p>
            <w:pPr>
              <w:pStyle w:val="TableContents"/>
              <w:bidi w:val="0"/>
              <w:spacing w:before="0" w:after="283"/>
              <w:jc w:val="left"/>
              <w:rPr/>
            </w:pPr>
            <w:r>
              <w:rPr/>
              <w:t>​</w:t>
            </w:r>
          </w:p>
        </w:tc>
        <w:tc>
          <w:tcPr>
            <w:tcW w:w="2001" w:type="dxa"/>
            <w:vMerge w:val="restart"/>
            <w:tcBorders>
              <w:bottom w:val="single" w:sz="12" w:space="0" w:color="71B1C8"/>
            </w:tcBorders>
            <w:shd w:fill="EEF6F8" w:val="clear"/>
            <w:tcMar>
              <w:bottom w:w="43" w:type="dxa"/>
            </w:tcMar>
            <w:vAlign w:val="center"/>
          </w:tcPr>
          <w:p>
            <w:pPr>
              <w:pStyle w:val="TableContents"/>
              <w:bidi w:val="0"/>
              <w:spacing w:lineRule="atLeast" w:line="177" w:before="0" w:after="0"/>
              <w:jc w:val="left"/>
              <w:rPr>
                <w:b/>
                <w:i/>
              </w:rPr>
            </w:pPr>
            <w:r>
              <w:rPr>
                <w:b/>
                <w:i/>
                <w:spacing w:val="-5"/>
              </w:rPr>
              <w:t>OTHER COMPENSATION ELEMENTS</w:t>
            </w:r>
            <w:r>
              <w:rPr>
                <w:b/>
                <w:i/>
              </w:rPr>
              <w:t xml:space="preserve"> </w:t>
            </w:r>
          </w:p>
        </w:tc>
        <w:tc>
          <w:tcPr>
            <w:tcW w:w="109" w:type="dxa"/>
            <w:vMerge w:val="restart"/>
            <w:tcBorders>
              <w:bottom w:val="single" w:sz="12" w:space="0" w:color="71B1C8"/>
            </w:tcBorders>
            <w:shd w:fill="EEF6F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36" w:type="dxa"/>
            </w:tcMar>
            <w:vAlign w:val="center"/>
          </w:tcPr>
          <w:p>
            <w:pPr>
              <w:pStyle w:val="TableContents"/>
              <w:bidi w:val="0"/>
              <w:spacing w:lineRule="atLeast" w:line="177" w:before="0" w:after="0"/>
              <w:jc w:val="left"/>
              <w:rPr>
                <w:b/>
              </w:rPr>
            </w:pPr>
            <w:r>
              <w:rPr>
                <w:b/>
                <w:spacing w:val="-2"/>
              </w:rPr>
              <w:t>RETIREMENT INCOME</w:t>
            </w:r>
            <w:r>
              <w:rPr>
                <w:b/>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36" w:type="dxa"/>
            </w:tcMar>
            <w:vAlign w:val="center"/>
          </w:tcPr>
          <w:p>
            <w:pPr>
              <w:pStyle w:val="TableContents"/>
              <w:bidi w:val="0"/>
              <w:spacing w:lineRule="atLeast" w:line="177" w:before="0" w:after="0"/>
              <w:ind w:left="160" w:right="0" w:hanging="0"/>
              <w:jc w:val="left"/>
              <w:rPr>
                <w:spacing w:val="-1"/>
              </w:rPr>
            </w:pPr>
            <w:r>
              <w:rPr>
                <w:spacing w:val="-1"/>
              </w:rPr>
              <w:t xml:space="preserve">Defined benefit and 401(k) plans intended to provide for replacement of annual compensation with payments upon retirement. </w:t>
            </w:r>
            <w:r>
              <mc:AlternateContent>
                <mc:Choice Requires="wps">
                  <w:drawing>
                    <wp:anchor behindDoc="0" distT="0" distB="0" distL="0" distR="0" simplePos="0" locked="0" layoutInCell="1" allowOverlap="1" relativeHeight="717">
                      <wp:simplePos x="0" y="0"/>
                      <wp:positionH relativeFrom="column">
                        <wp:align>left</wp:align>
                      </wp:positionH>
                      <wp:positionV relativeFrom="line">
                        <wp:posOffset>635</wp:posOffset>
                      </wp:positionV>
                      <wp:extent cx="101600" cy="350520"/>
                      <wp:effectExtent l="0" t="0" r="0" b="0"/>
                      <wp:wrapSquare wrapText="right"/>
                      <wp:docPr id="677" name="Frame4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36" w:type="dxa"/>
            </w:tcMar>
            <w:vAlign w:val="center"/>
          </w:tcPr>
          <w:p>
            <w:pPr>
              <w:pStyle w:val="TableContents"/>
              <w:bidi w:val="0"/>
              <w:spacing w:lineRule="atLeast" w:line="177" w:before="0" w:after="0"/>
              <w:ind w:left="160" w:right="0" w:hanging="0"/>
              <w:jc w:val="left"/>
              <w:rPr>
                <w:spacing w:val="-1"/>
              </w:rPr>
            </w:pPr>
            <w:r>
              <w:rPr>
                <w:spacing w:val="-1"/>
              </w:rPr>
              <w:t xml:space="preserve">Fair and competitive program designed to provide basic retirement benefits and encourage long-term services. </w:t>
            </w:r>
            <w:r>
              <mc:AlternateContent>
                <mc:Choice Requires="wps">
                  <w:drawing>
                    <wp:anchor behindDoc="0" distT="0" distB="0" distL="0" distR="0" simplePos="0" locked="0" layoutInCell="1" allowOverlap="1" relativeHeight="718">
                      <wp:simplePos x="0" y="0"/>
                      <wp:positionH relativeFrom="column">
                        <wp:align>left</wp:align>
                      </wp:positionH>
                      <wp:positionV relativeFrom="line">
                        <wp:posOffset>635</wp:posOffset>
                      </wp:positionV>
                      <wp:extent cx="101600" cy="350520"/>
                      <wp:effectExtent l="0" t="0" r="0" b="0"/>
                      <wp:wrapSquare wrapText="right"/>
                      <wp:docPr id="678" name="Frame4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5130"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2001" w:type="dxa"/>
            <w:vMerge w:val="continue"/>
            <w:tcBorders>
              <w:bottom w:val="single" w:sz="12" w:space="0" w:color="71B1C8"/>
            </w:tcBorders>
            <w:shd w:fill="EEF6F8" w:val="clear"/>
            <w:tcMar>
              <w:bottom w:w="43"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28" w:type="dxa"/>
            </w:tcMar>
            <w:vAlign w:val="center"/>
          </w:tcPr>
          <w:p>
            <w:pPr>
              <w:pStyle w:val="TableContents"/>
              <w:bidi w:val="0"/>
              <w:spacing w:before="0" w:after="0"/>
              <w:jc w:val="left"/>
              <w:rPr>
                <w:b/>
              </w:rPr>
            </w:pPr>
            <w:r>
              <w:rPr>
                <w:b/>
                <w:spacing w:val="-2"/>
              </w:rPr>
              <w:t>DEFERRED COMPENSATION</w:t>
            </w:r>
            <w:r>
              <w:rPr>
                <w:b/>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Deferred compensation plan that mirrors the Company’s 401(k) plan and allows for an annual deferrals of salary and bonus. </w:t>
            </w:r>
            <w:r>
              <mc:AlternateContent>
                <mc:Choice Requires="wps">
                  <w:drawing>
                    <wp:anchor behindDoc="0" distT="0" distB="0" distL="0" distR="0" simplePos="0" locked="0" layoutInCell="1" allowOverlap="1" relativeHeight="719">
                      <wp:simplePos x="0" y="0"/>
                      <wp:positionH relativeFrom="column">
                        <wp:align>left</wp:align>
                      </wp:positionH>
                      <wp:positionV relativeFrom="line">
                        <wp:posOffset>635</wp:posOffset>
                      </wp:positionV>
                      <wp:extent cx="101600" cy="350520"/>
                      <wp:effectExtent l="0" t="0" r="0" b="0"/>
                      <wp:wrapSquare wrapText="right"/>
                      <wp:docPr id="679" name="Frame4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Modest program that allows executives to have same level of benefits as other participants not subject to IRS limits. </w:t>
            </w:r>
            <w:r>
              <mc:AlternateContent>
                <mc:Choice Requires="wps">
                  <w:drawing>
                    <wp:anchor behindDoc="0" distT="0" distB="0" distL="0" distR="0" simplePos="0" locked="0" layoutInCell="1" allowOverlap="1" relativeHeight="720">
                      <wp:simplePos x="0" y="0"/>
                      <wp:positionH relativeFrom="column">
                        <wp:align>left</wp:align>
                      </wp:positionH>
                      <wp:positionV relativeFrom="line">
                        <wp:posOffset>635</wp:posOffset>
                      </wp:positionV>
                      <wp:extent cx="101600" cy="350520"/>
                      <wp:effectExtent l="0" t="0" r="0" b="0"/>
                      <wp:wrapSquare wrapText="right"/>
                      <wp:docPr id="680" name="Frame4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5130"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2001" w:type="dxa"/>
            <w:vMerge w:val="continue"/>
            <w:tcBorders>
              <w:bottom w:val="single" w:sz="12" w:space="0" w:color="71B1C8"/>
            </w:tcBorders>
            <w:shd w:fill="EEF6F8" w:val="clear"/>
            <w:tcMar>
              <w:bottom w:w="43"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28" w:type="dxa"/>
            </w:tcMar>
            <w:vAlign w:val="center"/>
          </w:tcPr>
          <w:p>
            <w:pPr>
              <w:pStyle w:val="TableContents"/>
              <w:bidi w:val="0"/>
              <w:spacing w:lineRule="atLeast" w:line="177" w:before="0" w:after="0"/>
              <w:jc w:val="left"/>
              <w:rPr>
                <w:b/>
              </w:rPr>
            </w:pPr>
            <w:r>
              <w:rPr>
                <w:b/>
                <w:spacing w:val="-2"/>
              </w:rPr>
              <w:t>SEVERANCE PAYMENTS</w:t>
            </w:r>
            <w:r>
              <w:rPr>
                <w:b/>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Payments and benefits upon termination of an executive’s employment in specified circumstances, including after a change in control. </w:t>
            </w:r>
            <w:r>
              <mc:AlternateContent>
                <mc:Choice Requires="wps">
                  <w:drawing>
                    <wp:anchor behindDoc="0" distT="0" distB="0" distL="0" distR="0" simplePos="0" locked="0" layoutInCell="1" allowOverlap="1" relativeHeight="721">
                      <wp:simplePos x="0" y="0"/>
                      <wp:positionH relativeFrom="column">
                        <wp:align>left</wp:align>
                      </wp:positionH>
                      <wp:positionV relativeFrom="line">
                        <wp:posOffset>635</wp:posOffset>
                      </wp:positionV>
                      <wp:extent cx="101600" cy="350520"/>
                      <wp:effectExtent l="0" t="0" r="0" b="0"/>
                      <wp:wrapSquare wrapText="right"/>
                      <wp:docPr id="681" name="Frame4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42" w:type="dxa"/>
            </w:tcMar>
            <w:vAlign w:val="center"/>
          </w:tcPr>
          <w:p>
            <w:pPr>
              <w:pStyle w:val="TableContents"/>
              <w:bidi w:val="0"/>
              <w:spacing w:lineRule="atLeast" w:line="177" w:before="0" w:after="0"/>
              <w:ind w:left="160" w:right="0" w:hanging="0"/>
              <w:jc w:val="left"/>
              <w:rPr/>
            </w:pPr>
            <w:r>
              <w:rPr>
                <w:spacing w:val="-1"/>
              </w:rPr>
              <w:t>Intended to provide assurance of financial security to attract lateral hires and to retain executives, especially in disruptive circumstances, such as a change in control and leadership transitions.</w:t>
            </w:r>
            <w:r>
              <w:rPr/>
              <w:t xml:space="preserve"> </w:t>
            </w:r>
            <w:r>
              <mc:AlternateContent>
                <mc:Choice Requires="wps">
                  <w:drawing>
                    <wp:anchor behindDoc="0" distT="0" distB="0" distL="0" distR="0" simplePos="0" locked="0" layoutInCell="1" allowOverlap="1" relativeHeight="722">
                      <wp:simplePos x="0" y="0"/>
                      <wp:positionH relativeFrom="column">
                        <wp:align>left</wp:align>
                      </wp:positionH>
                      <wp:positionV relativeFrom="line">
                        <wp:posOffset>635</wp:posOffset>
                      </wp:positionV>
                      <wp:extent cx="101600" cy="350520"/>
                      <wp:effectExtent l="0" t="0" r="0" b="0"/>
                      <wp:wrapSquare wrapText="right"/>
                      <wp:docPr id="682" name="Frame4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7" w:before="40" w:after="0"/>
              <w:ind w:left="160" w:right="0" w:hanging="0"/>
              <w:jc w:val="left"/>
              <w:rPr>
                <w:spacing w:val="-1"/>
              </w:rPr>
            </w:pPr>
            <w:r>
              <w:rPr>
                <w:spacing w:val="-1"/>
              </w:rPr>
              <w:t xml:space="preserve">Encourages management to consider transactions that could benefit shareholders. </w:t>
            </w:r>
            <w:r>
              <mc:AlternateContent>
                <mc:Choice Requires="wps">
                  <w:drawing>
                    <wp:anchor behindDoc="0" distT="25400" distB="0" distL="0" distR="0" simplePos="0" locked="0" layoutInCell="1" allowOverlap="1" relativeHeight="723">
                      <wp:simplePos x="0" y="0"/>
                      <wp:positionH relativeFrom="column">
                        <wp:align>left</wp:align>
                      </wp:positionH>
                      <wp:positionV relativeFrom="line">
                        <wp:align>top</wp:align>
                      </wp:positionV>
                      <wp:extent cx="101600" cy="350520"/>
                      <wp:effectExtent l="0" t="0" r="0" b="0"/>
                      <wp:wrapSquare wrapText="right"/>
                      <wp:docPr id="683" name="Frame4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5130"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2001" w:type="dxa"/>
            <w:vMerge w:val="continue"/>
            <w:tcBorders>
              <w:bottom w:val="single" w:sz="12" w:space="0" w:color="71B1C8"/>
            </w:tcBorders>
            <w:shd w:fill="EEF6F8" w:val="clear"/>
            <w:tcMar>
              <w:bottom w:w="43"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2094" w:type="dxa"/>
            <w:tcBorders>
              <w:bottom w:val="single" w:sz="6" w:space="0" w:color="CCCCCC"/>
            </w:tcBorders>
            <w:tcMar>
              <w:bottom w:w="42" w:type="dxa"/>
            </w:tcMar>
            <w:vAlign w:val="center"/>
          </w:tcPr>
          <w:p>
            <w:pPr>
              <w:pStyle w:val="TableContents"/>
              <w:bidi w:val="0"/>
              <w:spacing w:before="0" w:after="0"/>
              <w:jc w:val="left"/>
              <w:rPr>
                <w:b/>
              </w:rPr>
            </w:pPr>
            <w:r>
              <w:rPr>
                <w:b/>
                <w:spacing w:val="-2"/>
              </w:rPr>
              <w:t>BENEFITS</w:t>
            </w:r>
            <w:r>
              <w:rPr>
                <w:b/>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890" w:type="dxa"/>
            <w:tcBorders>
              <w:bottom w:val="single" w:sz="6" w:space="0" w:color="CCCCCC"/>
            </w:tcBorders>
            <w:tcMar>
              <w:bottom w:w="42" w:type="dxa"/>
            </w:tcMar>
            <w:vAlign w:val="center"/>
          </w:tcPr>
          <w:p>
            <w:pPr>
              <w:pStyle w:val="TableContents"/>
              <w:bidi w:val="0"/>
              <w:spacing w:lineRule="atLeast" w:line="160" w:before="0" w:after="0"/>
              <w:ind w:left="160" w:right="0" w:hanging="0"/>
              <w:jc w:val="left"/>
              <w:rPr>
                <w:spacing w:val="-1"/>
              </w:rPr>
            </w:pPr>
            <w:r>
              <w:rPr>
                <w:spacing w:val="-1"/>
              </w:rPr>
              <w:t xml:space="preserve">Health and welfare benefits. </w:t>
            </w:r>
            <w:r>
              <mc:AlternateContent>
                <mc:Choice Requires="wps">
                  <w:drawing>
                    <wp:anchor behindDoc="0" distT="0" distB="0" distL="0" distR="0" simplePos="0" locked="0" layoutInCell="1" allowOverlap="1" relativeHeight="724">
                      <wp:simplePos x="0" y="0"/>
                      <wp:positionH relativeFrom="column">
                        <wp:align>left</wp:align>
                      </wp:positionH>
                      <wp:positionV relativeFrom="line">
                        <wp:posOffset>635</wp:posOffset>
                      </wp:positionV>
                      <wp:extent cx="101600" cy="350520"/>
                      <wp:effectExtent l="0" t="0" r="0" b="0"/>
                      <wp:wrapSquare wrapText="right"/>
                      <wp:docPr id="684" name="Frame4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74" w:type="dxa"/>
            <w:tcBorders>
              <w:bottom w:val="single" w:sz="6" w:space="0" w:color="CCCCCC"/>
            </w:tcBorders>
            <w:tcMar>
              <w:bottom w:w="42" w:type="dxa"/>
            </w:tcMar>
            <w:vAlign w:val="center"/>
          </w:tcPr>
          <w:p>
            <w:pPr>
              <w:pStyle w:val="TableContents"/>
              <w:bidi w:val="0"/>
              <w:spacing w:lineRule="atLeast" w:line="177" w:before="0" w:after="0"/>
              <w:ind w:left="160" w:right="0" w:hanging="0"/>
              <w:jc w:val="left"/>
              <w:rPr/>
            </w:pPr>
            <w:r>
              <w:rPr>
                <w:spacing w:val="-1"/>
              </w:rPr>
              <w:t>Fair and competitive programs to provide family protection.</w:t>
            </w:r>
            <w:r>
              <w:rPr/>
              <w:t xml:space="preserve"> </w:t>
            </w:r>
            <w:r>
              <mc:AlternateContent>
                <mc:Choice Requires="wps">
                  <w:drawing>
                    <wp:anchor behindDoc="0" distT="0" distB="0" distL="0" distR="0" simplePos="0" locked="0" layoutInCell="1" allowOverlap="1" relativeHeight="725">
                      <wp:simplePos x="0" y="0"/>
                      <wp:positionH relativeFrom="column">
                        <wp:align>left</wp:align>
                      </wp:positionH>
                      <wp:positionV relativeFrom="line">
                        <wp:posOffset>635</wp:posOffset>
                      </wp:positionV>
                      <wp:extent cx="101600" cy="350520"/>
                      <wp:effectExtent l="0" t="0" r="0" b="0"/>
                      <wp:wrapSquare wrapText="right"/>
                      <wp:docPr id="685" name="Frame4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40" w:after="0"/>
              <w:ind w:left="160" w:right="0" w:hanging="0"/>
              <w:jc w:val="left"/>
              <w:rPr>
                <w:spacing w:val="-1"/>
              </w:rPr>
            </w:pPr>
            <w:r>
              <w:rPr>
                <w:spacing w:val="-1"/>
              </w:rPr>
              <w:t xml:space="preserve">Facilitate recruitment and retention. </w:t>
            </w:r>
            <w:r>
              <mc:AlternateContent>
                <mc:Choice Requires="wps">
                  <w:drawing>
                    <wp:anchor behindDoc="0" distT="25400" distB="0" distL="0" distR="0" simplePos="0" locked="0" layoutInCell="1" allowOverlap="1" relativeHeight="726">
                      <wp:simplePos x="0" y="0"/>
                      <wp:positionH relativeFrom="column">
                        <wp:align>left</wp:align>
                      </wp:positionH>
                      <wp:positionV relativeFrom="line">
                        <wp:align>top</wp:align>
                      </wp:positionV>
                      <wp:extent cx="101600" cy="350520"/>
                      <wp:effectExtent l="0" t="0" r="0" b="0"/>
                      <wp:wrapSquare wrapText="right"/>
                      <wp:docPr id="686" name="Frame4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60"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5130"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002F56" w:val="clear"/>
            <w:tcMar>
              <w:bottom w:w="28"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2001" w:type="dxa"/>
            <w:vMerge w:val="continue"/>
            <w:tcBorders>
              <w:bottom w:val="single" w:sz="12" w:space="0" w:color="71B1C8"/>
            </w:tcBorders>
            <w:shd w:fill="EEF6F8" w:val="clear"/>
            <w:tcMar>
              <w:bottom w:w="43" w:type="dxa"/>
            </w:tcMar>
            <w:vAlign w:val="center"/>
          </w:tcPr>
          <w:p>
            <w:pPr>
              <w:pStyle w:val="Normal"/>
              <w:bidi w:val="0"/>
              <w:jc w:val="left"/>
              <w:rPr/>
            </w:pPr>
            <w:r>
              <w:rPr/>
            </w:r>
          </w:p>
        </w:tc>
        <w:tc>
          <w:tcPr>
            <w:tcW w:w="109" w:type="dxa"/>
            <w:vMerge w:val="continue"/>
            <w:tcBorders>
              <w:bottom w:val="single" w:sz="12" w:space="0" w:color="71B1C8"/>
            </w:tcBorders>
            <w:shd w:fill="EEF6F8" w:val="clear"/>
            <w:tcMar>
              <w:bottom w:w="28" w:type="dxa"/>
            </w:tcMar>
            <w:vAlign w:val="center"/>
          </w:tcPr>
          <w:p>
            <w:pPr>
              <w:pStyle w:val="Normal"/>
              <w:bidi w:val="0"/>
              <w:jc w:val="left"/>
              <w:rPr/>
            </w:pPr>
            <w:r>
              <w:rPr/>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094" w:type="dxa"/>
            <w:tcBorders>
              <w:bottom w:val="single" w:sz="12" w:space="0" w:color="71B1C8"/>
            </w:tcBorders>
            <w:tcMar>
              <w:bottom w:w="28" w:type="dxa"/>
            </w:tcMar>
            <w:vAlign w:val="center"/>
          </w:tcPr>
          <w:p>
            <w:pPr>
              <w:pStyle w:val="TableContents"/>
              <w:bidi w:val="0"/>
              <w:spacing w:before="0" w:after="0"/>
              <w:jc w:val="left"/>
              <w:rPr>
                <w:b/>
              </w:rPr>
            </w:pPr>
            <w:r>
              <w:rPr>
                <w:b/>
                <w:spacing w:val="-2"/>
              </w:rPr>
              <w:t>PERQUISITES</w:t>
            </w:r>
            <w:r>
              <w:rPr>
                <w:b/>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890" w:type="dxa"/>
            <w:tcBorders>
              <w:bottom w:val="single" w:sz="12" w:space="0" w:color="71B1C8"/>
            </w:tcBorders>
            <w:tcMar>
              <w:bottom w:w="28" w:type="dxa"/>
            </w:tcMar>
            <w:vAlign w:val="center"/>
          </w:tcPr>
          <w:p>
            <w:pPr>
              <w:pStyle w:val="TableContents"/>
              <w:bidi w:val="0"/>
              <w:spacing w:lineRule="atLeast" w:line="177" w:before="0" w:after="0"/>
              <w:ind w:left="160" w:right="0" w:hanging="0"/>
              <w:jc w:val="left"/>
              <w:rPr>
                <w:spacing w:val="-1"/>
              </w:rPr>
            </w:pPr>
            <w:r>
              <w:rPr>
                <w:spacing w:val="-1"/>
              </w:rPr>
              <w:t xml:space="preserve">Modest personal benefits limited to financial counseling. </w:t>
            </w:r>
            <w:r>
              <mc:AlternateContent>
                <mc:Choice Requires="wps">
                  <w:drawing>
                    <wp:anchor behindDoc="0" distT="0" distB="0" distL="0" distR="0" simplePos="0" locked="0" layoutInCell="1" allowOverlap="1" relativeHeight="727">
                      <wp:simplePos x="0" y="0"/>
                      <wp:positionH relativeFrom="column">
                        <wp:align>left</wp:align>
                      </wp:positionH>
                      <wp:positionV relativeFrom="line">
                        <wp:posOffset>635</wp:posOffset>
                      </wp:positionV>
                      <wp:extent cx="101600" cy="350520"/>
                      <wp:effectExtent l="0" t="0" r="0" b="0"/>
                      <wp:wrapSquare wrapText="right"/>
                      <wp:docPr id="687" name="Frame4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74" w:type="dxa"/>
            <w:tcBorders>
              <w:bottom w:val="single" w:sz="12" w:space="0" w:color="71B1C8"/>
            </w:tcBorders>
            <w:tcMar>
              <w:bottom w:w="28" w:type="dxa"/>
            </w:tcMar>
            <w:vAlign w:val="center"/>
          </w:tcPr>
          <w:p>
            <w:pPr>
              <w:pStyle w:val="TableContents"/>
              <w:bidi w:val="0"/>
              <w:spacing w:lineRule="atLeast" w:line="177" w:before="0" w:after="0"/>
              <w:ind w:left="160" w:right="0" w:hanging="0"/>
              <w:jc w:val="left"/>
              <w:rPr/>
            </w:pPr>
            <w:r>
              <w:rPr>
                <w:spacing w:val="-1"/>
              </w:rPr>
              <w:t>Highly desired benefits which can represent cost-effective elements of compensation.</w:t>
            </w:r>
            <w:r>
              <w:rPr/>
              <w:t xml:space="preserve"> </w:t>
            </w:r>
            <w:r>
              <mc:AlternateContent>
                <mc:Choice Requires="wps">
                  <w:drawing>
                    <wp:anchor behindDoc="0" distT="0" distB="0" distL="0" distR="0" simplePos="0" locked="0" layoutInCell="1" allowOverlap="1" relativeHeight="728">
                      <wp:simplePos x="0" y="0"/>
                      <wp:positionH relativeFrom="column">
                        <wp:align>left</wp:align>
                      </wp:positionH>
                      <wp:positionV relativeFrom="line">
                        <wp:posOffset>635</wp:posOffset>
                      </wp:positionV>
                      <wp:extent cx="101600" cy="350520"/>
                      <wp:effectExtent l="0" t="0" r="0" b="0"/>
                      <wp:wrapSquare wrapText="right"/>
                      <wp:docPr id="688" name="Frame4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7" w:before="40" w:after="0"/>
              <w:ind w:left="160" w:right="0" w:hanging="0"/>
              <w:jc w:val="left"/>
              <w:rPr/>
            </w:pPr>
            <w:r>
              <w:rPr>
                <w:spacing w:val="-1"/>
              </w:rPr>
              <w:t>We do not provide tax gross-ups for perquisites.</w:t>
            </w:r>
            <w:r>
              <w:rPr/>
              <w:t xml:space="preserve"> </w:t>
            </w:r>
            <w:r>
              <mc:AlternateContent>
                <mc:Choice Requires="wps">
                  <w:drawing>
                    <wp:anchor behindDoc="0" distT="25400" distB="0" distL="0" distR="0" simplePos="0" locked="0" layoutInCell="1" allowOverlap="1" relativeHeight="729">
                      <wp:simplePos x="0" y="0"/>
                      <wp:positionH relativeFrom="column">
                        <wp:align>left</wp:align>
                      </wp:positionH>
                      <wp:positionV relativeFrom="line">
                        <wp:align>top</wp:align>
                      </wp:positionV>
                      <wp:extent cx="101600" cy="350520"/>
                      <wp:effectExtent l="0" t="0" r="0" b="0"/>
                      <wp:wrapSquare wrapText="right"/>
                      <wp:docPr id="689" name="Frame42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77" w:before="0" w:after="283"/>
                                    <w:jc w:val="left"/>
                                    <w:rPr/>
                                  </w:pPr>
                                  <w:r>
                                    <w:rPr>
                                      <w:color w:val="002F56"/>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77" w:before="0" w:after="283"/>
                              <w:jc w:val="left"/>
                              <w:rPr/>
                            </w:pPr>
                            <w:r>
                              <w:rPr>
                                <w:color w:val="002F56"/>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44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BASA"/>
      <w:bookmarkEnd w:id="61"/>
      <w:r>
        <w:rPr>
          <w:rFonts w:ascii="calibri;arial;sans-serif" w:hAnsi="calibri;arial;sans-serif"/>
          <w:b w:val="false"/>
          <w:i w:val="false"/>
          <w:caps w:val="false"/>
          <w:smallCaps w:val="false"/>
          <w:color w:val="000000"/>
          <w:sz w:val="16"/>
        </w:rPr>
        <w:t>​</w:t>
      </w:r>
      <w:bookmarkStart w:id="62" w:name="tANIN"/>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80" w:before="400" w:after="283"/>
        <w:ind w:left="1020" w:right="0" w:hanging="0"/>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BASE SALARY</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Committee believes that the overall compensation to the named executive officers should include reasonable levels of fixed cash compensation to provide a level of assurance of compensation. Base salaries of our named executive officers are determined in accordance with their responsibilities, their tenure in position, performance, and market data for the position, although no particular weight is assigned to any one factor. Each employee receives an annual performance rating early in the year. The performance rating of the Company’s Chief Executive Officer is assigned by the Compensation Committee and approved by the Board. The performance ratings of other officers, including the named executive officers, are assigned by the Company’s Chief Executive Officer, subject to review by the Compensation Committee. The named executive officers’ performance ratings were assigned by Mr. Dietrich in early 2025. Based on the Company’s performance, general business outlook, and industry compensation trends, we set guidelines for average percentage compensation adjustments to salary for all employees for the coming year. The percentage increase received by a particular employee is determined on the basis of the employee’s performance rating and current compensation level compared to similar marketplace positions.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Following the Company’s annual review of CEO compensation, the Committee determined that Mr. Dietrich’s base salary for 2025 would remain at $1,050,000, unchanged from 2024 or 2023. The Compensation Committee approved an increase to Mr. Aldag’s base salary of 10%, to better align his compensation with market levels for similarly situated Chief Financial Officers. At the time of his promotion to CFO in 2023, Mr. Aldag’s base salary was positioned below the competitive range for the role. The Committee determined that an adjustment was appropriate to reflect the scope and complexity of his responsibilities and to ensure competitive, market-aligned pay. Mr. Monagle and Mr. Argirakis received base salary increases of 4% in 2025 to further align with market median pay and to reflect their continued development and progression in their positions as Group Presidents. Mr. Hastings received a merit increase to his base salary of 3% in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ANNUAL INCENTIVES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pay annual incentives through our Annual Incentive Plan. The 2025 Annual Incentive Plan is designed to reward participants for the achievement of pre-established Company-wide financial goals and individual contributions thereto, as well as to reward the achievement of individual performance goals, by providing cash awards that are paid if such goals are met.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amount of incentive compensation actually earned by participants in the Annual Incentive Plan is determined by multiplying the target amount by a performance factor. The target amount is a percentage of base salary. Such target percentages for 2025 were consistent with 2024 target percentages for each of the named executive officers. The performance factor represents percentage achievement of weighted composite of corporate financial targets, personal performance objectives, and, for those executives who are Segment Leaders, segment financial targets. The overall performance factor for each element (corporate financial targets, segment financial targets, and personal performance objectives) may individually range from a minimum of 25% to a maximum of 200%, for an overall maximum performance factor of 200%. Payout is equal to target incentive compensation if the performance factor for each element is achieved at 100%.</w:t>
      </w:r>
      <w:r>
        <w:rPr>
          <w:rFonts w:ascii="Arial;Helvetica;sans-serif" w:hAnsi="Arial;Helvetica;sans-serif"/>
          <w:b w:val="false"/>
          <w:i w:val="false"/>
          <w:caps w:val="false"/>
          <w:smallCaps w:val="false"/>
          <w:color w:val="000000"/>
          <w:spacing w:val="4"/>
          <w:sz w:val="18"/>
        </w:rPr>
        <w:t xml:space="preserve"> </w:t>
      </w:r>
    </w:p>
    <w:tbl>
      <w:tblPr>
        <w:tblW w:w="9693" w:type="dxa"/>
        <w:jc w:val="left"/>
        <w:tblInd w:w="1020" w:type="dxa"/>
        <w:tblLayout w:type="fixed"/>
        <w:tblCellMar>
          <w:top w:w="0" w:type="dxa"/>
          <w:left w:w="0" w:type="dxa"/>
          <w:bottom w:w="0" w:type="dxa"/>
          <w:right w:w="0" w:type="dxa"/>
        </w:tblCellMar>
      </w:tblPr>
      <w:tblGrid>
        <w:gridCol w:w="124"/>
        <w:gridCol w:w="1066"/>
        <w:gridCol w:w="109"/>
        <w:gridCol w:w="109"/>
        <w:gridCol w:w="521"/>
        <w:gridCol w:w="109"/>
        <w:gridCol w:w="109"/>
        <w:gridCol w:w="1657"/>
        <w:gridCol w:w="109"/>
        <w:gridCol w:w="109"/>
        <w:gridCol w:w="521"/>
        <w:gridCol w:w="109"/>
        <w:gridCol w:w="109"/>
        <w:gridCol w:w="1861"/>
        <w:gridCol w:w="109"/>
        <w:gridCol w:w="109"/>
        <w:gridCol w:w="521"/>
        <w:gridCol w:w="109"/>
        <w:gridCol w:w="109"/>
        <w:gridCol w:w="1960"/>
        <w:gridCol w:w="154"/>
      </w:tblGrid>
      <w:tr>
        <w:trPr/>
        <w:tc>
          <w:tcPr>
            <w:tcW w:w="124" w:type="dxa"/>
            <w:tcBorders/>
            <w:shd w:fill="002F56" w:val="clear"/>
            <w:vAlign w:val="center"/>
          </w:tcPr>
          <w:p>
            <w:pPr>
              <w:pStyle w:val="TableContents"/>
              <w:bidi w:val="0"/>
              <w:spacing w:before="0" w:after="283"/>
              <w:jc w:val="left"/>
              <w:rPr/>
            </w:pPr>
            <w:r>
              <w:rPr/>
              <w:t>​</w:t>
            </w:r>
          </w:p>
        </w:tc>
        <w:tc>
          <w:tcPr>
            <w:tcW w:w="1066" w:type="dxa"/>
            <w:tcBorders/>
            <w:shd w:fill="002F56" w:val="clear"/>
            <w:tcMar>
              <w:top w:w="28" w:type="dxa"/>
              <w:left w:w="28" w:type="dxa"/>
              <w:bottom w:w="28" w:type="dxa"/>
              <w:right w:w="28" w:type="dxa"/>
            </w:tcMar>
            <w:vAlign w:val="center"/>
          </w:tcPr>
          <w:p>
            <w:pPr>
              <w:pStyle w:val="TableContents"/>
              <w:bidi w:val="0"/>
              <w:spacing w:lineRule="atLeast" w:line="220" w:before="0" w:after="0"/>
              <w:jc w:val="center"/>
              <w:rPr>
                <w:spacing w:val="-6"/>
              </w:rPr>
            </w:pPr>
            <w:r>
              <w:rPr>
                <w:spacing w:val="-6"/>
              </w:rPr>
              <w:t xml:space="preserve">BASE SALARY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521" w:type="dxa"/>
            <w:tcBorders/>
            <w:shd w:fill="002F56"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76225" cy="276225"/>
                  <wp:effectExtent l="0" t="0" r="0" b="0"/>
                  <wp:docPr id="690"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255" descr=""/>
                          <pic:cNvPicPr>
                            <a:picLocks noChangeAspect="1" noChangeArrowheads="1"/>
                          </pic:cNvPicPr>
                        </pic:nvPicPr>
                        <pic:blipFill>
                          <a:blip r:embed="rId267"/>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657" w:type="dxa"/>
            <w:tcBorders/>
            <w:shd w:fill="002F56" w:val="clear"/>
            <w:vAlign w:val="center"/>
          </w:tcPr>
          <w:p>
            <w:pPr>
              <w:pStyle w:val="TableContents"/>
              <w:bidi w:val="0"/>
              <w:spacing w:lineRule="atLeast" w:line="220" w:before="0" w:after="0"/>
              <w:jc w:val="center"/>
              <w:rPr>
                <w:spacing w:val="-6"/>
              </w:rPr>
            </w:pPr>
            <w:r>
              <w:rPr>
                <w:spacing w:val="-6"/>
              </w:rPr>
              <w:t xml:space="preserve">TARGET </w:t>
              <w:br/>
              <w:t xml:space="preserve">PERCENTAGE OF </w:t>
              <w:br/>
              <w:t xml:space="preserve">BASE SALARY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521" w:type="dxa"/>
            <w:tcBorders/>
            <w:shd w:fill="002F56"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76225" cy="276225"/>
                  <wp:effectExtent l="0" t="0" r="0" b="0"/>
                  <wp:docPr id="691"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256" descr=""/>
                          <pic:cNvPicPr>
                            <a:picLocks noChangeAspect="1" noChangeArrowheads="1"/>
                          </pic:cNvPicPr>
                        </pic:nvPicPr>
                        <pic:blipFill>
                          <a:blip r:embed="rId268"/>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861" w:type="dxa"/>
            <w:tcBorders/>
            <w:shd w:fill="002F56" w:val="clear"/>
            <w:vAlign w:val="center"/>
          </w:tcPr>
          <w:p>
            <w:pPr>
              <w:pStyle w:val="TableContents"/>
              <w:bidi w:val="0"/>
              <w:spacing w:lineRule="atLeast" w:line="220" w:before="0" w:after="0"/>
              <w:jc w:val="center"/>
              <w:rPr/>
            </w:pPr>
            <w:r>
              <w:rPr>
                <w:spacing w:val="-6"/>
              </w:rPr>
              <w:t xml:space="preserve">PERFORMANCE </w:t>
              <w:br/>
              <w:t xml:space="preserve">FACTOR </w:t>
              <w:br/>
              <w:t>ACHIEVED</w:t>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521" w:type="dxa"/>
            <w:tcBorders/>
            <w:shd w:fill="002F56"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276225" cy="276225"/>
                  <wp:effectExtent l="0" t="0" r="0" b="0"/>
                  <wp:docPr id="692"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257" descr=""/>
                          <pic:cNvPicPr>
                            <a:picLocks noChangeAspect="1" noChangeArrowheads="1"/>
                          </pic:cNvPicPr>
                        </pic:nvPicPr>
                        <pic:blipFill>
                          <a:blip r:embed="rId269"/>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960" w:type="dxa"/>
            <w:tcBorders/>
            <w:shd w:fill="002F56" w:val="clear"/>
            <w:vAlign w:val="center"/>
          </w:tcPr>
          <w:p>
            <w:pPr>
              <w:pStyle w:val="TableContents"/>
              <w:bidi w:val="0"/>
              <w:spacing w:lineRule="atLeast" w:line="220" w:before="0" w:after="0"/>
              <w:jc w:val="center"/>
              <w:rPr/>
            </w:pPr>
            <w:r>
              <w:rPr>
                <w:spacing w:val="-6"/>
              </w:rPr>
              <w:t xml:space="preserve">INCENTIVE </w:t>
              <w:br/>
              <w:t xml:space="preserve">COMPENSATION </w:t>
              <w:br/>
              <w:t>EARNED</w:t>
            </w:r>
            <w:r>
              <w:rPr/>
              <w:t xml:space="preserve"> </w:t>
            </w:r>
          </w:p>
        </w:tc>
        <w:tc>
          <w:tcPr>
            <w:tcW w:w="154" w:type="dxa"/>
            <w:tcBorders/>
            <w:shd w:fill="002F56" w:val="clear"/>
            <w:vAlign w:val="center"/>
          </w:tcPr>
          <w:p>
            <w:pPr>
              <w:pStyle w:val="TableContents"/>
              <w:bidi w:val="0"/>
              <w:spacing w:before="0" w:after="283"/>
              <w:jc w:val="left"/>
              <w:rPr/>
            </w:pPr>
            <w:r>
              <w:rPr/>
              <w:t>​</w:t>
            </w:r>
          </w:p>
        </w:tc>
      </w:tr>
    </w:tbl>
    <w:p>
      <w:pPr>
        <w:pStyle w:val="TextBody"/>
        <w:bidi w:val="0"/>
        <w:spacing w:lineRule="atLeast" w:line="210" w:before="28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January 2026, the Committee reviewed the results of the 2025 Annual Incentive Plan. Payments were determined based on the achievement of the performance factors described below. Individual performance ratings were submitted by the Chief Executive Officer for discussion and approval by the Committee. The performance factors actually achieved for 2025 and the resulting payments to the named executive officers under the 2025 Annual Incentive Plan were as follows: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010"/>
        <w:gridCol w:w="109"/>
        <w:gridCol w:w="109"/>
        <w:gridCol w:w="109"/>
        <w:gridCol w:w="109"/>
        <w:gridCol w:w="1070"/>
        <w:gridCol w:w="109"/>
        <w:gridCol w:w="109"/>
        <w:gridCol w:w="109"/>
        <w:gridCol w:w="157"/>
        <w:gridCol w:w="157"/>
        <w:gridCol w:w="675"/>
        <w:gridCol w:w="160"/>
        <w:gridCol w:w="109"/>
        <w:gridCol w:w="109"/>
        <w:gridCol w:w="115"/>
        <w:gridCol w:w="115"/>
        <w:gridCol w:w="1125"/>
        <w:gridCol w:w="116"/>
        <w:gridCol w:w="109"/>
        <w:gridCol w:w="109"/>
        <w:gridCol w:w="166"/>
        <w:gridCol w:w="166"/>
        <w:gridCol w:w="808"/>
        <w:gridCol w:w="169"/>
        <w:gridCol w:w="109"/>
        <w:gridCol w:w="109"/>
        <w:gridCol w:w="115"/>
        <w:gridCol w:w="115"/>
        <w:gridCol w:w="1126"/>
        <w:gridCol w:w="116"/>
        <w:gridCol w:w="163"/>
      </w:tblGrid>
      <w:tr>
        <w:trPr/>
        <w:tc>
          <w:tcPr>
            <w:tcW w:w="124" w:type="dxa"/>
            <w:tcBorders/>
            <w:shd w:fill="002F56" w:val="clear"/>
            <w:vAlign w:val="center"/>
          </w:tcPr>
          <w:p>
            <w:pPr>
              <w:pStyle w:val="TableContents"/>
              <w:bidi w:val="0"/>
              <w:spacing w:before="0" w:after="283"/>
              <w:jc w:val="left"/>
              <w:rPr/>
            </w:pPr>
            <w:r>
              <w:rPr/>
              <w:t>​</w:t>
            </w:r>
          </w:p>
        </w:tc>
        <w:tc>
          <w:tcPr>
            <w:tcW w:w="1010" w:type="dxa"/>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7" w:type="dxa"/>
            <w:gridSpan w:val="4"/>
            <w:tcBorders/>
            <w:shd w:fill="002F56" w:val="clear"/>
            <w:vAlign w:val="center"/>
          </w:tcPr>
          <w:p>
            <w:pPr>
              <w:pStyle w:val="TableContents"/>
              <w:bidi w:val="0"/>
              <w:spacing w:before="0" w:after="0"/>
              <w:jc w:val="center"/>
              <w:rPr/>
            </w:pPr>
            <w:r>
              <w:rPr>
                <w:spacing w:val="0"/>
              </w:rPr>
              <w:t>2025 Base Salary</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149" w:type="dxa"/>
            <w:gridSpan w:val="4"/>
            <w:tcBorders/>
            <w:shd w:fill="002F56" w:val="clear"/>
            <w:vAlign w:val="center"/>
          </w:tcPr>
          <w:p>
            <w:pPr>
              <w:pStyle w:val="TableContents"/>
              <w:bidi w:val="0"/>
              <w:spacing w:before="0" w:after="0"/>
              <w:jc w:val="center"/>
              <w:rPr>
                <w:spacing w:val="0"/>
              </w:rPr>
            </w:pPr>
            <w:r>
              <w:rPr>
                <w:spacing w:val="0"/>
              </w:rPr>
              <w:t xml:space="preserve">Target Percentage </w:t>
              <w:br/>
              <w:t xml:space="preserve">of Base Salary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1" w:type="dxa"/>
            <w:gridSpan w:val="4"/>
            <w:tcBorders/>
            <w:shd w:fill="002F56" w:val="clear"/>
            <w:vAlign w:val="center"/>
          </w:tcPr>
          <w:p>
            <w:pPr>
              <w:pStyle w:val="TableContents"/>
              <w:bidi w:val="0"/>
              <w:spacing w:before="0" w:after="0"/>
              <w:jc w:val="center"/>
              <w:rPr/>
            </w:pPr>
            <w:r>
              <w:rPr>
                <w:spacing w:val="0"/>
              </w:rPr>
              <w:t xml:space="preserve">Target Annual </w:t>
              <w:br/>
              <w:t xml:space="preserve">Incentive </w:t>
              <w:br/>
              <w:t>Compensation</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09" w:type="dxa"/>
            <w:gridSpan w:val="4"/>
            <w:tcBorders/>
            <w:shd w:fill="002F56" w:val="clear"/>
            <w:vAlign w:val="center"/>
          </w:tcPr>
          <w:p>
            <w:pPr>
              <w:pStyle w:val="TableContents"/>
              <w:bidi w:val="0"/>
              <w:spacing w:before="0" w:after="0"/>
              <w:jc w:val="center"/>
              <w:rPr>
                <w:spacing w:val="0"/>
              </w:rPr>
            </w:pPr>
            <w:r>
              <w:rPr>
                <w:spacing w:val="0"/>
              </w:rPr>
              <w:t xml:space="preserve">Performance </w:t>
              <w:br/>
              <w:t xml:space="preserve">Factor Achieved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2" w:type="dxa"/>
            <w:gridSpan w:val="4"/>
            <w:tcBorders/>
            <w:shd w:fill="002F56" w:val="clear"/>
            <w:vAlign w:val="center"/>
          </w:tcPr>
          <w:p>
            <w:pPr>
              <w:pStyle w:val="TableContents"/>
              <w:bidi w:val="0"/>
              <w:spacing w:before="0" w:after="0"/>
              <w:jc w:val="center"/>
              <w:rPr/>
            </w:pPr>
            <w:r>
              <w:rPr>
                <w:spacing w:val="0"/>
              </w:rPr>
              <w:t xml:space="preserve">2025 Incentive </w:t>
              <w:br/>
              <w:t xml:space="preserve">Compensation </w:t>
              <w:br/>
              <w:t>Earned</w:t>
            </w:r>
            <w:r>
              <w:rPr/>
              <w:t xml:space="preserve"> </w:t>
              <w:br/>
            </w:r>
            <w:r>
              <w:rPr>
                <w:spacing w:val="-2"/>
              </w:rPr>
              <w:t xml:space="preserve">($) </w:t>
            </w:r>
          </w:p>
        </w:tc>
        <w:tc>
          <w:tcPr>
            <w:tcW w:w="163"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1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70" w:type="dxa"/>
            <w:tcBorders>
              <w:bottom w:val="single" w:sz="6" w:space="0" w:color="BFBFBF"/>
            </w:tcBorders>
            <w:tcMar>
              <w:bottom w:w="43" w:type="dxa"/>
            </w:tcMar>
            <w:vAlign w:val="center"/>
          </w:tcPr>
          <w:p>
            <w:pPr>
              <w:pStyle w:val="TableContents"/>
              <w:bidi w:val="0"/>
              <w:spacing w:before="0" w:after="283"/>
              <w:jc w:val="right"/>
              <w:rPr/>
            </w:pPr>
            <w:r>
              <w:rPr/>
              <w:t>1,050,000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43" w:type="dxa"/>
            </w:tcMar>
            <w:vAlign w:val="center"/>
          </w:tcPr>
          <w:p>
            <w:pPr>
              <w:pStyle w:val="TableContents"/>
              <w:bidi w:val="0"/>
              <w:spacing w:before="0" w:after="283"/>
              <w:jc w:val="right"/>
              <w:rPr/>
            </w:pPr>
            <w:r>
              <w:rPr/>
              <w:t>​</w:t>
            </w:r>
          </w:p>
        </w:tc>
        <w:tc>
          <w:tcPr>
            <w:tcW w:w="675" w:type="dxa"/>
            <w:tcBorders>
              <w:bottom w:val="single" w:sz="6" w:space="0" w:color="BFBFBF"/>
            </w:tcBorders>
            <w:tcMar>
              <w:bottom w:w="43" w:type="dxa"/>
            </w:tcMar>
            <w:vAlign w:val="center"/>
          </w:tcPr>
          <w:p>
            <w:pPr>
              <w:pStyle w:val="TableContents"/>
              <w:bidi w:val="0"/>
              <w:spacing w:before="0" w:after="283"/>
              <w:jc w:val="right"/>
              <w:rPr/>
            </w:pPr>
            <w:r>
              <w:rPr/>
              <w:t>125%</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5" w:type="dxa"/>
            <w:tcBorders>
              <w:bottom w:val="single" w:sz="6" w:space="0" w:color="BFBFBF"/>
            </w:tcBorders>
            <w:tcMar>
              <w:bottom w:w="43" w:type="dxa"/>
            </w:tcMar>
            <w:vAlign w:val="center"/>
          </w:tcPr>
          <w:p>
            <w:pPr>
              <w:pStyle w:val="TableContents"/>
              <w:bidi w:val="0"/>
              <w:spacing w:before="0" w:after="283"/>
              <w:jc w:val="right"/>
              <w:rPr/>
            </w:pPr>
            <w:r>
              <w:rPr/>
              <w:t>1,312,500</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43" w:type="dxa"/>
            </w:tcMar>
            <w:vAlign w:val="center"/>
          </w:tcPr>
          <w:p>
            <w:pPr>
              <w:pStyle w:val="TableContents"/>
              <w:bidi w:val="0"/>
              <w:spacing w:before="0" w:after="283"/>
              <w:jc w:val="right"/>
              <w:rPr/>
            </w:pPr>
            <w:r>
              <w:rPr/>
              <w:t>​</w:t>
            </w:r>
          </w:p>
        </w:tc>
        <w:tc>
          <w:tcPr>
            <w:tcW w:w="808" w:type="dxa"/>
            <w:tcBorders>
              <w:bottom w:val="single" w:sz="6" w:space="0" w:color="BFBFBF"/>
            </w:tcBorders>
            <w:tcMar>
              <w:bottom w:w="43" w:type="dxa"/>
            </w:tcMar>
            <w:vAlign w:val="center"/>
          </w:tcPr>
          <w:p>
            <w:pPr>
              <w:pStyle w:val="TableContents"/>
              <w:bidi w:val="0"/>
              <w:spacing w:before="0" w:after="283"/>
              <w:jc w:val="right"/>
              <w:rPr/>
            </w:pPr>
            <w:r>
              <w:rPr/>
              <w:t>86.0%</w:t>
            </w:r>
          </w:p>
        </w:tc>
        <w:tc>
          <w:tcPr>
            <w:tcW w:w="16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6" w:type="dxa"/>
            <w:tcBorders>
              <w:bottom w:val="single" w:sz="6" w:space="0" w:color="BFBFBF"/>
            </w:tcBorders>
            <w:tcMar>
              <w:bottom w:w="43" w:type="dxa"/>
            </w:tcMar>
            <w:vAlign w:val="center"/>
          </w:tcPr>
          <w:p>
            <w:pPr>
              <w:pStyle w:val="TableContents"/>
              <w:bidi w:val="0"/>
              <w:spacing w:before="0" w:after="283"/>
              <w:jc w:val="right"/>
              <w:rPr/>
            </w:pPr>
            <w:r>
              <w:rPr/>
              <w:t>1,129,144</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1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70" w:type="dxa"/>
            <w:tcBorders>
              <w:bottom w:val="single" w:sz="6" w:space="0" w:color="BFBFBF"/>
            </w:tcBorders>
            <w:tcMar>
              <w:bottom w:w="43" w:type="dxa"/>
            </w:tcMar>
            <w:vAlign w:val="center"/>
          </w:tcPr>
          <w:p>
            <w:pPr>
              <w:pStyle w:val="TableContents"/>
              <w:bidi w:val="0"/>
              <w:spacing w:before="0" w:after="283"/>
              <w:jc w:val="right"/>
              <w:rPr/>
            </w:pPr>
            <w:r>
              <w:rPr/>
              <w:t>574,200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43" w:type="dxa"/>
            </w:tcMar>
            <w:vAlign w:val="center"/>
          </w:tcPr>
          <w:p>
            <w:pPr>
              <w:pStyle w:val="TableContents"/>
              <w:bidi w:val="0"/>
              <w:spacing w:before="0" w:after="283"/>
              <w:jc w:val="right"/>
              <w:rPr/>
            </w:pPr>
            <w:r>
              <w:rPr/>
              <w:t>​</w:t>
            </w:r>
          </w:p>
        </w:tc>
        <w:tc>
          <w:tcPr>
            <w:tcW w:w="675" w:type="dxa"/>
            <w:tcBorders>
              <w:bottom w:val="single" w:sz="6" w:space="0" w:color="BFBFBF"/>
            </w:tcBorders>
            <w:tcMar>
              <w:bottom w:w="43" w:type="dxa"/>
            </w:tcMar>
            <w:vAlign w:val="center"/>
          </w:tcPr>
          <w:p>
            <w:pPr>
              <w:pStyle w:val="TableContents"/>
              <w:bidi w:val="0"/>
              <w:spacing w:before="0" w:after="283"/>
              <w:jc w:val="right"/>
              <w:rPr/>
            </w:pPr>
            <w:r>
              <w:rPr/>
              <w:t>75%</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5" w:type="dxa"/>
            <w:tcBorders>
              <w:bottom w:val="single" w:sz="6" w:space="0" w:color="BFBFBF"/>
            </w:tcBorders>
            <w:tcMar>
              <w:bottom w:w="43" w:type="dxa"/>
            </w:tcMar>
            <w:vAlign w:val="center"/>
          </w:tcPr>
          <w:p>
            <w:pPr>
              <w:pStyle w:val="TableContents"/>
              <w:bidi w:val="0"/>
              <w:spacing w:before="0" w:after="283"/>
              <w:jc w:val="right"/>
              <w:rPr/>
            </w:pPr>
            <w:r>
              <w:rPr/>
              <w:t>430,650</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43" w:type="dxa"/>
            </w:tcMar>
            <w:vAlign w:val="center"/>
          </w:tcPr>
          <w:p>
            <w:pPr>
              <w:pStyle w:val="TableContents"/>
              <w:bidi w:val="0"/>
              <w:spacing w:before="0" w:after="283"/>
              <w:jc w:val="right"/>
              <w:rPr/>
            </w:pPr>
            <w:r>
              <w:rPr/>
              <w:t>​</w:t>
            </w:r>
          </w:p>
        </w:tc>
        <w:tc>
          <w:tcPr>
            <w:tcW w:w="808" w:type="dxa"/>
            <w:tcBorders>
              <w:bottom w:val="single" w:sz="6" w:space="0" w:color="BFBFBF"/>
            </w:tcBorders>
            <w:tcMar>
              <w:bottom w:w="43" w:type="dxa"/>
            </w:tcMar>
            <w:vAlign w:val="center"/>
          </w:tcPr>
          <w:p>
            <w:pPr>
              <w:pStyle w:val="TableContents"/>
              <w:bidi w:val="0"/>
              <w:spacing w:before="0" w:after="283"/>
              <w:jc w:val="right"/>
              <w:rPr/>
            </w:pPr>
            <w:r>
              <w:rPr/>
              <w:t>85.8%</w:t>
            </w:r>
          </w:p>
        </w:tc>
        <w:tc>
          <w:tcPr>
            <w:tcW w:w="16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6" w:type="dxa"/>
            <w:tcBorders>
              <w:bottom w:val="single" w:sz="6" w:space="0" w:color="BFBFBF"/>
            </w:tcBorders>
            <w:tcMar>
              <w:bottom w:w="43" w:type="dxa"/>
            </w:tcMar>
            <w:vAlign w:val="center"/>
          </w:tcPr>
          <w:p>
            <w:pPr>
              <w:pStyle w:val="TableContents"/>
              <w:bidi w:val="0"/>
              <w:spacing w:before="0" w:after="283"/>
              <w:jc w:val="right"/>
              <w:rPr/>
            </w:pPr>
            <w:r>
              <w:rPr/>
              <w:t>369,614</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1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D.J. Monagle, III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70" w:type="dxa"/>
            <w:tcBorders>
              <w:bottom w:val="single" w:sz="6" w:space="0" w:color="BFBFBF"/>
            </w:tcBorders>
            <w:tcMar>
              <w:bottom w:w="43" w:type="dxa"/>
            </w:tcMar>
            <w:vAlign w:val="center"/>
          </w:tcPr>
          <w:p>
            <w:pPr>
              <w:pStyle w:val="TableContents"/>
              <w:bidi w:val="0"/>
              <w:spacing w:before="0" w:after="283"/>
              <w:jc w:val="right"/>
              <w:rPr/>
            </w:pPr>
            <w:r>
              <w:rPr/>
              <w:t>705,285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43" w:type="dxa"/>
            </w:tcMar>
            <w:vAlign w:val="center"/>
          </w:tcPr>
          <w:p>
            <w:pPr>
              <w:pStyle w:val="TableContents"/>
              <w:bidi w:val="0"/>
              <w:spacing w:before="0" w:after="283"/>
              <w:jc w:val="right"/>
              <w:rPr/>
            </w:pPr>
            <w:r>
              <w:rPr/>
              <w:t>​</w:t>
            </w:r>
          </w:p>
        </w:tc>
        <w:tc>
          <w:tcPr>
            <w:tcW w:w="675" w:type="dxa"/>
            <w:tcBorders>
              <w:bottom w:val="single" w:sz="6" w:space="0" w:color="BFBFBF"/>
            </w:tcBorders>
            <w:tcMar>
              <w:bottom w:w="43" w:type="dxa"/>
            </w:tcMar>
            <w:vAlign w:val="center"/>
          </w:tcPr>
          <w:p>
            <w:pPr>
              <w:pStyle w:val="TableContents"/>
              <w:bidi w:val="0"/>
              <w:spacing w:before="0" w:after="283"/>
              <w:jc w:val="right"/>
              <w:rPr/>
            </w:pPr>
            <w:r>
              <w:rPr/>
              <w:t>75%</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5" w:type="dxa"/>
            <w:tcBorders>
              <w:bottom w:val="single" w:sz="6" w:space="0" w:color="BFBFBF"/>
            </w:tcBorders>
            <w:tcMar>
              <w:bottom w:w="43" w:type="dxa"/>
            </w:tcMar>
            <w:vAlign w:val="center"/>
          </w:tcPr>
          <w:p>
            <w:pPr>
              <w:pStyle w:val="TableContents"/>
              <w:bidi w:val="0"/>
              <w:spacing w:before="0" w:after="283"/>
              <w:jc w:val="right"/>
              <w:rPr/>
            </w:pPr>
            <w:r>
              <w:rPr/>
              <w:t>528,964</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43" w:type="dxa"/>
            </w:tcMar>
            <w:vAlign w:val="center"/>
          </w:tcPr>
          <w:p>
            <w:pPr>
              <w:pStyle w:val="TableContents"/>
              <w:bidi w:val="0"/>
              <w:spacing w:before="0" w:after="283"/>
              <w:jc w:val="right"/>
              <w:rPr/>
            </w:pPr>
            <w:r>
              <w:rPr/>
              <w:t>​</w:t>
            </w:r>
          </w:p>
        </w:tc>
        <w:tc>
          <w:tcPr>
            <w:tcW w:w="808" w:type="dxa"/>
            <w:tcBorders>
              <w:bottom w:val="single" w:sz="6" w:space="0" w:color="BFBFBF"/>
            </w:tcBorders>
            <w:tcMar>
              <w:bottom w:w="43" w:type="dxa"/>
            </w:tcMar>
            <w:vAlign w:val="center"/>
          </w:tcPr>
          <w:p>
            <w:pPr>
              <w:pStyle w:val="TableContents"/>
              <w:bidi w:val="0"/>
              <w:spacing w:before="0" w:after="283"/>
              <w:jc w:val="right"/>
              <w:rPr/>
            </w:pPr>
            <w:r>
              <w:rPr/>
              <w:t>65.5%</w:t>
            </w:r>
          </w:p>
        </w:tc>
        <w:tc>
          <w:tcPr>
            <w:tcW w:w="16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6" w:type="dxa"/>
            <w:tcBorders>
              <w:bottom w:val="single" w:sz="6" w:space="0" w:color="BFBFBF"/>
            </w:tcBorders>
            <w:tcMar>
              <w:bottom w:w="43" w:type="dxa"/>
            </w:tcMar>
            <w:vAlign w:val="center"/>
          </w:tcPr>
          <w:p>
            <w:pPr>
              <w:pStyle w:val="TableContents"/>
              <w:bidi w:val="0"/>
              <w:spacing w:before="0" w:after="283"/>
              <w:jc w:val="right"/>
              <w:rPr/>
            </w:pPr>
            <w:r>
              <w:rPr/>
              <w:t>346,313</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1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70" w:type="dxa"/>
            <w:tcBorders>
              <w:bottom w:val="single" w:sz="6" w:space="0" w:color="BFBFBF"/>
            </w:tcBorders>
            <w:tcMar>
              <w:bottom w:w="43" w:type="dxa"/>
            </w:tcMar>
            <w:vAlign w:val="center"/>
          </w:tcPr>
          <w:p>
            <w:pPr>
              <w:pStyle w:val="TableContents"/>
              <w:bidi w:val="0"/>
              <w:spacing w:before="0" w:after="283"/>
              <w:jc w:val="right"/>
              <w:rPr/>
            </w:pPr>
            <w:r>
              <w:rPr/>
              <w:t>676,004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43" w:type="dxa"/>
            </w:tcMar>
            <w:vAlign w:val="center"/>
          </w:tcPr>
          <w:p>
            <w:pPr>
              <w:pStyle w:val="TableContents"/>
              <w:bidi w:val="0"/>
              <w:spacing w:before="0" w:after="283"/>
              <w:jc w:val="right"/>
              <w:rPr/>
            </w:pPr>
            <w:r>
              <w:rPr/>
              <w:t>​</w:t>
            </w:r>
          </w:p>
        </w:tc>
        <w:tc>
          <w:tcPr>
            <w:tcW w:w="675" w:type="dxa"/>
            <w:tcBorders>
              <w:bottom w:val="single" w:sz="6" w:space="0" w:color="BFBFBF"/>
            </w:tcBorders>
            <w:tcMar>
              <w:bottom w:w="43" w:type="dxa"/>
            </w:tcMar>
            <w:vAlign w:val="center"/>
          </w:tcPr>
          <w:p>
            <w:pPr>
              <w:pStyle w:val="TableContents"/>
              <w:bidi w:val="0"/>
              <w:spacing w:before="0" w:after="283"/>
              <w:jc w:val="right"/>
              <w:rPr/>
            </w:pPr>
            <w:r>
              <w:rPr/>
              <w:t>75%</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5" w:type="dxa"/>
            <w:tcBorders>
              <w:bottom w:val="single" w:sz="6" w:space="0" w:color="BFBFBF"/>
            </w:tcBorders>
            <w:tcMar>
              <w:bottom w:w="43" w:type="dxa"/>
            </w:tcMar>
            <w:vAlign w:val="center"/>
          </w:tcPr>
          <w:p>
            <w:pPr>
              <w:pStyle w:val="TableContents"/>
              <w:bidi w:val="0"/>
              <w:spacing w:before="0" w:after="283"/>
              <w:jc w:val="right"/>
              <w:rPr/>
            </w:pPr>
            <w:r>
              <w:rPr/>
              <w:t>507,003</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28" w:type="dxa"/>
            </w:tcMar>
            <w:vAlign w:val="center"/>
          </w:tcPr>
          <w:p>
            <w:pPr>
              <w:pStyle w:val="TableContents"/>
              <w:bidi w:val="0"/>
              <w:spacing w:before="0" w:after="283"/>
              <w:jc w:val="left"/>
              <w:rPr/>
            </w:pPr>
            <w:r>
              <w:rPr/>
              <w:t>​</w:t>
            </w:r>
          </w:p>
        </w:tc>
        <w:tc>
          <w:tcPr>
            <w:tcW w:w="166" w:type="dxa"/>
            <w:tcBorders>
              <w:bottom w:val="single" w:sz="6" w:space="0" w:color="BFBFBF"/>
            </w:tcBorders>
            <w:tcMar>
              <w:bottom w:w="43" w:type="dxa"/>
            </w:tcMar>
            <w:vAlign w:val="center"/>
          </w:tcPr>
          <w:p>
            <w:pPr>
              <w:pStyle w:val="TableContents"/>
              <w:bidi w:val="0"/>
              <w:spacing w:before="0" w:after="283"/>
              <w:jc w:val="right"/>
              <w:rPr/>
            </w:pPr>
            <w:r>
              <w:rPr/>
              <w:t>​</w:t>
            </w:r>
          </w:p>
        </w:tc>
        <w:tc>
          <w:tcPr>
            <w:tcW w:w="808" w:type="dxa"/>
            <w:tcBorders>
              <w:bottom w:val="single" w:sz="6" w:space="0" w:color="BFBFBF"/>
            </w:tcBorders>
            <w:tcMar>
              <w:bottom w:w="43" w:type="dxa"/>
            </w:tcMar>
            <w:vAlign w:val="center"/>
          </w:tcPr>
          <w:p>
            <w:pPr>
              <w:pStyle w:val="TableContents"/>
              <w:bidi w:val="0"/>
              <w:spacing w:before="0" w:after="283"/>
              <w:jc w:val="right"/>
              <w:rPr/>
            </w:pPr>
            <w:r>
              <w:rPr/>
              <w:t>96.1%</w:t>
            </w:r>
          </w:p>
        </w:tc>
        <w:tc>
          <w:tcPr>
            <w:tcW w:w="16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3" w:type="dxa"/>
            </w:tcMar>
            <w:vAlign w:val="center"/>
          </w:tcPr>
          <w:p>
            <w:pPr>
              <w:pStyle w:val="TableContents"/>
              <w:bidi w:val="0"/>
              <w:spacing w:before="0" w:after="283"/>
              <w:jc w:val="right"/>
              <w:rPr/>
            </w:pPr>
            <w:r>
              <w:rPr/>
              <w:t>​</w:t>
            </w:r>
          </w:p>
        </w:tc>
        <w:tc>
          <w:tcPr>
            <w:tcW w:w="1126" w:type="dxa"/>
            <w:tcBorders>
              <w:bottom w:val="single" w:sz="6" w:space="0" w:color="BFBFBF"/>
            </w:tcBorders>
            <w:tcMar>
              <w:bottom w:w="43" w:type="dxa"/>
            </w:tcMar>
            <w:vAlign w:val="center"/>
          </w:tcPr>
          <w:p>
            <w:pPr>
              <w:pStyle w:val="TableContents"/>
              <w:bidi w:val="0"/>
              <w:spacing w:before="0" w:after="283"/>
              <w:jc w:val="right"/>
              <w:rPr/>
            </w:pPr>
            <w:r>
              <w:rPr/>
              <w:t>487,010</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1010"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J.J. Hastings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70" w:type="dxa"/>
            <w:tcBorders>
              <w:bottom w:val="single" w:sz="12" w:space="0" w:color="71B1C8"/>
            </w:tcBorders>
            <w:tcMar>
              <w:bottom w:w="28" w:type="dxa"/>
            </w:tcMar>
            <w:vAlign w:val="center"/>
          </w:tcPr>
          <w:p>
            <w:pPr>
              <w:pStyle w:val="TableContents"/>
              <w:bidi w:val="0"/>
              <w:spacing w:before="0" w:after="283"/>
              <w:jc w:val="right"/>
              <w:rPr/>
            </w:pPr>
            <w:r>
              <w:rPr/>
              <w:t>654,859</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7" w:type="dxa"/>
            <w:tcBorders>
              <w:bottom w:val="single" w:sz="12" w:space="0" w:color="71B1C8"/>
            </w:tcBorders>
            <w:tcMar>
              <w:bottom w:w="28" w:type="dxa"/>
            </w:tcMar>
            <w:vAlign w:val="center"/>
          </w:tcPr>
          <w:p>
            <w:pPr>
              <w:pStyle w:val="TableContents"/>
              <w:bidi w:val="0"/>
              <w:spacing w:before="0" w:after="283"/>
              <w:jc w:val="left"/>
              <w:rPr/>
            </w:pPr>
            <w:r>
              <w:rPr/>
              <w:t>​</w:t>
            </w:r>
          </w:p>
        </w:tc>
        <w:tc>
          <w:tcPr>
            <w:tcW w:w="157" w:type="dxa"/>
            <w:tcBorders>
              <w:bottom w:val="single" w:sz="12" w:space="0" w:color="71B1C8"/>
            </w:tcBorders>
            <w:tcMar>
              <w:bottom w:w="28" w:type="dxa"/>
            </w:tcMar>
            <w:vAlign w:val="center"/>
          </w:tcPr>
          <w:p>
            <w:pPr>
              <w:pStyle w:val="TableContents"/>
              <w:bidi w:val="0"/>
              <w:spacing w:before="0" w:after="283"/>
              <w:jc w:val="right"/>
              <w:rPr/>
            </w:pPr>
            <w:r>
              <w:rPr/>
              <w:t>​</w:t>
            </w:r>
          </w:p>
        </w:tc>
        <w:tc>
          <w:tcPr>
            <w:tcW w:w="675" w:type="dxa"/>
            <w:tcBorders>
              <w:bottom w:val="single" w:sz="12" w:space="0" w:color="71B1C8"/>
            </w:tcBorders>
            <w:tcMar>
              <w:bottom w:w="28" w:type="dxa"/>
            </w:tcMar>
            <w:vAlign w:val="center"/>
          </w:tcPr>
          <w:p>
            <w:pPr>
              <w:pStyle w:val="TableContents"/>
              <w:bidi w:val="0"/>
              <w:spacing w:before="0" w:after="283"/>
              <w:jc w:val="right"/>
              <w:rPr/>
            </w:pPr>
            <w:r>
              <w:rPr/>
              <w:t>75%</w:t>
            </w:r>
          </w:p>
        </w:tc>
        <w:tc>
          <w:tcPr>
            <w:tcW w:w="160"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15" w:type="dxa"/>
            <w:tcBorders>
              <w:bottom w:val="single" w:sz="12" w:space="0" w:color="71B1C8"/>
            </w:tcBorders>
            <w:tcMar>
              <w:bottom w:w="28" w:type="dxa"/>
            </w:tcMar>
            <w:vAlign w:val="center"/>
          </w:tcPr>
          <w:p>
            <w:pPr>
              <w:pStyle w:val="TableContents"/>
              <w:bidi w:val="0"/>
              <w:spacing w:before="0" w:after="283"/>
              <w:jc w:val="left"/>
              <w:rPr/>
            </w:pPr>
            <w:r>
              <w:rPr/>
              <w:t>​</w:t>
            </w:r>
          </w:p>
        </w:tc>
        <w:tc>
          <w:tcPr>
            <w:tcW w:w="115" w:type="dxa"/>
            <w:tcBorders>
              <w:bottom w:val="single" w:sz="12" w:space="0" w:color="71B1C8"/>
            </w:tcBorders>
            <w:tcMar>
              <w:bottom w:w="28" w:type="dxa"/>
            </w:tcMar>
            <w:vAlign w:val="center"/>
          </w:tcPr>
          <w:p>
            <w:pPr>
              <w:pStyle w:val="TableContents"/>
              <w:bidi w:val="0"/>
              <w:spacing w:before="0" w:after="283"/>
              <w:jc w:val="right"/>
              <w:rPr/>
            </w:pPr>
            <w:r>
              <w:rPr/>
              <w:t>​</w:t>
            </w:r>
          </w:p>
        </w:tc>
        <w:tc>
          <w:tcPr>
            <w:tcW w:w="1125" w:type="dxa"/>
            <w:tcBorders>
              <w:bottom w:val="single" w:sz="12" w:space="0" w:color="71B1C8"/>
            </w:tcBorders>
            <w:tcMar>
              <w:bottom w:w="28" w:type="dxa"/>
            </w:tcMar>
            <w:vAlign w:val="center"/>
          </w:tcPr>
          <w:p>
            <w:pPr>
              <w:pStyle w:val="TableContents"/>
              <w:bidi w:val="0"/>
              <w:spacing w:before="0" w:after="283"/>
              <w:jc w:val="right"/>
              <w:rPr/>
            </w:pPr>
            <w:r>
              <w:rPr/>
              <w:t>491,144</w:t>
            </w:r>
          </w:p>
        </w:tc>
        <w:tc>
          <w:tcPr>
            <w:tcW w:w="116"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66" w:type="dxa"/>
            <w:tcBorders>
              <w:bottom w:val="single" w:sz="12" w:space="0" w:color="71B1C8"/>
            </w:tcBorders>
            <w:tcMar>
              <w:bottom w:w="28" w:type="dxa"/>
            </w:tcMar>
            <w:vAlign w:val="center"/>
          </w:tcPr>
          <w:p>
            <w:pPr>
              <w:pStyle w:val="TableContents"/>
              <w:bidi w:val="0"/>
              <w:spacing w:before="0" w:after="283"/>
              <w:jc w:val="left"/>
              <w:rPr/>
            </w:pPr>
            <w:r>
              <w:rPr/>
              <w:t>​</w:t>
            </w:r>
          </w:p>
        </w:tc>
        <w:tc>
          <w:tcPr>
            <w:tcW w:w="166" w:type="dxa"/>
            <w:tcBorders>
              <w:bottom w:val="single" w:sz="12" w:space="0" w:color="71B1C8"/>
            </w:tcBorders>
            <w:tcMar>
              <w:bottom w:w="28" w:type="dxa"/>
            </w:tcMar>
            <w:vAlign w:val="center"/>
          </w:tcPr>
          <w:p>
            <w:pPr>
              <w:pStyle w:val="TableContents"/>
              <w:bidi w:val="0"/>
              <w:spacing w:before="0" w:after="283"/>
              <w:jc w:val="right"/>
              <w:rPr/>
            </w:pPr>
            <w:r>
              <w:rPr/>
              <w:t>​</w:t>
            </w:r>
          </w:p>
        </w:tc>
        <w:tc>
          <w:tcPr>
            <w:tcW w:w="808" w:type="dxa"/>
            <w:tcBorders>
              <w:bottom w:val="single" w:sz="12" w:space="0" w:color="71B1C8"/>
            </w:tcBorders>
            <w:tcMar>
              <w:bottom w:w="28" w:type="dxa"/>
            </w:tcMar>
            <w:vAlign w:val="center"/>
          </w:tcPr>
          <w:p>
            <w:pPr>
              <w:pStyle w:val="TableContents"/>
              <w:bidi w:val="0"/>
              <w:spacing w:before="0" w:after="283"/>
              <w:jc w:val="right"/>
              <w:rPr/>
            </w:pPr>
            <w:r>
              <w:rPr/>
              <w:t>88.1%</w:t>
            </w:r>
          </w:p>
        </w:tc>
        <w:tc>
          <w:tcPr>
            <w:tcW w:w="16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15" w:type="dxa"/>
            <w:tcBorders>
              <w:bottom w:val="single" w:sz="12" w:space="0" w:color="71B1C8"/>
            </w:tcBorders>
            <w:tcMar>
              <w:bottom w:w="28" w:type="dxa"/>
            </w:tcMar>
            <w:vAlign w:val="center"/>
          </w:tcPr>
          <w:p>
            <w:pPr>
              <w:pStyle w:val="TableContents"/>
              <w:bidi w:val="0"/>
              <w:spacing w:before="0" w:after="283"/>
              <w:jc w:val="left"/>
              <w:rPr/>
            </w:pPr>
            <w:r>
              <w:rPr/>
              <w:t>​</w:t>
            </w:r>
          </w:p>
        </w:tc>
        <w:tc>
          <w:tcPr>
            <w:tcW w:w="115" w:type="dxa"/>
            <w:tcBorders>
              <w:bottom w:val="single" w:sz="12" w:space="0" w:color="71B1C8"/>
            </w:tcBorders>
            <w:tcMar>
              <w:bottom w:w="28" w:type="dxa"/>
            </w:tcMar>
            <w:vAlign w:val="center"/>
          </w:tcPr>
          <w:p>
            <w:pPr>
              <w:pStyle w:val="TableContents"/>
              <w:bidi w:val="0"/>
              <w:spacing w:before="0" w:after="283"/>
              <w:jc w:val="right"/>
              <w:rPr/>
            </w:pPr>
            <w:r>
              <w:rPr/>
              <w:t>​</w:t>
            </w:r>
          </w:p>
        </w:tc>
        <w:tc>
          <w:tcPr>
            <w:tcW w:w="1126" w:type="dxa"/>
            <w:tcBorders>
              <w:bottom w:val="single" w:sz="12" w:space="0" w:color="71B1C8"/>
            </w:tcBorders>
            <w:tcMar>
              <w:bottom w:w="28" w:type="dxa"/>
            </w:tcMar>
            <w:vAlign w:val="center"/>
          </w:tcPr>
          <w:p>
            <w:pPr>
              <w:pStyle w:val="TableContents"/>
              <w:bidi w:val="0"/>
              <w:spacing w:before="0" w:after="283"/>
              <w:jc w:val="right"/>
              <w:rPr/>
            </w:pPr>
            <w:r>
              <w:rPr/>
              <w:t>432,551</w:t>
            </w:r>
          </w:p>
        </w:tc>
        <w:tc>
          <w:tcPr>
            <w:tcW w:w="116" w:type="dxa"/>
            <w:tcBorders>
              <w:bottom w:val="single" w:sz="12" w:space="0" w:color="71B1C8"/>
            </w:tcBorders>
            <w:tcMar>
              <w:bottom w:w="28" w:type="dxa"/>
            </w:tcMar>
            <w:vAlign w:val="center"/>
          </w:tcPr>
          <w:p>
            <w:pPr>
              <w:pStyle w:val="TableContents"/>
              <w:bidi w:val="0"/>
              <w:spacing w:before="0" w:after="283"/>
              <w:jc w:val="left"/>
              <w:rPr/>
            </w:pPr>
            <w:r>
              <w:rPr/>
              <w:t>​</w:t>
            </w:r>
          </w:p>
        </w:tc>
        <w:tc>
          <w:tcPr>
            <w:tcW w:w="163"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45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50" w:before="400" w:after="283"/>
        <w:ind w:left="1020" w:right="0" w:hanging="0"/>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Calculating the Performance Factor</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maintain a strong link between performance and pay within our executive compensation program through emphasis on incentives and utilization of performance measures that we believe are key drivers of shareholder value creation. For 2025, the Annual Incentive Plan continued to use two financial measures that we determined are important business metrics that lead to creation of shareholder value and therefore deserve significant focus. Both of these measures, </w:t>
      </w:r>
      <w:r>
        <w:rPr>
          <w:rFonts w:ascii="Arial;Helvetica;sans-serif" w:hAnsi="Arial;Helvetica;sans-serif"/>
          <w:b/>
          <w:i w:val="false"/>
          <w:caps w:val="false"/>
          <w:smallCaps w:val="false"/>
          <w:color w:val="000000"/>
          <w:spacing w:val="0"/>
          <w:sz w:val="18"/>
        </w:rPr>
        <w:t>Operating Income</w:t>
      </w:r>
      <w:r>
        <w:rPr>
          <w:rFonts w:ascii="Arial;Helvetica;sans-serif" w:hAnsi="Arial;Helvetica;sans-serif"/>
          <w:b w:val="false"/>
          <w:i w:val="false"/>
          <w:caps w:val="false"/>
          <w:smallCaps w:val="false"/>
          <w:color w:val="000000"/>
          <w:spacing w:val="-1"/>
          <w:sz w:val="18"/>
        </w:rPr>
        <w:t xml:space="preserve"> (OI) and </w:t>
      </w:r>
      <w:r>
        <w:rPr>
          <w:rFonts w:ascii="Arial;Helvetica;sans-serif" w:hAnsi="Arial;Helvetica;sans-serif"/>
          <w:b/>
          <w:i w:val="false"/>
          <w:caps w:val="false"/>
          <w:smallCaps w:val="false"/>
          <w:color w:val="000000"/>
          <w:spacing w:val="0"/>
          <w:sz w:val="18"/>
        </w:rPr>
        <w:t>Return on Net Assets</w:t>
      </w:r>
      <w:r>
        <w:rPr>
          <w:rFonts w:ascii="Arial;Helvetica;sans-serif" w:hAnsi="Arial;Helvetica;sans-serif"/>
          <w:b w:val="false"/>
          <w:i w:val="false"/>
          <w:caps w:val="false"/>
          <w:smallCaps w:val="false"/>
          <w:color w:val="000000"/>
          <w:spacing w:val="-1"/>
          <w:sz w:val="18"/>
        </w:rPr>
        <w:t xml:space="preserve"> (RONA), were consistent with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Performance of the Company as a whole with respect to OI and RONA was a significant factor in each executive’s bonus opportunity. For executives who were Segment Leaders in 2025, namely Mr. Monagle and Mr. Argirakis, performance with respect to these financial targets within the executive’s segment was also a significant factor in such executive’s bonus opportunity. The remainder of each executive’s bonus opportunity was based on personal performance objectives.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summarizes the weightings for each element of the performance factor (corporate financial targets, Segment financial targets, and personal performance objectives) for each of our named executive officers, along with their achievement in 2025.</w:t>
      </w:r>
      <w:r>
        <w:rPr>
          <w:rFonts w:ascii="Arial;Helvetica;sans-serif" w:hAnsi="Arial;Helvetica;sans-serif"/>
          <w:b w:val="false"/>
          <w:i w:val="false"/>
          <w:caps w:val="false"/>
          <w:smallCaps w:val="false"/>
          <w:color w:val="000000"/>
          <w:spacing w:val="4"/>
          <w:sz w:val="18"/>
        </w:rPr>
        <w:t xml:space="preserve"> </w:t>
      </w:r>
    </w:p>
    <w:tbl>
      <w:tblPr>
        <w:tblW w:w="9972" w:type="dxa"/>
        <w:jc w:val="left"/>
        <w:tblInd w:w="1020" w:type="dxa"/>
        <w:tblLayout w:type="fixed"/>
        <w:tblCellMar>
          <w:top w:w="0" w:type="dxa"/>
          <w:left w:w="0" w:type="dxa"/>
          <w:bottom w:w="0" w:type="dxa"/>
          <w:right w:w="0" w:type="dxa"/>
        </w:tblCellMar>
      </w:tblPr>
      <w:tblGrid>
        <w:gridCol w:w="124"/>
        <w:gridCol w:w="1000"/>
        <w:gridCol w:w="109"/>
        <w:gridCol w:w="109"/>
        <w:gridCol w:w="142"/>
        <w:gridCol w:w="142"/>
        <w:gridCol w:w="703"/>
        <w:gridCol w:w="109"/>
        <w:gridCol w:w="109"/>
        <w:gridCol w:w="109"/>
        <w:gridCol w:w="142"/>
        <w:gridCol w:w="142"/>
        <w:gridCol w:w="942"/>
        <w:gridCol w:w="140"/>
        <w:gridCol w:w="109"/>
        <w:gridCol w:w="109"/>
        <w:gridCol w:w="177"/>
        <w:gridCol w:w="177"/>
        <w:gridCol w:w="563"/>
        <w:gridCol w:w="179"/>
        <w:gridCol w:w="109"/>
        <w:gridCol w:w="109"/>
        <w:gridCol w:w="174"/>
        <w:gridCol w:w="174"/>
        <w:gridCol w:w="842"/>
        <w:gridCol w:w="176"/>
        <w:gridCol w:w="109"/>
        <w:gridCol w:w="109"/>
        <w:gridCol w:w="177"/>
        <w:gridCol w:w="177"/>
        <w:gridCol w:w="563"/>
        <w:gridCol w:w="179"/>
        <w:gridCol w:w="109"/>
        <w:gridCol w:w="109"/>
        <w:gridCol w:w="153"/>
        <w:gridCol w:w="153"/>
        <w:gridCol w:w="906"/>
        <w:gridCol w:w="154"/>
        <w:gridCol w:w="154"/>
      </w:tblGrid>
      <w:tr>
        <w:trPr/>
        <w:tc>
          <w:tcPr>
            <w:tcW w:w="124" w:type="dxa"/>
            <w:vMerge w:val="restart"/>
            <w:tcBorders/>
            <w:shd w:fill="002F56" w:val="clear"/>
            <w:vAlign w:val="center"/>
          </w:tcPr>
          <w:p>
            <w:pPr>
              <w:pStyle w:val="TableContents"/>
              <w:bidi w:val="0"/>
              <w:spacing w:before="0" w:after="283"/>
              <w:jc w:val="left"/>
              <w:rPr/>
            </w:pPr>
            <w:r>
              <w:rPr/>
              <w:t>​</w:t>
            </w:r>
          </w:p>
        </w:tc>
        <w:tc>
          <w:tcPr>
            <w:tcW w:w="1000" w:type="dxa"/>
            <w:vMerge w:val="restart"/>
            <w:tcBorders/>
            <w:shd w:fill="002F56" w:val="clear"/>
            <w:vAlign w:val="center"/>
          </w:tcPr>
          <w:p>
            <w:pPr>
              <w:pStyle w:val="TableContents"/>
              <w:bidi w:val="0"/>
              <w:spacing w:lineRule="atLeast" w:line="190" w:before="0" w:after="0"/>
              <w:jc w:val="left"/>
              <w:rPr>
                <w:spacing w:val="0"/>
              </w:rPr>
            </w:pPr>
            <w:r>
              <w:rPr>
                <w:spacing w:val="0"/>
              </w:rPr>
              <w:t xml:space="preserve">Name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c>
          <w:tcPr>
            <w:tcW w:w="2680" w:type="dxa"/>
            <w:gridSpan w:val="10"/>
            <w:tcBorders>
              <w:bottom w:val="single" w:sz="6" w:space="0" w:color="71B1C8"/>
            </w:tcBorders>
            <w:shd w:fill="002F56" w:val="clear"/>
            <w:tcMar>
              <w:bottom w:w="37" w:type="dxa"/>
            </w:tcMar>
            <w:vAlign w:val="center"/>
          </w:tcPr>
          <w:p>
            <w:pPr>
              <w:pStyle w:val="TableContents"/>
              <w:bidi w:val="0"/>
              <w:spacing w:before="0" w:after="0"/>
              <w:jc w:val="center"/>
              <w:rPr/>
            </w:pPr>
            <w:r>
              <w:rPr/>
              <w:drawing>
                <wp:inline distT="0" distB="0" distL="0" distR="0">
                  <wp:extent cx="361950" cy="361950"/>
                  <wp:effectExtent l="0" t="0" r="0" b="0"/>
                  <wp:docPr id="693"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258" descr=""/>
                          <pic:cNvPicPr>
                            <a:picLocks noChangeAspect="1" noChangeArrowheads="1"/>
                          </pic:cNvPicPr>
                        </pic:nvPicPr>
                        <pic:blipFill>
                          <a:blip r:embed="rId270"/>
                          <a:stretch>
                            <a:fillRect/>
                          </a:stretch>
                        </pic:blipFill>
                        <pic:spPr bwMode="auto">
                          <a:xfrm>
                            <a:off x="0" y="0"/>
                            <a:ext cx="361950" cy="361950"/>
                          </a:xfrm>
                          <a:prstGeom prst="rect">
                            <a:avLst/>
                          </a:prstGeom>
                        </pic:spPr>
                      </pic:pic>
                    </a:graphicData>
                  </a:graphic>
                </wp:inline>
              </w:drawing>
            </w:r>
            <w:r>
              <w:rPr/>
              <w:t xml:space="preserve"> </w:t>
            </w:r>
          </w:p>
          <w:p>
            <w:pPr>
              <w:pStyle w:val="TableContents"/>
              <w:bidi w:val="0"/>
              <w:spacing w:lineRule="atLeast" w:line="190" w:before="70" w:after="283"/>
              <w:jc w:val="center"/>
              <w:rPr>
                <w:spacing w:val="0"/>
              </w:rPr>
            </w:pPr>
            <w:r>
              <w:rPr>
                <w:spacing w:val="0"/>
              </w:rPr>
              <w:t xml:space="preserve">Company Financial Targets </w:t>
            </w:r>
          </w:p>
        </w:tc>
        <w:tc>
          <w:tcPr>
            <w:tcW w:w="109"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2680" w:type="dxa"/>
            <w:gridSpan w:val="10"/>
            <w:tcBorders>
              <w:bottom w:val="single" w:sz="6" w:space="0" w:color="71B1C8"/>
            </w:tcBorders>
            <w:shd w:fill="002F56" w:val="clear"/>
            <w:tcMar>
              <w:bottom w:w="37" w:type="dxa"/>
            </w:tcMar>
            <w:vAlign w:val="center"/>
          </w:tcPr>
          <w:p>
            <w:pPr>
              <w:pStyle w:val="TableContents"/>
              <w:bidi w:val="0"/>
              <w:spacing w:before="0" w:after="0"/>
              <w:jc w:val="center"/>
              <w:rPr/>
            </w:pPr>
            <w:r>
              <w:rPr/>
              <w:drawing>
                <wp:inline distT="0" distB="0" distL="0" distR="0">
                  <wp:extent cx="419100" cy="419100"/>
                  <wp:effectExtent l="0" t="0" r="0" b="0"/>
                  <wp:docPr id="694"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259" descr=""/>
                          <pic:cNvPicPr>
                            <a:picLocks noChangeAspect="1" noChangeArrowheads="1"/>
                          </pic:cNvPicPr>
                        </pic:nvPicPr>
                        <pic:blipFill>
                          <a:blip r:embed="rId271"/>
                          <a:stretch>
                            <a:fillRect/>
                          </a:stretch>
                        </pic:blipFill>
                        <pic:spPr bwMode="auto">
                          <a:xfrm>
                            <a:off x="0" y="0"/>
                            <a:ext cx="419100" cy="419100"/>
                          </a:xfrm>
                          <a:prstGeom prst="rect">
                            <a:avLst/>
                          </a:prstGeom>
                        </pic:spPr>
                      </pic:pic>
                    </a:graphicData>
                  </a:graphic>
                </wp:inline>
              </w:drawing>
            </w:r>
            <w:r>
              <w:rPr/>
              <w:t xml:space="preserve"> </w:t>
            </w:r>
          </w:p>
          <w:p>
            <w:pPr>
              <w:pStyle w:val="TableContents"/>
              <w:bidi w:val="0"/>
              <w:spacing w:lineRule="atLeast" w:line="190" w:before="70" w:after="283"/>
              <w:jc w:val="center"/>
              <w:rPr>
                <w:spacing w:val="0"/>
              </w:rPr>
            </w:pPr>
            <w:r>
              <w:rPr>
                <w:spacing w:val="0"/>
              </w:rPr>
              <w:t xml:space="preserve">Segment Financial Targets </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c>
          <w:tcPr>
            <w:tcW w:w="2680" w:type="dxa"/>
            <w:gridSpan w:val="10"/>
            <w:tcBorders>
              <w:bottom w:val="single" w:sz="6" w:space="0" w:color="71B1C8"/>
            </w:tcBorders>
            <w:shd w:fill="002F56" w:val="clear"/>
            <w:tcMar>
              <w:bottom w:w="37" w:type="dxa"/>
            </w:tcMar>
            <w:vAlign w:val="center"/>
          </w:tcPr>
          <w:p>
            <w:pPr>
              <w:pStyle w:val="TableContents"/>
              <w:bidi w:val="0"/>
              <w:spacing w:before="0" w:after="0"/>
              <w:jc w:val="center"/>
              <w:rPr/>
            </w:pPr>
            <w:r>
              <w:rPr/>
              <w:drawing>
                <wp:inline distT="0" distB="0" distL="0" distR="0">
                  <wp:extent cx="381000" cy="409575"/>
                  <wp:effectExtent l="0" t="0" r="0" b="0"/>
                  <wp:docPr id="695"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260" descr=""/>
                          <pic:cNvPicPr>
                            <a:picLocks noChangeAspect="1" noChangeArrowheads="1"/>
                          </pic:cNvPicPr>
                        </pic:nvPicPr>
                        <pic:blipFill>
                          <a:blip r:embed="rId272"/>
                          <a:stretch>
                            <a:fillRect/>
                          </a:stretch>
                        </pic:blipFill>
                        <pic:spPr bwMode="auto">
                          <a:xfrm>
                            <a:off x="0" y="0"/>
                            <a:ext cx="381000" cy="409575"/>
                          </a:xfrm>
                          <a:prstGeom prst="rect">
                            <a:avLst/>
                          </a:prstGeom>
                        </pic:spPr>
                      </pic:pic>
                    </a:graphicData>
                  </a:graphic>
                </wp:inline>
              </w:drawing>
            </w:r>
            <w:r>
              <w:rPr/>
              <w:t xml:space="preserve"> </w:t>
            </w:r>
          </w:p>
          <w:p>
            <w:pPr>
              <w:pStyle w:val="TableContents"/>
              <w:bidi w:val="0"/>
              <w:spacing w:lineRule="atLeast" w:line="190" w:before="70" w:after="283"/>
              <w:jc w:val="center"/>
              <w:rPr>
                <w:spacing w:val="0"/>
              </w:rPr>
            </w:pPr>
            <w:r>
              <w:rPr>
                <w:spacing w:val="0"/>
              </w:rPr>
              <w:t xml:space="preserve">Personal Performance </w:t>
            </w:r>
          </w:p>
        </w:tc>
        <w:tc>
          <w:tcPr>
            <w:tcW w:w="154"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2F56" w:val="clear"/>
            <w:vAlign w:val="center"/>
          </w:tcPr>
          <w:p>
            <w:pPr>
              <w:pStyle w:val="Normal"/>
              <w:bidi w:val="0"/>
              <w:jc w:val="left"/>
              <w:rPr/>
            </w:pPr>
            <w:r>
              <w:rPr/>
            </w:r>
          </w:p>
        </w:tc>
        <w:tc>
          <w:tcPr>
            <w:tcW w:w="1000"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1096" w:type="dxa"/>
            <w:gridSpan w:val="4"/>
            <w:tcBorders/>
            <w:shd w:fill="002F56" w:val="clear"/>
            <w:vAlign w:val="center"/>
          </w:tcPr>
          <w:p>
            <w:pPr>
              <w:pStyle w:val="TableContents"/>
              <w:bidi w:val="0"/>
              <w:spacing w:before="0" w:after="0"/>
              <w:jc w:val="center"/>
              <w:rPr>
                <w:spacing w:val="0"/>
              </w:rPr>
            </w:pPr>
            <w:r>
              <w:rPr>
                <w:spacing w:val="0"/>
              </w:rPr>
              <w:t xml:space="preserve">Weighting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spacing w:val="0"/>
              </w:rPr>
            </w:pPr>
            <w:r>
              <w:rPr>
                <w:spacing w:val="0"/>
              </w:rPr>
              <w:t xml:space="preserve">Achievement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6" w:type="dxa"/>
            <w:gridSpan w:val="4"/>
            <w:tcBorders/>
            <w:shd w:fill="002F56" w:val="clear"/>
            <w:vAlign w:val="center"/>
          </w:tcPr>
          <w:p>
            <w:pPr>
              <w:pStyle w:val="TableContents"/>
              <w:bidi w:val="0"/>
              <w:spacing w:before="0" w:after="0"/>
              <w:jc w:val="center"/>
              <w:rPr>
                <w:spacing w:val="0"/>
              </w:rPr>
            </w:pPr>
            <w:r>
              <w:rPr>
                <w:spacing w:val="0"/>
              </w:rPr>
              <w:t xml:space="preserve">Weighting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spacing w:val="0"/>
              </w:rPr>
            </w:pPr>
            <w:r>
              <w:rPr>
                <w:spacing w:val="0"/>
              </w:rPr>
              <w:t xml:space="preserve">Achievement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6" w:type="dxa"/>
            <w:gridSpan w:val="4"/>
            <w:tcBorders/>
            <w:shd w:fill="002F56" w:val="clear"/>
            <w:vAlign w:val="center"/>
          </w:tcPr>
          <w:p>
            <w:pPr>
              <w:pStyle w:val="TableContents"/>
              <w:bidi w:val="0"/>
              <w:spacing w:before="0" w:after="0"/>
              <w:jc w:val="center"/>
              <w:rPr>
                <w:spacing w:val="0"/>
              </w:rPr>
            </w:pPr>
            <w:r>
              <w:rPr>
                <w:spacing w:val="0"/>
              </w:rPr>
              <w:t xml:space="preserve">Weighting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spacing w:val="0"/>
              </w:rPr>
            </w:pPr>
            <w:r>
              <w:rPr>
                <w:spacing w:val="0"/>
              </w:rPr>
              <w:t xml:space="preserve">Achievement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0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703" w:type="dxa"/>
            <w:tcBorders>
              <w:bottom w:val="single" w:sz="6" w:space="0" w:color="BFBFBF"/>
            </w:tcBorders>
            <w:tcMar>
              <w:bottom w:w="43" w:type="dxa"/>
            </w:tcMar>
            <w:vAlign w:val="center"/>
          </w:tcPr>
          <w:p>
            <w:pPr>
              <w:pStyle w:val="TableContents"/>
              <w:bidi w:val="0"/>
              <w:spacing w:before="0" w:after="283"/>
              <w:jc w:val="right"/>
              <w:rPr/>
            </w:pPr>
            <w:r>
              <w:rPr/>
              <w:t>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942" w:type="dxa"/>
            <w:tcBorders>
              <w:bottom w:val="single" w:sz="6" w:space="0" w:color="BFBFBF"/>
            </w:tcBorders>
            <w:tcMar>
              <w:bottom w:w="43" w:type="dxa"/>
            </w:tcMar>
            <w:vAlign w:val="center"/>
          </w:tcPr>
          <w:p>
            <w:pPr>
              <w:pStyle w:val="TableContents"/>
              <w:bidi w:val="0"/>
              <w:spacing w:before="0" w:after="283"/>
              <w:jc w:val="right"/>
              <w:rPr/>
            </w:pPr>
            <w:r>
              <w:rPr/>
              <w:t>77.6%</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43" w:type="dxa"/>
            </w:tcMar>
            <w:vAlign w:val="center"/>
          </w:tcPr>
          <w:p>
            <w:pPr>
              <w:pStyle w:val="TableContents"/>
              <w:bidi w:val="0"/>
              <w:spacing w:before="0" w:after="283"/>
              <w:jc w:val="right"/>
              <w:rPr/>
            </w:pPr>
            <w:r>
              <w:rPr/>
              <w:t>​</w:t>
            </w:r>
          </w:p>
        </w:tc>
        <w:tc>
          <w:tcPr>
            <w:tcW w:w="842" w:type="dxa"/>
            <w:tcBorders>
              <w:bottom w:val="single" w:sz="6" w:space="0" w:color="BFBFBF"/>
            </w:tcBorders>
            <w:tcMar>
              <w:bottom w:w="43"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30%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3" w:type="dxa"/>
            </w:tcMar>
            <w:vAlign w:val="center"/>
          </w:tcPr>
          <w:p>
            <w:pPr>
              <w:pStyle w:val="TableContents"/>
              <w:bidi w:val="0"/>
              <w:spacing w:before="0" w:after="283"/>
              <w:jc w:val="right"/>
              <w:rPr/>
            </w:pPr>
            <w:r>
              <w:rPr/>
              <w:t>​</w:t>
            </w:r>
          </w:p>
        </w:tc>
        <w:tc>
          <w:tcPr>
            <w:tcW w:w="906" w:type="dxa"/>
            <w:tcBorders>
              <w:bottom w:val="single" w:sz="6" w:space="0" w:color="BFBFBF"/>
            </w:tcBorders>
            <w:tcMar>
              <w:bottom w:w="43" w:type="dxa"/>
            </w:tcMar>
            <w:vAlign w:val="center"/>
          </w:tcPr>
          <w:p>
            <w:pPr>
              <w:pStyle w:val="TableContents"/>
              <w:bidi w:val="0"/>
              <w:spacing w:before="0" w:after="283"/>
              <w:jc w:val="right"/>
              <w:rPr/>
            </w:pPr>
            <w:r>
              <w:rPr/>
              <w:t>105.7%</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0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703" w:type="dxa"/>
            <w:tcBorders>
              <w:bottom w:val="single" w:sz="6" w:space="0" w:color="BFBFBF"/>
            </w:tcBorders>
            <w:tcMar>
              <w:bottom w:w="43" w:type="dxa"/>
            </w:tcMar>
            <w:vAlign w:val="center"/>
          </w:tcPr>
          <w:p>
            <w:pPr>
              <w:pStyle w:val="TableContents"/>
              <w:bidi w:val="0"/>
              <w:spacing w:before="0" w:after="283"/>
              <w:jc w:val="right"/>
              <w:rPr/>
            </w:pPr>
            <w:r>
              <w:rPr/>
              <w:t>70%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942" w:type="dxa"/>
            <w:tcBorders>
              <w:bottom w:val="single" w:sz="6" w:space="0" w:color="BFBFBF"/>
            </w:tcBorders>
            <w:tcMar>
              <w:bottom w:w="43" w:type="dxa"/>
            </w:tcMar>
            <w:vAlign w:val="center"/>
          </w:tcPr>
          <w:p>
            <w:pPr>
              <w:pStyle w:val="TableContents"/>
              <w:bidi w:val="0"/>
              <w:spacing w:before="0" w:after="283"/>
              <w:jc w:val="right"/>
              <w:rPr/>
            </w:pPr>
            <w:r>
              <w:rPr/>
              <w:t>77.6%</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43" w:type="dxa"/>
            </w:tcMar>
            <w:vAlign w:val="center"/>
          </w:tcPr>
          <w:p>
            <w:pPr>
              <w:pStyle w:val="TableContents"/>
              <w:bidi w:val="0"/>
              <w:spacing w:before="0" w:after="283"/>
              <w:jc w:val="right"/>
              <w:rPr/>
            </w:pPr>
            <w:r>
              <w:rPr/>
              <w:t>​</w:t>
            </w:r>
          </w:p>
        </w:tc>
        <w:tc>
          <w:tcPr>
            <w:tcW w:w="842" w:type="dxa"/>
            <w:tcBorders>
              <w:bottom w:val="single" w:sz="6" w:space="0" w:color="BFBFBF"/>
            </w:tcBorders>
            <w:tcMar>
              <w:bottom w:w="43" w:type="dxa"/>
            </w:tcMar>
            <w:vAlign w:val="center"/>
          </w:tcPr>
          <w:p>
            <w:pPr>
              <w:pStyle w:val="TableContents"/>
              <w:bidi w:val="0"/>
              <w:spacing w:before="0" w:after="283"/>
              <w:jc w:val="right"/>
              <w:rPr/>
            </w:pPr>
            <w:r>
              <w:rPr/>
              <w:t>—</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30%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3" w:type="dxa"/>
            </w:tcMar>
            <w:vAlign w:val="center"/>
          </w:tcPr>
          <w:p>
            <w:pPr>
              <w:pStyle w:val="TableContents"/>
              <w:bidi w:val="0"/>
              <w:spacing w:before="0" w:after="283"/>
              <w:jc w:val="right"/>
              <w:rPr/>
            </w:pPr>
            <w:r>
              <w:rPr/>
              <w:t>​</w:t>
            </w:r>
          </w:p>
        </w:tc>
        <w:tc>
          <w:tcPr>
            <w:tcW w:w="906" w:type="dxa"/>
            <w:tcBorders>
              <w:bottom w:val="single" w:sz="6" w:space="0" w:color="BFBFBF"/>
            </w:tcBorders>
            <w:tcMar>
              <w:bottom w:w="43" w:type="dxa"/>
            </w:tcMar>
            <w:vAlign w:val="center"/>
          </w:tcPr>
          <w:p>
            <w:pPr>
              <w:pStyle w:val="TableContents"/>
              <w:bidi w:val="0"/>
              <w:spacing w:before="0" w:after="283"/>
              <w:jc w:val="right"/>
              <w:rPr/>
            </w:pPr>
            <w:r>
              <w:rPr/>
              <w:t>105.0%</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00" w:type="dxa"/>
            <w:tcBorders>
              <w:bottom w:val="single" w:sz="6" w:space="0" w:color="BFBFBF"/>
            </w:tcBorders>
            <w:tcMar>
              <w:bottom w:w="43" w:type="dxa"/>
            </w:tcMar>
            <w:vAlign w:val="center"/>
          </w:tcPr>
          <w:p>
            <w:pPr>
              <w:pStyle w:val="TableContents"/>
              <w:bidi w:val="0"/>
              <w:spacing w:before="0" w:after="0"/>
              <w:jc w:val="left"/>
              <w:rPr>
                <w:spacing w:val="-1"/>
              </w:rPr>
            </w:pPr>
            <w:r>
              <w:rPr>
                <w:spacing w:val="-1"/>
              </w:rPr>
              <w:t xml:space="preserve">D.J. Monagle, III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703" w:type="dxa"/>
            <w:tcBorders>
              <w:bottom w:val="single" w:sz="6" w:space="0" w:color="BFBFBF"/>
            </w:tcBorders>
            <w:tcMar>
              <w:bottom w:w="43" w:type="dxa"/>
            </w:tcMar>
            <w:vAlign w:val="center"/>
          </w:tcPr>
          <w:p>
            <w:pPr>
              <w:pStyle w:val="TableContents"/>
              <w:bidi w:val="0"/>
              <w:spacing w:before="0" w:after="283"/>
              <w:jc w:val="right"/>
              <w:rPr/>
            </w:pPr>
            <w:r>
              <w:rPr/>
              <w:t>20%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942" w:type="dxa"/>
            <w:tcBorders>
              <w:bottom w:val="single" w:sz="6" w:space="0" w:color="BFBFBF"/>
            </w:tcBorders>
            <w:tcMar>
              <w:bottom w:w="43" w:type="dxa"/>
            </w:tcMar>
            <w:vAlign w:val="center"/>
          </w:tcPr>
          <w:p>
            <w:pPr>
              <w:pStyle w:val="TableContents"/>
              <w:bidi w:val="0"/>
              <w:spacing w:before="0" w:after="283"/>
              <w:jc w:val="right"/>
              <w:rPr/>
            </w:pPr>
            <w:r>
              <w:rPr/>
              <w:t>77.6%</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50%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43" w:type="dxa"/>
            </w:tcMar>
            <w:vAlign w:val="center"/>
          </w:tcPr>
          <w:p>
            <w:pPr>
              <w:pStyle w:val="TableContents"/>
              <w:bidi w:val="0"/>
              <w:spacing w:before="0" w:after="283"/>
              <w:jc w:val="right"/>
              <w:rPr/>
            </w:pPr>
            <w:r>
              <w:rPr/>
              <w:t>​</w:t>
            </w:r>
          </w:p>
        </w:tc>
        <w:tc>
          <w:tcPr>
            <w:tcW w:w="842" w:type="dxa"/>
            <w:tcBorders>
              <w:bottom w:val="single" w:sz="6" w:space="0" w:color="BFBFBF"/>
            </w:tcBorders>
            <w:tcMar>
              <w:bottom w:w="43" w:type="dxa"/>
            </w:tcMar>
            <w:vAlign w:val="center"/>
          </w:tcPr>
          <w:p>
            <w:pPr>
              <w:pStyle w:val="TableContents"/>
              <w:bidi w:val="0"/>
              <w:spacing w:before="0" w:after="283"/>
              <w:jc w:val="right"/>
              <w:rPr/>
            </w:pPr>
            <w:r>
              <w:rPr/>
              <w:t>57.9%</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30%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3" w:type="dxa"/>
            </w:tcMar>
            <w:vAlign w:val="center"/>
          </w:tcPr>
          <w:p>
            <w:pPr>
              <w:pStyle w:val="TableContents"/>
              <w:bidi w:val="0"/>
              <w:spacing w:before="0" w:after="283"/>
              <w:jc w:val="right"/>
              <w:rPr/>
            </w:pPr>
            <w:r>
              <w:rPr/>
              <w:t>​</w:t>
            </w:r>
          </w:p>
        </w:tc>
        <w:tc>
          <w:tcPr>
            <w:tcW w:w="906" w:type="dxa"/>
            <w:tcBorders>
              <w:bottom w:val="single" w:sz="6" w:space="0" w:color="BFBFBF"/>
            </w:tcBorders>
            <w:tcMar>
              <w:bottom w:w="43" w:type="dxa"/>
            </w:tcMar>
            <w:vAlign w:val="center"/>
          </w:tcPr>
          <w:p>
            <w:pPr>
              <w:pStyle w:val="TableContents"/>
              <w:bidi w:val="0"/>
              <w:spacing w:before="0" w:after="283"/>
              <w:jc w:val="right"/>
              <w:rPr/>
            </w:pPr>
            <w:r>
              <w:rPr/>
              <w:t>70.0%</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00"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703" w:type="dxa"/>
            <w:tcBorders>
              <w:bottom w:val="single" w:sz="6" w:space="0" w:color="BFBFBF"/>
            </w:tcBorders>
            <w:tcMar>
              <w:bottom w:w="43" w:type="dxa"/>
            </w:tcMar>
            <w:vAlign w:val="center"/>
          </w:tcPr>
          <w:p>
            <w:pPr>
              <w:pStyle w:val="TableContents"/>
              <w:bidi w:val="0"/>
              <w:spacing w:before="0" w:after="283"/>
              <w:jc w:val="right"/>
              <w:rPr/>
            </w:pPr>
            <w:r>
              <w:rPr/>
              <w:t>20%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28" w:type="dxa"/>
            </w:tcMar>
            <w:vAlign w:val="center"/>
          </w:tcPr>
          <w:p>
            <w:pPr>
              <w:pStyle w:val="TableContents"/>
              <w:bidi w:val="0"/>
              <w:spacing w:before="0" w:after="283"/>
              <w:jc w:val="left"/>
              <w:rPr/>
            </w:pPr>
            <w:r>
              <w:rPr/>
              <w:t>​</w:t>
            </w:r>
          </w:p>
        </w:tc>
        <w:tc>
          <w:tcPr>
            <w:tcW w:w="142" w:type="dxa"/>
            <w:tcBorders>
              <w:bottom w:val="single" w:sz="6" w:space="0" w:color="BFBFBF"/>
            </w:tcBorders>
            <w:tcMar>
              <w:bottom w:w="43" w:type="dxa"/>
            </w:tcMar>
            <w:vAlign w:val="center"/>
          </w:tcPr>
          <w:p>
            <w:pPr>
              <w:pStyle w:val="TableContents"/>
              <w:bidi w:val="0"/>
              <w:spacing w:before="0" w:after="283"/>
              <w:jc w:val="right"/>
              <w:rPr/>
            </w:pPr>
            <w:r>
              <w:rPr/>
              <w:t>​</w:t>
            </w:r>
          </w:p>
        </w:tc>
        <w:tc>
          <w:tcPr>
            <w:tcW w:w="942" w:type="dxa"/>
            <w:tcBorders>
              <w:bottom w:val="single" w:sz="6" w:space="0" w:color="BFBFBF"/>
            </w:tcBorders>
            <w:tcMar>
              <w:bottom w:w="43" w:type="dxa"/>
            </w:tcMar>
            <w:vAlign w:val="center"/>
          </w:tcPr>
          <w:p>
            <w:pPr>
              <w:pStyle w:val="TableContents"/>
              <w:bidi w:val="0"/>
              <w:spacing w:before="0" w:after="283"/>
              <w:jc w:val="right"/>
              <w:rPr/>
            </w:pPr>
            <w:r>
              <w:rPr/>
              <w:t>77.6%</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50%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28" w:type="dxa"/>
            </w:tcMar>
            <w:vAlign w:val="center"/>
          </w:tcPr>
          <w:p>
            <w:pPr>
              <w:pStyle w:val="TableContents"/>
              <w:bidi w:val="0"/>
              <w:spacing w:before="0" w:after="283"/>
              <w:jc w:val="left"/>
              <w:rPr/>
            </w:pPr>
            <w:r>
              <w:rPr/>
              <w:t>​</w:t>
            </w:r>
          </w:p>
        </w:tc>
        <w:tc>
          <w:tcPr>
            <w:tcW w:w="174" w:type="dxa"/>
            <w:tcBorders>
              <w:bottom w:val="single" w:sz="6" w:space="0" w:color="BFBFBF"/>
            </w:tcBorders>
            <w:tcMar>
              <w:bottom w:w="43" w:type="dxa"/>
            </w:tcMar>
            <w:vAlign w:val="center"/>
          </w:tcPr>
          <w:p>
            <w:pPr>
              <w:pStyle w:val="TableContents"/>
              <w:bidi w:val="0"/>
              <w:spacing w:before="0" w:after="283"/>
              <w:jc w:val="right"/>
              <w:rPr/>
            </w:pPr>
            <w:r>
              <w:rPr/>
              <w:t>​</w:t>
            </w:r>
          </w:p>
        </w:tc>
        <w:tc>
          <w:tcPr>
            <w:tcW w:w="842" w:type="dxa"/>
            <w:tcBorders>
              <w:bottom w:val="single" w:sz="6" w:space="0" w:color="BFBFBF"/>
            </w:tcBorders>
            <w:tcMar>
              <w:bottom w:w="43" w:type="dxa"/>
            </w:tcMar>
            <w:vAlign w:val="center"/>
          </w:tcPr>
          <w:p>
            <w:pPr>
              <w:pStyle w:val="TableContents"/>
              <w:bidi w:val="0"/>
              <w:spacing w:before="0" w:after="283"/>
              <w:jc w:val="right"/>
              <w:rPr/>
            </w:pPr>
            <w:r>
              <w:rPr/>
              <w:t>92.3%</w:t>
            </w:r>
          </w:p>
        </w:tc>
        <w:tc>
          <w:tcPr>
            <w:tcW w:w="17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28" w:type="dxa"/>
            </w:tcMar>
            <w:vAlign w:val="center"/>
          </w:tcPr>
          <w:p>
            <w:pPr>
              <w:pStyle w:val="TableContents"/>
              <w:bidi w:val="0"/>
              <w:spacing w:before="0" w:after="283"/>
              <w:jc w:val="left"/>
              <w:rPr/>
            </w:pPr>
            <w:r>
              <w:rPr/>
              <w:t>​</w:t>
            </w:r>
          </w:p>
        </w:tc>
        <w:tc>
          <w:tcPr>
            <w:tcW w:w="177" w:type="dxa"/>
            <w:tcBorders>
              <w:bottom w:val="single" w:sz="6" w:space="0" w:color="BFBFBF"/>
            </w:tcBorders>
            <w:tcMar>
              <w:bottom w:w="43" w:type="dxa"/>
            </w:tcMar>
            <w:vAlign w:val="center"/>
          </w:tcPr>
          <w:p>
            <w:pPr>
              <w:pStyle w:val="TableContents"/>
              <w:bidi w:val="0"/>
              <w:spacing w:before="0" w:after="283"/>
              <w:jc w:val="right"/>
              <w:rPr/>
            </w:pPr>
            <w:r>
              <w:rPr/>
              <w:t>​</w:t>
            </w:r>
          </w:p>
        </w:tc>
        <w:tc>
          <w:tcPr>
            <w:tcW w:w="563" w:type="dxa"/>
            <w:tcBorders>
              <w:bottom w:val="single" w:sz="6" w:space="0" w:color="BFBFBF"/>
            </w:tcBorders>
            <w:tcMar>
              <w:bottom w:w="43" w:type="dxa"/>
            </w:tcMar>
            <w:vAlign w:val="center"/>
          </w:tcPr>
          <w:p>
            <w:pPr>
              <w:pStyle w:val="TableContents"/>
              <w:bidi w:val="0"/>
              <w:spacing w:before="0" w:after="283"/>
              <w:jc w:val="right"/>
              <w:rPr/>
            </w:pPr>
            <w:r>
              <w:rPr/>
              <w:t>30%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3" w:type="dxa"/>
            </w:tcMar>
            <w:vAlign w:val="center"/>
          </w:tcPr>
          <w:p>
            <w:pPr>
              <w:pStyle w:val="TableContents"/>
              <w:bidi w:val="0"/>
              <w:spacing w:before="0" w:after="283"/>
              <w:jc w:val="right"/>
              <w:rPr/>
            </w:pPr>
            <w:r>
              <w:rPr/>
              <w:t>​</w:t>
            </w:r>
          </w:p>
        </w:tc>
        <w:tc>
          <w:tcPr>
            <w:tcW w:w="906" w:type="dxa"/>
            <w:tcBorders>
              <w:bottom w:val="single" w:sz="6" w:space="0" w:color="BFBFBF"/>
            </w:tcBorders>
            <w:tcMar>
              <w:bottom w:w="43" w:type="dxa"/>
            </w:tcMar>
            <w:vAlign w:val="center"/>
          </w:tcPr>
          <w:p>
            <w:pPr>
              <w:pStyle w:val="TableContents"/>
              <w:bidi w:val="0"/>
              <w:spacing w:before="0" w:after="283"/>
              <w:jc w:val="right"/>
              <w:rPr/>
            </w:pPr>
            <w:r>
              <w:rPr/>
              <w:t>114.6%</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1000"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J.J. Hastings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2" w:type="dxa"/>
            <w:tcBorders>
              <w:bottom w:val="single" w:sz="12" w:space="0" w:color="71B1C8"/>
            </w:tcBorders>
            <w:tcMar>
              <w:bottom w:w="28" w:type="dxa"/>
            </w:tcMar>
            <w:vAlign w:val="center"/>
          </w:tcPr>
          <w:p>
            <w:pPr>
              <w:pStyle w:val="TableContents"/>
              <w:bidi w:val="0"/>
              <w:spacing w:before="0" w:after="283"/>
              <w:jc w:val="left"/>
              <w:rPr/>
            </w:pPr>
            <w:r>
              <w:rPr/>
              <w:t>​</w:t>
            </w:r>
          </w:p>
        </w:tc>
        <w:tc>
          <w:tcPr>
            <w:tcW w:w="142" w:type="dxa"/>
            <w:tcBorders>
              <w:bottom w:val="single" w:sz="12" w:space="0" w:color="71B1C8"/>
            </w:tcBorders>
            <w:tcMar>
              <w:bottom w:w="28" w:type="dxa"/>
            </w:tcMar>
            <w:vAlign w:val="center"/>
          </w:tcPr>
          <w:p>
            <w:pPr>
              <w:pStyle w:val="TableContents"/>
              <w:bidi w:val="0"/>
              <w:spacing w:before="0" w:after="283"/>
              <w:jc w:val="right"/>
              <w:rPr/>
            </w:pPr>
            <w:r>
              <w:rPr/>
              <w:t>​</w:t>
            </w:r>
          </w:p>
        </w:tc>
        <w:tc>
          <w:tcPr>
            <w:tcW w:w="703" w:type="dxa"/>
            <w:tcBorders>
              <w:bottom w:val="single" w:sz="12" w:space="0" w:color="71B1C8"/>
            </w:tcBorders>
            <w:tcMar>
              <w:bottom w:w="28" w:type="dxa"/>
            </w:tcMar>
            <w:vAlign w:val="center"/>
          </w:tcPr>
          <w:p>
            <w:pPr>
              <w:pStyle w:val="TableContents"/>
              <w:bidi w:val="0"/>
              <w:spacing w:before="0" w:after="283"/>
              <w:jc w:val="right"/>
              <w:rPr/>
            </w:pPr>
            <w:r>
              <w:rPr/>
              <w:t>70%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2" w:type="dxa"/>
            <w:tcBorders>
              <w:bottom w:val="single" w:sz="12" w:space="0" w:color="71B1C8"/>
            </w:tcBorders>
            <w:tcMar>
              <w:bottom w:w="28" w:type="dxa"/>
            </w:tcMar>
            <w:vAlign w:val="center"/>
          </w:tcPr>
          <w:p>
            <w:pPr>
              <w:pStyle w:val="TableContents"/>
              <w:bidi w:val="0"/>
              <w:spacing w:before="0" w:after="283"/>
              <w:jc w:val="left"/>
              <w:rPr/>
            </w:pPr>
            <w:r>
              <w:rPr/>
              <w:t>​</w:t>
            </w:r>
          </w:p>
        </w:tc>
        <w:tc>
          <w:tcPr>
            <w:tcW w:w="142" w:type="dxa"/>
            <w:tcBorders>
              <w:bottom w:val="single" w:sz="12" w:space="0" w:color="71B1C8"/>
            </w:tcBorders>
            <w:tcMar>
              <w:bottom w:w="28" w:type="dxa"/>
            </w:tcMar>
            <w:vAlign w:val="center"/>
          </w:tcPr>
          <w:p>
            <w:pPr>
              <w:pStyle w:val="TableContents"/>
              <w:bidi w:val="0"/>
              <w:spacing w:before="0" w:after="283"/>
              <w:jc w:val="right"/>
              <w:rPr/>
            </w:pPr>
            <w:r>
              <w:rPr/>
              <w:t>​</w:t>
            </w:r>
          </w:p>
        </w:tc>
        <w:tc>
          <w:tcPr>
            <w:tcW w:w="942" w:type="dxa"/>
            <w:tcBorders>
              <w:bottom w:val="single" w:sz="12" w:space="0" w:color="71B1C8"/>
            </w:tcBorders>
            <w:tcMar>
              <w:bottom w:w="28" w:type="dxa"/>
            </w:tcMar>
            <w:vAlign w:val="center"/>
          </w:tcPr>
          <w:p>
            <w:pPr>
              <w:pStyle w:val="TableContents"/>
              <w:bidi w:val="0"/>
              <w:spacing w:before="0" w:after="283"/>
              <w:jc w:val="right"/>
              <w:rPr/>
            </w:pPr>
            <w:r>
              <w:rPr/>
              <w:t>77.6%</w:t>
            </w:r>
          </w:p>
        </w:tc>
        <w:tc>
          <w:tcPr>
            <w:tcW w:w="140"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77" w:type="dxa"/>
            <w:tcBorders>
              <w:bottom w:val="single" w:sz="12" w:space="0" w:color="71B1C8"/>
            </w:tcBorders>
            <w:tcMar>
              <w:bottom w:w="28" w:type="dxa"/>
            </w:tcMar>
            <w:vAlign w:val="center"/>
          </w:tcPr>
          <w:p>
            <w:pPr>
              <w:pStyle w:val="TableContents"/>
              <w:bidi w:val="0"/>
              <w:spacing w:before="0" w:after="283"/>
              <w:jc w:val="left"/>
              <w:rPr/>
            </w:pPr>
            <w:r>
              <w:rPr/>
              <w:t>​</w:t>
            </w:r>
          </w:p>
        </w:tc>
        <w:tc>
          <w:tcPr>
            <w:tcW w:w="177" w:type="dxa"/>
            <w:tcBorders>
              <w:bottom w:val="single" w:sz="12" w:space="0" w:color="71B1C8"/>
            </w:tcBorders>
            <w:tcMar>
              <w:bottom w:w="28" w:type="dxa"/>
            </w:tcMar>
            <w:vAlign w:val="center"/>
          </w:tcPr>
          <w:p>
            <w:pPr>
              <w:pStyle w:val="TableContents"/>
              <w:bidi w:val="0"/>
              <w:spacing w:before="0" w:after="283"/>
              <w:jc w:val="right"/>
              <w:rPr/>
            </w:pPr>
            <w:r>
              <w:rPr/>
              <w:t>​</w:t>
            </w:r>
          </w:p>
        </w:tc>
        <w:tc>
          <w:tcPr>
            <w:tcW w:w="563" w:type="dxa"/>
            <w:tcBorders>
              <w:bottom w:val="single" w:sz="12" w:space="0" w:color="71B1C8"/>
            </w:tcBorders>
            <w:tcMar>
              <w:bottom w:w="28" w:type="dxa"/>
            </w:tcMar>
            <w:vAlign w:val="center"/>
          </w:tcPr>
          <w:p>
            <w:pPr>
              <w:pStyle w:val="TableContents"/>
              <w:bidi w:val="0"/>
              <w:spacing w:before="0" w:after="283"/>
              <w:jc w:val="right"/>
              <w:rPr/>
            </w:pPr>
            <w:r>
              <w:rPr/>
              <w:t>—</w:t>
            </w:r>
          </w:p>
        </w:tc>
        <w:tc>
          <w:tcPr>
            <w:tcW w:w="17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74" w:type="dxa"/>
            <w:tcBorders>
              <w:bottom w:val="single" w:sz="12" w:space="0" w:color="71B1C8"/>
            </w:tcBorders>
            <w:tcMar>
              <w:bottom w:w="28" w:type="dxa"/>
            </w:tcMar>
            <w:vAlign w:val="center"/>
          </w:tcPr>
          <w:p>
            <w:pPr>
              <w:pStyle w:val="TableContents"/>
              <w:bidi w:val="0"/>
              <w:spacing w:before="0" w:after="283"/>
              <w:jc w:val="left"/>
              <w:rPr/>
            </w:pPr>
            <w:r>
              <w:rPr/>
              <w:t>​</w:t>
            </w:r>
          </w:p>
        </w:tc>
        <w:tc>
          <w:tcPr>
            <w:tcW w:w="174" w:type="dxa"/>
            <w:tcBorders>
              <w:bottom w:val="single" w:sz="12" w:space="0" w:color="71B1C8"/>
            </w:tcBorders>
            <w:tcMar>
              <w:bottom w:w="28" w:type="dxa"/>
            </w:tcMar>
            <w:vAlign w:val="center"/>
          </w:tcPr>
          <w:p>
            <w:pPr>
              <w:pStyle w:val="TableContents"/>
              <w:bidi w:val="0"/>
              <w:spacing w:before="0" w:after="283"/>
              <w:jc w:val="right"/>
              <w:rPr/>
            </w:pPr>
            <w:r>
              <w:rPr/>
              <w:t>​</w:t>
            </w:r>
          </w:p>
        </w:tc>
        <w:tc>
          <w:tcPr>
            <w:tcW w:w="842" w:type="dxa"/>
            <w:tcBorders>
              <w:bottom w:val="single" w:sz="12" w:space="0" w:color="71B1C8"/>
            </w:tcBorders>
            <w:tcMar>
              <w:bottom w:w="28" w:type="dxa"/>
            </w:tcMar>
            <w:vAlign w:val="center"/>
          </w:tcPr>
          <w:p>
            <w:pPr>
              <w:pStyle w:val="TableContents"/>
              <w:bidi w:val="0"/>
              <w:spacing w:before="0" w:after="283"/>
              <w:jc w:val="right"/>
              <w:rPr/>
            </w:pPr>
            <w:r>
              <w:rPr/>
              <w:t>—</w:t>
            </w:r>
          </w:p>
        </w:tc>
        <w:tc>
          <w:tcPr>
            <w:tcW w:w="176"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77" w:type="dxa"/>
            <w:tcBorders>
              <w:bottom w:val="single" w:sz="12" w:space="0" w:color="71B1C8"/>
            </w:tcBorders>
            <w:tcMar>
              <w:bottom w:w="28" w:type="dxa"/>
            </w:tcMar>
            <w:vAlign w:val="center"/>
          </w:tcPr>
          <w:p>
            <w:pPr>
              <w:pStyle w:val="TableContents"/>
              <w:bidi w:val="0"/>
              <w:spacing w:before="0" w:after="283"/>
              <w:jc w:val="left"/>
              <w:rPr/>
            </w:pPr>
            <w:r>
              <w:rPr/>
              <w:t>​</w:t>
            </w:r>
          </w:p>
        </w:tc>
        <w:tc>
          <w:tcPr>
            <w:tcW w:w="177" w:type="dxa"/>
            <w:tcBorders>
              <w:bottom w:val="single" w:sz="12" w:space="0" w:color="71B1C8"/>
            </w:tcBorders>
            <w:tcMar>
              <w:bottom w:w="28" w:type="dxa"/>
            </w:tcMar>
            <w:vAlign w:val="center"/>
          </w:tcPr>
          <w:p>
            <w:pPr>
              <w:pStyle w:val="TableContents"/>
              <w:bidi w:val="0"/>
              <w:spacing w:before="0" w:after="283"/>
              <w:jc w:val="right"/>
              <w:rPr/>
            </w:pPr>
            <w:r>
              <w:rPr/>
              <w:t>​</w:t>
            </w:r>
          </w:p>
        </w:tc>
        <w:tc>
          <w:tcPr>
            <w:tcW w:w="563" w:type="dxa"/>
            <w:tcBorders>
              <w:bottom w:val="single" w:sz="12" w:space="0" w:color="71B1C8"/>
            </w:tcBorders>
            <w:tcMar>
              <w:bottom w:w="28" w:type="dxa"/>
            </w:tcMar>
            <w:vAlign w:val="center"/>
          </w:tcPr>
          <w:p>
            <w:pPr>
              <w:pStyle w:val="TableContents"/>
              <w:bidi w:val="0"/>
              <w:spacing w:before="0" w:after="283"/>
              <w:jc w:val="right"/>
              <w:rPr/>
            </w:pPr>
            <w:r>
              <w:rPr/>
              <w:t>30%</w:t>
            </w:r>
          </w:p>
        </w:tc>
        <w:tc>
          <w:tcPr>
            <w:tcW w:w="17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right"/>
              <w:rPr/>
            </w:pPr>
            <w:r>
              <w:rPr/>
              <w:t>​</w:t>
            </w:r>
          </w:p>
        </w:tc>
        <w:tc>
          <w:tcPr>
            <w:tcW w:w="906" w:type="dxa"/>
            <w:tcBorders>
              <w:bottom w:val="single" w:sz="12" w:space="0" w:color="71B1C8"/>
            </w:tcBorders>
            <w:tcMar>
              <w:bottom w:w="28" w:type="dxa"/>
            </w:tcMar>
            <w:vAlign w:val="center"/>
          </w:tcPr>
          <w:p>
            <w:pPr>
              <w:pStyle w:val="TableContents"/>
              <w:bidi w:val="0"/>
              <w:spacing w:before="0" w:after="283"/>
              <w:jc w:val="right"/>
              <w:rPr/>
            </w:pPr>
            <w:r>
              <w:rPr/>
              <w:t>112.5%</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26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Approximately half of the 2025 personal performance objectives were based on quantifiable components: expense management, sales growth, attainment of strategic growth initiatives, and operating margin percent, for which specific targets were established. Accordingly, financial components — the OI and RONA metrics combined with the quantifiable components of the personal performance objectives — represented approximately 85% of the plan’s target metrics.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6276975" cy="1076325"/>
            <wp:effectExtent l="0" t="0" r="0" b="0"/>
            <wp:docPr id="696"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261" descr=""/>
                    <pic:cNvPicPr>
                      <a:picLocks noChangeAspect="1" noChangeArrowheads="1"/>
                    </pic:cNvPicPr>
                  </pic:nvPicPr>
                  <pic:blipFill>
                    <a:blip r:embed="rId273"/>
                    <a:stretch>
                      <a:fillRect/>
                    </a:stretch>
                  </pic:blipFill>
                  <pic:spPr bwMode="auto">
                    <a:xfrm>
                      <a:off x="0" y="0"/>
                      <a:ext cx="6276975" cy="10763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Relationship between Sustainability and Compensation</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MTI has a longstanding commitment to operate ethically and responsibly while creating value for our customers, employees, communities, and other stakeholders. We look at sustainability holistically, understanding that addressing the continuum of environmental, social, governance, and ethics issues is critical to the success of our business. Sustainability is a vital driver to our long-term growth, and through continued learning and improvement we are making progress in addressing the biggest challenges of today, while capturing opportunities for the future. As our incentive compensation program reflects our overall company performance and profitability that drive long-term shareholder value creation, our success in meeting our sustainability goals is inherent to our incentive compensation program.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sustainability goals are achieved through our deployment of Lean operating principles. Businesses have Hoshin Plans to achieve specific sustainability-related projects. Our executives are measured on achievement of these projects in the personal performance component of annual incentive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Company Level Financial Targets and Performance</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discussed above, the Committee selected OI and RONA as the two financial measures used to determine Company performance. For each measure, a Company performance target range was determined as an aggregate of the performance target ranges for the Company’s two segments. Company-level performance for 2025 was based on a weighted average of segment actual performance for the measure.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46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before="0" w:after="283"/>
        <w:ind w:left="1020" w:right="0" w:hanging="0"/>
        <w:jc w:val="left"/>
        <w:rPr>
          <w:caps w:val="false"/>
          <w:smallCaps w:val="false"/>
          <w:color w:val="000000"/>
          <w:bdr w:val="single" w:sz="12" w:space="1" w:color="71B1C8"/>
        </w:rPr>
      </w:pPr>
      <w:r>
        <w:rPr>
          <w:caps w:val="false"/>
          <w:smallCaps w:val="false"/>
          <w:color w:val="000000"/>
          <w:bdr w:val="single" w:sz="12" w:space="1" w:color="71B1C8"/>
        </w:rPr>
        <w:t>​</w:t>
      </w:r>
    </w:p>
    <w:p>
      <w:pPr>
        <w:pStyle w:val="TextBody"/>
        <w:bidi w:val="0"/>
        <w:spacing w:lineRule="atLeast" w:line="240" w:before="21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7"/>
          <w:sz w:val="20"/>
        </w:rPr>
        <w:t>2025 TARGETS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sets forth the following for both OI and RONA: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7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performance target range for minimum (threshold) and maximum performance, representing the aggregate of the segment threshold and maximum performance, respectively;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0490" distB="0" distL="0" distR="0" simplePos="0" locked="0" layoutInCell="1" allowOverlap="1" relativeHeight="730">
                <wp:simplePos x="0" y="0"/>
                <wp:positionH relativeFrom="column">
                  <wp:align>left</wp:align>
                </wp:positionH>
                <wp:positionV relativeFrom="line">
                  <wp:align>top</wp:align>
                </wp:positionV>
                <wp:extent cx="127000" cy="350520"/>
                <wp:effectExtent l="0" t="0" r="0" b="0"/>
                <wp:wrapSquare wrapText="right"/>
                <wp:docPr id="697"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7pt;mso-wrap-distance-bottom:0pt;margin-top:8.7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6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performance target if each of the segment level performance factors were achieved at 100% of target;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0640" distB="0" distL="0" distR="0" simplePos="0" locked="0" layoutInCell="1" allowOverlap="1" relativeHeight="731">
                <wp:simplePos x="0" y="0"/>
                <wp:positionH relativeFrom="column">
                  <wp:align>left</wp:align>
                </wp:positionH>
                <wp:positionV relativeFrom="line">
                  <wp:align>top</wp:align>
                </wp:positionV>
                <wp:extent cx="127000" cy="350520"/>
                <wp:effectExtent l="0" t="0" r="0" b="0"/>
                <wp:wrapSquare wrapText="right"/>
                <wp:docPr id="698"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6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actual 2025 Company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0640" distB="0" distL="0" distR="0" simplePos="0" locked="0" layoutInCell="1" allowOverlap="1" relativeHeight="732">
                <wp:simplePos x="0" y="0"/>
                <wp:positionH relativeFrom="column">
                  <wp:align>left</wp:align>
                </wp:positionH>
                <wp:positionV relativeFrom="line">
                  <wp:align>top</wp:align>
                </wp:positionV>
                <wp:extent cx="127000" cy="350520"/>
                <wp:effectExtent l="0" t="0" r="0" b="0"/>
                <wp:wrapSquare wrapText="right"/>
                <wp:docPr id="699"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9185" w:type="dxa"/>
        <w:jc w:val="left"/>
        <w:tblInd w:w="1020" w:type="dxa"/>
        <w:tblLayout w:type="fixed"/>
        <w:tblCellMar>
          <w:top w:w="0" w:type="dxa"/>
          <w:left w:w="0" w:type="dxa"/>
          <w:bottom w:w="0" w:type="dxa"/>
          <w:right w:w="0" w:type="dxa"/>
        </w:tblCellMar>
      </w:tblPr>
      <w:tblGrid>
        <w:gridCol w:w="124"/>
        <w:gridCol w:w="688"/>
        <w:gridCol w:w="109"/>
        <w:gridCol w:w="109"/>
        <w:gridCol w:w="1773"/>
        <w:gridCol w:w="109"/>
        <w:gridCol w:w="109"/>
        <w:gridCol w:w="1329"/>
        <w:gridCol w:w="109"/>
        <w:gridCol w:w="109"/>
        <w:gridCol w:w="1329"/>
        <w:gridCol w:w="109"/>
        <w:gridCol w:w="109"/>
        <w:gridCol w:w="1329"/>
        <w:gridCol w:w="109"/>
        <w:gridCol w:w="109"/>
        <w:gridCol w:w="1368"/>
        <w:gridCol w:w="155"/>
      </w:tblGrid>
      <w:tr>
        <w:trPr/>
        <w:tc>
          <w:tcPr>
            <w:tcW w:w="124" w:type="dxa"/>
            <w:tcBorders/>
            <w:shd w:fill="002F56" w:val="clear"/>
            <w:vAlign w:val="center"/>
          </w:tcPr>
          <w:p>
            <w:pPr>
              <w:pStyle w:val="TableContents"/>
              <w:bidi w:val="0"/>
              <w:spacing w:before="0" w:after="283"/>
              <w:jc w:val="left"/>
              <w:rPr/>
            </w:pPr>
            <w:r>
              <w:rPr/>
              <w:t>​</w:t>
            </w:r>
          </w:p>
        </w:tc>
        <w:tc>
          <w:tcPr>
            <w:tcW w:w="2679" w:type="dxa"/>
            <w:gridSpan w:val="4"/>
            <w:tcBorders/>
            <w:shd w:fill="002F56" w:val="clear"/>
            <w:vAlign w:val="center"/>
          </w:tcPr>
          <w:p>
            <w:pPr>
              <w:pStyle w:val="TableContents"/>
              <w:bidi w:val="0"/>
              <w:spacing w:before="0" w:after="0"/>
              <w:jc w:val="left"/>
              <w:rPr>
                <w:spacing w:val="0"/>
              </w:rPr>
            </w:pPr>
            <w:r>
              <w:rPr>
                <w:spacing w:val="0"/>
              </w:rPr>
              <w:t xml:space="preserve">Performance Measure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29" w:type="dxa"/>
            <w:tcBorders/>
            <w:shd w:fill="002F56" w:val="clear"/>
            <w:vAlign w:val="center"/>
          </w:tcPr>
          <w:p>
            <w:pPr>
              <w:pStyle w:val="TableContents"/>
              <w:bidi w:val="0"/>
              <w:spacing w:before="0" w:after="0"/>
              <w:jc w:val="center"/>
              <w:rPr>
                <w:spacing w:val="0"/>
              </w:rPr>
            </w:pPr>
            <w:r>
              <w:rPr>
                <w:spacing w:val="0"/>
              </w:rPr>
              <w:t xml:space="preserve">Threshold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29" w:type="dxa"/>
            <w:tcBorders/>
            <w:shd w:fill="002F56" w:val="clear"/>
            <w:vAlign w:val="center"/>
          </w:tcPr>
          <w:p>
            <w:pPr>
              <w:pStyle w:val="TableContents"/>
              <w:bidi w:val="0"/>
              <w:spacing w:before="0" w:after="0"/>
              <w:jc w:val="center"/>
              <w:rPr>
                <w:spacing w:val="0"/>
              </w:rPr>
            </w:pPr>
            <w:r>
              <w:rPr>
                <w:spacing w:val="0"/>
              </w:rPr>
              <w:t xml:space="preserve">Target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29" w:type="dxa"/>
            <w:tcBorders/>
            <w:shd w:fill="002F56" w:val="clear"/>
            <w:vAlign w:val="center"/>
          </w:tcPr>
          <w:p>
            <w:pPr>
              <w:pStyle w:val="TableContents"/>
              <w:bidi w:val="0"/>
              <w:spacing w:before="0" w:after="0"/>
              <w:jc w:val="center"/>
              <w:rPr>
                <w:spacing w:val="0"/>
              </w:rPr>
            </w:pPr>
            <w:r>
              <w:rPr>
                <w:spacing w:val="0"/>
              </w:rPr>
              <w:t xml:space="preserve">Maximum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8" w:type="dxa"/>
            <w:tcBorders/>
            <w:shd w:fill="002F56" w:val="clear"/>
            <w:vAlign w:val="center"/>
          </w:tcPr>
          <w:p>
            <w:pPr>
              <w:pStyle w:val="TableContents"/>
              <w:bidi w:val="0"/>
              <w:spacing w:before="0" w:after="0"/>
              <w:jc w:val="center"/>
              <w:rPr>
                <w:spacing w:val="0"/>
              </w:rPr>
            </w:pPr>
            <w:r>
              <w:rPr>
                <w:spacing w:val="0"/>
              </w:rPr>
              <w:t xml:space="preserve">Actual 2025 </w:t>
              <w:br/>
              <w:t xml:space="preserve">Performance </w:t>
            </w:r>
          </w:p>
        </w:tc>
        <w:tc>
          <w:tcPr>
            <w:tcW w:w="155"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CCCCCC"/>
            </w:tcBorders>
            <w:tcMar>
              <w:bottom w:w="28" w:type="dxa"/>
            </w:tcMar>
            <w:vAlign w:val="center"/>
          </w:tcPr>
          <w:p>
            <w:pPr>
              <w:pStyle w:val="TableContents"/>
              <w:bidi w:val="0"/>
              <w:spacing w:before="0" w:after="283"/>
              <w:jc w:val="left"/>
              <w:rPr/>
            </w:pPr>
            <w:r>
              <w:rPr/>
              <w:t>​</w:t>
            </w:r>
          </w:p>
        </w:tc>
        <w:tc>
          <w:tcPr>
            <w:tcW w:w="688" w:type="dxa"/>
            <w:tcBorders>
              <w:bottom w:val="single" w:sz="6" w:space="0" w:color="CCCCCC"/>
            </w:tcBorders>
            <w:tcMar>
              <w:bottom w:w="80" w:type="dxa"/>
            </w:tcMar>
            <w:vAlign w:val="center"/>
          </w:tcPr>
          <w:p>
            <w:pPr>
              <w:pStyle w:val="TableContents"/>
              <w:bidi w:val="0"/>
              <w:spacing w:before="0" w:after="0"/>
              <w:jc w:val="left"/>
              <w:rPr/>
            </w:pPr>
            <w:r>
              <w:rPr/>
              <w:drawing>
                <wp:inline distT="0" distB="0" distL="0" distR="0">
                  <wp:extent cx="361950" cy="361950"/>
                  <wp:effectExtent l="0" t="0" r="0" b="0"/>
                  <wp:docPr id="70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262" descr=""/>
                          <pic:cNvPicPr>
                            <a:picLocks noChangeAspect="1" noChangeArrowheads="1"/>
                          </pic:cNvPicPr>
                        </pic:nvPicPr>
                        <pic:blipFill>
                          <a:blip r:embed="rId274"/>
                          <a:stretch>
                            <a:fillRect/>
                          </a:stretch>
                        </pic:blipFill>
                        <pic:spPr bwMode="auto">
                          <a:xfrm>
                            <a:off x="0" y="0"/>
                            <a:ext cx="361950" cy="361950"/>
                          </a:xfrm>
                          <a:prstGeom prst="rect">
                            <a:avLst/>
                          </a:prstGeom>
                        </pic:spPr>
                      </pic:pic>
                    </a:graphicData>
                  </a:graphic>
                </wp:inline>
              </w:drawing>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773" w:type="dxa"/>
            <w:tcBorders>
              <w:bottom w:val="single" w:sz="6" w:space="0" w:color="CCCCCC"/>
            </w:tcBorders>
            <w:tcMar>
              <w:bottom w:w="28" w:type="dxa"/>
            </w:tcMar>
            <w:vAlign w:val="center"/>
          </w:tcPr>
          <w:p>
            <w:pPr>
              <w:pStyle w:val="TableContents"/>
              <w:bidi w:val="0"/>
              <w:spacing w:lineRule="atLeast" w:line="200" w:before="0" w:after="0"/>
              <w:jc w:val="left"/>
              <w:rPr>
                <w:b/>
              </w:rPr>
            </w:pPr>
            <w:r>
              <w:rPr>
                <w:b/>
                <w:spacing w:val="0"/>
              </w:rPr>
              <w:t>Operating Income*</w:t>
            </w:r>
            <w:r>
              <w:rPr>
                <w:b/>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29" w:type="dxa"/>
            <w:tcBorders>
              <w:bottom w:val="single" w:sz="6"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$182 million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29" w:type="dxa"/>
            <w:tcBorders>
              <w:bottom w:val="single" w:sz="6"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$330 million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29" w:type="dxa"/>
            <w:tcBorders>
              <w:bottom w:val="single" w:sz="6" w:space="0" w:color="CCCCCC"/>
            </w:tcBorders>
            <w:tcMar>
              <w:bottom w:w="28" w:type="dxa"/>
            </w:tcMar>
            <w:vAlign w:val="center"/>
          </w:tcPr>
          <w:p>
            <w:pPr>
              <w:pStyle w:val="TableContents"/>
              <w:bidi w:val="0"/>
              <w:spacing w:lineRule="atLeast" w:line="200" w:before="0" w:after="0"/>
              <w:jc w:val="center"/>
              <w:rPr>
                <w:spacing w:val="-1"/>
              </w:rPr>
            </w:pPr>
            <w:r>
              <w:rPr>
                <w:spacing w:val="-1"/>
              </w:rPr>
              <w:t xml:space="preserve">$389 million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368" w:type="dxa"/>
            <w:tcBorders>
              <w:bottom w:val="single" w:sz="6" w:space="0" w:color="CCCCCC"/>
            </w:tcBorders>
            <w:tcMar>
              <w:bottom w:w="28" w:type="dxa"/>
            </w:tcMar>
            <w:vAlign w:val="center"/>
          </w:tcPr>
          <w:p>
            <w:pPr>
              <w:pStyle w:val="TableContents"/>
              <w:bidi w:val="0"/>
              <w:spacing w:lineRule="atLeast" w:line="200" w:before="0" w:after="0"/>
              <w:jc w:val="center"/>
              <w:rPr>
                <w:b/>
              </w:rPr>
            </w:pPr>
            <w:r>
              <w:rPr>
                <w:b/>
                <w:spacing w:val="0"/>
              </w:rPr>
              <w:t>$287 million</w:t>
            </w:r>
            <w:r>
              <w:rPr>
                <w:b/>
              </w:rPr>
              <w:t xml:space="preserve">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688" w:type="dxa"/>
            <w:tcBorders>
              <w:bottom w:val="single" w:sz="12" w:space="0" w:color="71B1C8"/>
            </w:tcBorders>
            <w:tcMar>
              <w:bottom w:w="75" w:type="dxa"/>
            </w:tcMar>
            <w:vAlign w:val="center"/>
          </w:tcPr>
          <w:p>
            <w:pPr>
              <w:pStyle w:val="TableContents"/>
              <w:bidi w:val="0"/>
              <w:spacing w:before="0" w:after="0"/>
              <w:jc w:val="left"/>
              <w:rPr/>
            </w:pPr>
            <w:r>
              <w:rPr/>
              <w:drawing>
                <wp:inline distT="0" distB="0" distL="0" distR="0">
                  <wp:extent cx="361950" cy="323850"/>
                  <wp:effectExtent l="0" t="0" r="0" b="0"/>
                  <wp:docPr id="70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263" descr=""/>
                          <pic:cNvPicPr>
                            <a:picLocks noChangeAspect="1" noChangeArrowheads="1"/>
                          </pic:cNvPicPr>
                        </pic:nvPicPr>
                        <pic:blipFill>
                          <a:blip r:embed="rId275"/>
                          <a:stretch>
                            <a:fillRect/>
                          </a:stretch>
                        </pic:blipFill>
                        <pic:spPr bwMode="auto">
                          <a:xfrm>
                            <a:off x="0" y="0"/>
                            <a:ext cx="361950" cy="323850"/>
                          </a:xfrm>
                          <a:prstGeom prst="rect">
                            <a:avLst/>
                          </a:prstGeom>
                        </pic:spPr>
                      </pic:pic>
                    </a:graphicData>
                  </a:graphic>
                </wp:inline>
              </w:drawing>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773" w:type="dxa"/>
            <w:tcBorders>
              <w:bottom w:val="single" w:sz="12" w:space="0" w:color="71B1C8"/>
            </w:tcBorders>
            <w:tcMar>
              <w:bottom w:w="28" w:type="dxa"/>
            </w:tcMar>
            <w:vAlign w:val="center"/>
          </w:tcPr>
          <w:p>
            <w:pPr>
              <w:pStyle w:val="TableContents"/>
              <w:bidi w:val="0"/>
              <w:spacing w:lineRule="atLeast" w:line="200" w:before="0" w:after="0"/>
              <w:jc w:val="left"/>
              <w:rPr>
                <w:b/>
              </w:rPr>
            </w:pPr>
            <w:r>
              <w:rPr>
                <w:b/>
                <w:spacing w:val="0"/>
              </w:rPr>
              <w:t>Return on Net Assets</w:t>
            </w:r>
            <w:r>
              <w:rPr>
                <w:b/>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329" w:type="dxa"/>
            <w:tcBorders>
              <w:bottom w:val="single" w:sz="12" w:space="0" w:color="71B1C8"/>
            </w:tcBorders>
            <w:tcMar>
              <w:bottom w:w="28" w:type="dxa"/>
            </w:tcMar>
            <w:vAlign w:val="center"/>
          </w:tcPr>
          <w:p>
            <w:pPr>
              <w:pStyle w:val="TableContents"/>
              <w:bidi w:val="0"/>
              <w:spacing w:lineRule="atLeast" w:line="200" w:before="0" w:after="0"/>
              <w:jc w:val="center"/>
              <w:rPr>
                <w:spacing w:val="-1"/>
              </w:rPr>
            </w:pPr>
            <w:r>
              <w:rPr>
                <w:spacing w:val="-1"/>
              </w:rPr>
              <w:t xml:space="preserve">5.3%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329" w:type="dxa"/>
            <w:tcBorders>
              <w:bottom w:val="single" w:sz="12" w:space="0" w:color="71B1C8"/>
            </w:tcBorders>
            <w:tcMar>
              <w:bottom w:w="28" w:type="dxa"/>
            </w:tcMar>
            <w:vAlign w:val="center"/>
          </w:tcPr>
          <w:p>
            <w:pPr>
              <w:pStyle w:val="TableContents"/>
              <w:bidi w:val="0"/>
              <w:spacing w:lineRule="atLeast" w:line="200" w:before="0" w:after="0"/>
              <w:jc w:val="center"/>
              <w:rPr>
                <w:spacing w:val="-1"/>
              </w:rPr>
            </w:pPr>
            <w:r>
              <w:rPr>
                <w:spacing w:val="-1"/>
              </w:rPr>
              <w:t xml:space="preserve">9.6%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329" w:type="dxa"/>
            <w:tcBorders>
              <w:bottom w:val="single" w:sz="12" w:space="0" w:color="71B1C8"/>
            </w:tcBorders>
            <w:tcMar>
              <w:bottom w:w="28" w:type="dxa"/>
            </w:tcMar>
            <w:vAlign w:val="center"/>
          </w:tcPr>
          <w:p>
            <w:pPr>
              <w:pStyle w:val="TableContents"/>
              <w:bidi w:val="0"/>
              <w:spacing w:lineRule="atLeast" w:line="200" w:before="0" w:after="0"/>
              <w:jc w:val="center"/>
              <w:rPr>
                <w:spacing w:val="-1"/>
              </w:rPr>
            </w:pPr>
            <w:r>
              <w:rPr>
                <w:spacing w:val="-1"/>
              </w:rPr>
              <w:t xml:space="preserve">11.2%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368" w:type="dxa"/>
            <w:tcBorders>
              <w:bottom w:val="single" w:sz="12" w:space="0" w:color="71B1C8"/>
            </w:tcBorders>
            <w:tcMar>
              <w:bottom w:w="28" w:type="dxa"/>
            </w:tcMar>
            <w:vAlign w:val="center"/>
          </w:tcPr>
          <w:p>
            <w:pPr>
              <w:pStyle w:val="TableContents"/>
              <w:bidi w:val="0"/>
              <w:spacing w:lineRule="atLeast" w:line="200" w:before="0" w:after="0"/>
              <w:jc w:val="center"/>
              <w:rPr>
                <w:b/>
              </w:rPr>
            </w:pPr>
            <w:r>
              <w:rPr>
                <w:b/>
                <w:spacing w:val="-2"/>
              </w:rPr>
              <w:t>8.4%</w:t>
            </w:r>
            <w:r>
              <w:rPr>
                <w:b/>
              </w:rPr>
              <w:t xml:space="preserve"> </w:t>
            </w:r>
          </w:p>
        </w:tc>
        <w:tc>
          <w:tcPr>
            <w:tcW w:w="155"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94"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Excluding special items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3190" distB="0" distL="76200" distR="0" simplePos="0" locked="0" layoutInCell="1" allowOverlap="1" relativeHeight="733">
                <wp:simplePos x="0" y="0"/>
                <wp:positionH relativeFrom="column">
                  <wp:align>left</wp:align>
                </wp:positionH>
                <wp:positionV relativeFrom="line">
                  <wp:align>top</wp:align>
                </wp:positionV>
                <wp:extent cx="254000" cy="254000"/>
                <wp:effectExtent l="0" t="0" r="0" b="0"/>
                <wp:wrapSquare wrapText="right"/>
                <wp:docPr id="702" name="Frame42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9.7pt;mso-wrap-distance-bottom:0pt;margin-top:9.7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determining the performance targets and target ranges for OI and RONA in the beginning of the year, the Committee took into consideration the economic conditions and risks of our market segments and the business development activities and goals for each of the segments. The Committee strived to design performance target ranges for OI and RONA that were challenging, taking into consideration the economic condition in the markets we serve and the risks to achieve high performance but attainable by the executive officers. The Company OI target set for 2025 reflected an increase of approximately 5% above 2024 OI performance. The Company RONA target set for 2025 reflected a targeted improvement in operating performance and expected changes in the Company’s average net assets when compared with 2024. The following summarizes the key opportunities and risk factors considered for 2025 target levels.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228"/>
        <w:gridCol w:w="109"/>
        <w:gridCol w:w="109"/>
        <w:gridCol w:w="3321"/>
        <w:gridCol w:w="109"/>
        <w:gridCol w:w="109"/>
        <w:gridCol w:w="109"/>
        <w:gridCol w:w="109"/>
        <w:gridCol w:w="109"/>
        <w:gridCol w:w="109"/>
        <w:gridCol w:w="4499"/>
        <w:gridCol w:w="109"/>
        <w:gridCol w:w="156"/>
      </w:tblGrid>
      <w:tr>
        <w:trPr/>
        <w:tc>
          <w:tcPr>
            <w:tcW w:w="4094" w:type="dxa"/>
            <w:gridSpan w:val="7"/>
            <w:tcBorders/>
            <w:vAlign w:val="center"/>
          </w:tcPr>
          <w:p>
            <w:pPr>
              <w:pStyle w:val="TableContents"/>
              <w:bidi w:val="0"/>
              <w:spacing w:lineRule="atLeast" w:line="230" w:before="0" w:after="0"/>
              <w:jc w:val="left"/>
              <w:rPr>
                <w:b/>
                <w:color w:val="002F56"/>
                <w:sz w:val="21"/>
              </w:rPr>
            </w:pPr>
            <w:r>
              <w:rPr>
                <w:b/>
                <w:color w:val="002F56"/>
                <w:spacing w:val="0"/>
                <w:sz w:val="21"/>
              </w:rPr>
              <w:t>2025 Target Setting Considerations</w:t>
            </w:r>
            <w:r>
              <w:rPr>
                <w:b/>
                <w:color w:val="000000"/>
                <w:sz w:val="21"/>
              </w:rPr>
              <w:t>​</w:t>
            </w:r>
            <w:r>
              <w:rPr>
                <w:b/>
                <w:color w:val="002F56"/>
                <w:sz w:val="21"/>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4499" w:type="dxa"/>
            <w:vMerge w:val="restart"/>
            <w:tcBorders/>
            <w:vAlign w:val="center"/>
          </w:tcPr>
          <w:p>
            <w:pPr>
              <w:pStyle w:val="TableContents"/>
              <w:bidi w:val="0"/>
              <w:spacing w:before="0" w:after="0"/>
              <w:jc w:val="center"/>
              <w:rPr/>
            </w:pPr>
            <w:r>
              <w:rPr/>
              <w:drawing>
                <wp:inline distT="0" distB="0" distL="0" distR="0">
                  <wp:extent cx="2800350" cy="1924050"/>
                  <wp:effectExtent l="0" t="0" r="0" b="0"/>
                  <wp:docPr id="70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264" descr=""/>
                          <pic:cNvPicPr>
                            <a:picLocks noChangeAspect="1" noChangeArrowheads="1"/>
                          </pic:cNvPicPr>
                        </pic:nvPicPr>
                        <pic:blipFill>
                          <a:blip r:embed="rId276"/>
                          <a:stretch>
                            <a:fillRect/>
                          </a:stretch>
                        </pic:blipFill>
                        <pic:spPr bwMode="auto">
                          <a:xfrm>
                            <a:off x="0" y="0"/>
                            <a:ext cx="2800350" cy="1924050"/>
                          </a:xfrm>
                          <a:prstGeom prst="rect">
                            <a:avLst/>
                          </a:prstGeom>
                        </pic:spPr>
                      </pic:pic>
                    </a:graphicData>
                  </a:graphic>
                </wp:inline>
              </w:drawing>
            </w:r>
            <w:r>
              <w:rPr/>
              <w:t xml:space="preserve"> </w:t>
            </w:r>
          </w:p>
          <w:p>
            <w:pPr>
              <w:pStyle w:val="TableContents"/>
              <w:bidi w:val="0"/>
              <w:spacing w:before="120" w:after="283"/>
              <w:jc w:val="center"/>
              <w:rPr/>
            </w:pPr>
            <w:r>
              <w:rPr/>
              <w:drawing>
                <wp:inline distT="0" distB="0" distL="0" distR="0">
                  <wp:extent cx="2800350" cy="1857375"/>
                  <wp:effectExtent l="0" t="0" r="0" b="0"/>
                  <wp:docPr id="70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265" descr=""/>
                          <pic:cNvPicPr>
                            <a:picLocks noChangeAspect="1" noChangeArrowheads="1"/>
                          </pic:cNvPicPr>
                        </pic:nvPicPr>
                        <pic:blipFill>
                          <a:blip r:embed="rId277"/>
                          <a:stretch>
                            <a:fillRect/>
                          </a:stretch>
                        </pic:blipFill>
                        <pic:spPr bwMode="auto">
                          <a:xfrm>
                            <a:off x="0" y="0"/>
                            <a:ext cx="2800350" cy="1857375"/>
                          </a:xfrm>
                          <a:prstGeom prst="rect">
                            <a:avLst/>
                          </a:prstGeom>
                        </pic:spPr>
                      </pic:pic>
                    </a:graphicData>
                  </a:graphic>
                </wp:inline>
              </w:drawing>
            </w:r>
            <w:r>
              <w:rPr/>
              <w:t xml:space="preserve"> </w:t>
            </w:r>
          </w:p>
          <w:p>
            <w:pPr>
              <w:pStyle w:val="TableContents"/>
              <w:bidi w:val="0"/>
              <w:spacing w:lineRule="atLeast" w:line="160" w:before="120" w:after="0"/>
              <w:ind w:left="320" w:right="0" w:hanging="0"/>
              <w:jc w:val="left"/>
              <w:rPr>
                <w:spacing w:val="-1"/>
              </w:rPr>
            </w:pPr>
            <w:r>
              <w:rPr>
                <w:spacing w:val="-1"/>
              </w:rPr>
              <w:t xml:space="preserve">Excluding special items </w:t>
            </w:r>
            <w:r>
              <mc:AlternateContent>
                <mc:Choice Requires="wps">
                  <w:drawing>
                    <wp:anchor behindDoc="0" distT="76200" distB="0" distL="0" distR="0" simplePos="0" locked="0" layoutInCell="1" allowOverlap="1" relativeHeight="734">
                      <wp:simplePos x="0" y="0"/>
                      <wp:positionH relativeFrom="column">
                        <wp:align>left</wp:align>
                      </wp:positionH>
                      <wp:positionV relativeFrom="line">
                        <wp:align>top</wp:align>
                      </wp:positionV>
                      <wp:extent cx="203200" cy="350520"/>
                      <wp:effectExtent l="0" t="0" r="0" b="0"/>
                      <wp:wrapSquare wrapText="right"/>
                      <wp:docPr id="705" name="Frame42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16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1"/>
                              </w:rPr>
                              <w:t>*</w:t>
                            </w:r>
                            <w:r>
                              <w:rPr/>
                              <w:t xml:space="preserve"> </w:t>
                              <w:br/>
                            </w:r>
                          </w:p>
                        </w:txbxContent>
                      </v:textbox>
                      <w10:wrap type="square" side="right"/>
                    </v:rect>
                  </w:pict>
                </mc:Fallback>
              </mc:AlternateContent>
            </w:r>
          </w:p>
          <w:p>
            <w:pPr>
              <w:pStyle w:val="TableContents"/>
              <w:bidi w:val="0"/>
              <w:spacing w:before="0" w:after="0"/>
              <w:ind w:left="0" w:right="0" w:hanging="0"/>
              <w:jc w:val="center"/>
              <w:rPr/>
            </w:pPr>
            <w:r>
              <w:rPr/>
              <w:t>​</w:t>
            </w:r>
          </w:p>
        </w:tc>
        <w:tc>
          <w:tcPr>
            <w:tcW w:w="109" w:type="dxa"/>
            <w:vMerge w:val="restart"/>
            <w:tcBorders/>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8" w:type="dxa"/>
            <w:tcBorders/>
            <w:vAlign w:val="center"/>
          </w:tcPr>
          <w:p>
            <w:pPr>
              <w:pStyle w:val="TableContents"/>
              <w:bidi w:val="0"/>
              <w:spacing w:before="0" w:after="0"/>
              <w:jc w:val="left"/>
              <w:rPr>
                <w:b/>
                <w:color w:val="002F56"/>
                <w:spacing w:val="-7"/>
                <w:sz w:val="20"/>
              </w:rPr>
            </w:pPr>
            <w:r>
              <w:rPr>
                <w:b/>
                <w:color w:val="002F56"/>
                <w:spacing w:val="-7"/>
                <w:sz w:val="20"/>
              </w:rPr>
              <w:t xml:space="preserve">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0"/>
              <w:jc w:val="left"/>
              <w:rPr/>
            </w:pPr>
            <w:r>
              <w:rPr>
                <w:b/>
                <w:color w:val="404040"/>
                <w:spacing w:val="-6"/>
              </w:rPr>
              <w:t>OPERATING INCOME.</w:t>
            </w:r>
            <w:r>
              <w:rPr>
                <w:spacing w:val="-1"/>
              </w:rPr>
              <w:t xml:space="preserve"> Overall, the target was to achieve operating income growth of 5% versus 2024, with similar targets in each segment.</w:t>
            </w:r>
            <w:r>
              <w:rPr/>
              <w:t xml:space="preserve"> </w:t>
            </w:r>
          </w:p>
          <w:p>
            <w:pPr>
              <w:pStyle w:val="TableContents"/>
              <w:bidi w:val="0"/>
              <w:spacing w:lineRule="atLeast" w:line="180" w:before="100" w:after="283"/>
              <w:jc w:val="left"/>
              <w:rPr>
                <w:b/>
              </w:rPr>
            </w:pPr>
            <w:r>
              <w:rPr>
                <w:b/>
                <w:spacing w:val="0"/>
              </w:rPr>
              <w:t>Consumer &amp; Specialties segment</w:t>
            </w:r>
            <w:r>
              <w:rPr>
                <w:b/>
              </w:rPr>
              <w:t xml:space="preserve"> </w:t>
            </w:r>
          </w:p>
          <w:p>
            <w:pPr>
              <w:pStyle w:val="TableContents"/>
              <w:bidi w:val="0"/>
              <w:spacing w:lineRule="atLeast" w:line="200" w:before="100" w:after="0"/>
              <w:ind w:left="180" w:right="0" w:hanging="0"/>
              <w:jc w:val="left"/>
              <w:rPr/>
            </w:pPr>
            <w:r>
              <w:rPr>
                <w:spacing w:val="-1"/>
              </w:rPr>
              <w:t>The targeted 2025 operating income performance for the segment was an increase of approximately 5% versus 2024 due to:</w:t>
            </w:r>
            <w:r>
              <w:rPr/>
              <w:t xml:space="preserve"> </w:t>
            </w:r>
            <w:r>
              <mc:AlternateContent>
                <mc:Choice Requires="wps">
                  <w:drawing>
                    <wp:anchor behindDoc="0" distT="63500" distB="0" distL="0" distR="0" simplePos="0" locked="0" layoutInCell="1" allowOverlap="1" relativeHeight="735">
                      <wp:simplePos x="0" y="0"/>
                      <wp:positionH relativeFrom="column">
                        <wp:align>left</wp:align>
                      </wp:positionH>
                      <wp:positionV relativeFrom="line">
                        <wp:align>top</wp:align>
                      </wp:positionV>
                      <wp:extent cx="114300" cy="350520"/>
                      <wp:effectExtent l="0" t="0" r="0" b="0"/>
                      <wp:wrapSquare wrapText="right"/>
                      <wp:docPr id="706" name="Frame4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360" w:right="0" w:hanging="0"/>
              <w:jc w:val="left"/>
              <w:rPr/>
            </w:pPr>
            <w:r>
              <w:rPr>
                <w:spacing w:val="-1"/>
              </w:rPr>
              <w:t>Continued growth in Household &amp; Personal Care</w:t>
            </w:r>
            <w:r>
              <w:rPr/>
              <w:t xml:space="preserve"> </w:t>
            </w:r>
            <w:r>
              <mc:AlternateContent>
                <mc:Choice Requires="wps">
                  <w:drawing>
                    <wp:anchor behindDoc="0" distT="38100" distB="0" distL="114300" distR="0" simplePos="0" locked="0" layoutInCell="1" allowOverlap="1" relativeHeight="736">
                      <wp:simplePos x="0" y="0"/>
                      <wp:positionH relativeFrom="column">
                        <wp:align>left</wp:align>
                      </wp:positionH>
                      <wp:positionV relativeFrom="line">
                        <wp:align>top</wp:align>
                      </wp:positionV>
                      <wp:extent cx="114300" cy="350520"/>
                      <wp:effectExtent l="0" t="0" r="0" b="0"/>
                      <wp:wrapSquare wrapText="right"/>
                      <wp:docPr id="707" name="Frame4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360" w:right="0" w:hanging="0"/>
              <w:jc w:val="left"/>
              <w:rPr/>
            </w:pPr>
            <w:r>
              <w:rPr>
                <w:spacing w:val="-1"/>
              </w:rPr>
              <w:t>Improved productivity and operating performance</w:t>
            </w:r>
            <w:r>
              <w:rPr/>
              <w:t xml:space="preserve"> </w:t>
            </w:r>
            <w:r>
              <mc:AlternateContent>
                <mc:Choice Requires="wps">
                  <w:drawing>
                    <wp:anchor behindDoc="0" distT="38100" distB="0" distL="114300" distR="0" simplePos="0" locked="0" layoutInCell="1" allowOverlap="1" relativeHeight="737">
                      <wp:simplePos x="0" y="0"/>
                      <wp:positionH relativeFrom="column">
                        <wp:align>left</wp:align>
                      </wp:positionH>
                      <wp:positionV relativeFrom="line">
                        <wp:align>top</wp:align>
                      </wp:positionV>
                      <wp:extent cx="114300" cy="350520"/>
                      <wp:effectExtent l="0" t="0" r="0" b="0"/>
                      <wp:wrapSquare wrapText="right"/>
                      <wp:docPr id="708" name="Frame4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18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283"/>
              <w:jc w:val="left"/>
              <w:rPr>
                <w:b/>
              </w:rPr>
            </w:pPr>
            <w:r>
              <w:rPr>
                <w:b/>
                <w:spacing w:val="0"/>
              </w:rPr>
              <w:t>Engineered Solutions segment</w:t>
            </w:r>
            <w:r>
              <w:rPr>
                <w:b/>
              </w:rPr>
              <w:t xml:space="preserve"> </w:t>
            </w:r>
          </w:p>
          <w:p>
            <w:pPr>
              <w:pStyle w:val="TableContents"/>
              <w:bidi w:val="0"/>
              <w:spacing w:lineRule="atLeast" w:line="200" w:before="100" w:after="0"/>
              <w:ind w:left="180" w:right="0" w:hanging="0"/>
              <w:jc w:val="left"/>
              <w:rPr/>
            </w:pPr>
            <w:r>
              <w:rPr>
                <w:spacing w:val="-1"/>
              </w:rPr>
              <w:t>The targeted 2025 operating income performance for the segment was an increase of 5% versus 2024 performance, due to:</w:t>
            </w:r>
            <w:r>
              <w:rPr/>
              <w:t xml:space="preserve"> </w:t>
            </w:r>
            <w:r>
              <mc:AlternateContent>
                <mc:Choice Requires="wps">
                  <w:drawing>
                    <wp:anchor behindDoc="0" distT="63500" distB="0" distL="0" distR="0" simplePos="0" locked="0" layoutInCell="1" allowOverlap="1" relativeHeight="738">
                      <wp:simplePos x="0" y="0"/>
                      <wp:positionH relativeFrom="column">
                        <wp:align>left</wp:align>
                      </wp:positionH>
                      <wp:positionV relativeFrom="line">
                        <wp:align>top</wp:align>
                      </wp:positionV>
                      <wp:extent cx="114300" cy="350520"/>
                      <wp:effectExtent l="0" t="0" r="0" b="0"/>
                      <wp:wrapSquare wrapText="right"/>
                      <wp:docPr id="709" name="Frame4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0" w:hanging="0"/>
              <w:jc w:val="left"/>
              <w:rPr/>
            </w:pPr>
            <w:r>
              <w:rPr>
                <w:spacing w:val="-1"/>
              </w:rPr>
              <w:t>Stable market conditions in High-Temperature Technologies</w:t>
            </w:r>
            <w:r>
              <w:rPr/>
              <w:t xml:space="preserve"> </w:t>
            </w:r>
            <w:r>
              <mc:AlternateContent>
                <mc:Choice Requires="wps">
                  <w:drawing>
                    <wp:anchor behindDoc="0" distT="38100" distB="0" distL="114300" distR="0" simplePos="0" locked="0" layoutInCell="1" allowOverlap="1" relativeHeight="739">
                      <wp:simplePos x="0" y="0"/>
                      <wp:positionH relativeFrom="column">
                        <wp:align>left</wp:align>
                      </wp:positionH>
                      <wp:positionV relativeFrom="line">
                        <wp:align>top</wp:align>
                      </wp:positionV>
                      <wp:extent cx="114300" cy="350520"/>
                      <wp:effectExtent l="0" t="0" r="0" b="0"/>
                      <wp:wrapSquare wrapText="right"/>
                      <wp:docPr id="710" name="Frame4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0" w:hanging="0"/>
              <w:jc w:val="left"/>
              <w:rPr/>
            </w:pPr>
            <w:r>
              <w:rPr>
                <w:spacing w:val="-1"/>
              </w:rPr>
              <w:t>Sales growth linked to geographic penetration and the proliferation of new products</w:t>
            </w:r>
            <w:r>
              <w:rPr/>
              <w:t xml:space="preserve"> </w:t>
            </w:r>
            <w:r>
              <mc:AlternateContent>
                <mc:Choice Requires="wps">
                  <w:drawing>
                    <wp:anchor behindDoc="0" distT="38100" distB="0" distL="114300" distR="0" simplePos="0" locked="0" layoutInCell="1" allowOverlap="1" relativeHeight="740">
                      <wp:simplePos x="0" y="0"/>
                      <wp:positionH relativeFrom="column">
                        <wp:align>left</wp:align>
                      </wp:positionH>
                      <wp:positionV relativeFrom="line">
                        <wp:align>top</wp:align>
                      </wp:positionV>
                      <wp:extent cx="114300" cy="350520"/>
                      <wp:effectExtent l="0" t="0" r="0" b="0"/>
                      <wp:wrapSquare wrapText="right"/>
                      <wp:docPr id="711" name="Frame4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360" w:right="0" w:hanging="0"/>
              <w:jc w:val="left"/>
              <w:rPr>
                <w:spacing w:val="-1"/>
              </w:rPr>
            </w:pPr>
            <w:r>
              <w:rPr>
                <w:spacing w:val="-1"/>
              </w:rPr>
              <w:t xml:space="preserve">Improved productivity and continued strong execution </w:t>
            </w:r>
            <w:r>
              <mc:AlternateContent>
                <mc:Choice Requires="wps">
                  <w:drawing>
                    <wp:anchor behindDoc="0" distT="38100" distB="0" distL="114300" distR="0" simplePos="0" locked="0" layoutInCell="1" allowOverlap="1" relativeHeight="741">
                      <wp:simplePos x="0" y="0"/>
                      <wp:positionH relativeFrom="column">
                        <wp:align>left</wp:align>
                      </wp:positionH>
                      <wp:positionV relativeFrom="line">
                        <wp:align>top</wp:align>
                      </wp:positionV>
                      <wp:extent cx="114300" cy="350520"/>
                      <wp:effectExtent l="0" t="0" r="0" b="0"/>
                      <wp:wrapSquare wrapText="right"/>
                      <wp:docPr id="712" name="Frame4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3pt;mso-wrap-distance-bottom:0pt;margin-top:3pt;mso-position-vertical:top;mso-position-vertical-relative:text;margin-left:9pt;mso-position-horizontal:left;mso-position-horizontal-relative:text">
                      <v:textbox>
                        <w:txbxContent>
                          <w:p>
                            <w:pPr>
                              <w:pStyle w:val="TextBody"/>
                              <w:bidi w:val="0"/>
                              <w:spacing w:lineRule="atLeast" w:line="200" w:before="0" w:after="283"/>
                              <w:jc w:val="left"/>
                              <w:rPr/>
                            </w:pPr>
                            <w:r>
                              <w:rPr>
                                <w:color w:val="DF0000"/>
                                <w:spacing w:val="-1"/>
                              </w:rPr>
                              <w:t>»</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449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6"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228" w:type="dxa"/>
            <w:tcBorders/>
            <w:vAlign w:val="center"/>
          </w:tcPr>
          <w:p>
            <w:pPr>
              <w:pStyle w:val="TableContents"/>
              <w:bidi w:val="0"/>
              <w:spacing w:before="0" w:after="0"/>
              <w:jc w:val="left"/>
              <w:rPr>
                <w:b/>
                <w:color w:val="002F56"/>
                <w:spacing w:val="-7"/>
                <w:sz w:val="20"/>
              </w:rPr>
            </w:pPr>
            <w:r>
              <w:rPr>
                <w:b/>
                <w:color w:val="002F56"/>
                <w:spacing w:val="-7"/>
                <w:sz w:val="20"/>
              </w:rPr>
              <w:t xml:space="preserve">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283"/>
              <w:jc w:val="left"/>
              <w:rPr/>
            </w:pPr>
            <w:r>
              <w:rPr>
                <w:b/>
                <w:color w:val="404040"/>
                <w:spacing w:val="-6"/>
              </w:rPr>
              <w:t>RONA.</w:t>
            </w:r>
            <w:r>
              <w:rPr>
                <w:spacing w:val="-1"/>
              </w:rPr>
              <w:t xml:space="preserve"> The overall targeted performance for RONA in 2025 was an improvement of 20 basis points compared to 2024 performance due to the targeted increase in income and the impact of expected changes in working capital and capital expenditures in the average net asset base.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CCCCCC"/>
            </w:tcBorders>
            <w:shd w:fill="CCCCCC"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449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6" w:type="dxa"/>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47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before="0" w:after="283"/>
        <w:ind w:left="1020" w:right="0" w:hanging="0"/>
        <w:jc w:val="left"/>
        <w:rPr>
          <w:caps w:val="false"/>
          <w:smallCaps w:val="false"/>
          <w:color w:val="000000"/>
          <w:bdr w:val="single" w:sz="12" w:space="1" w:color="71B1C8"/>
        </w:rPr>
      </w:pPr>
      <w:r>
        <w:rPr>
          <w:caps w:val="false"/>
          <w:smallCaps w:val="false"/>
          <w:color w:val="000000"/>
          <w:bdr w:val="single" w:sz="12" w:space="1" w:color="71B1C8"/>
        </w:rPr>
        <w:t>​</w:t>
      </w:r>
    </w:p>
    <w:p>
      <w:pPr>
        <w:pStyle w:val="TextBody"/>
        <w:bidi w:val="0"/>
        <w:spacing w:lineRule="atLeast" w:line="240" w:before="198"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7"/>
          <w:sz w:val="20"/>
        </w:rPr>
        <w:t>2025 PERFORMANCE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performance factor represents the weighted average of the performance factor for the two segments, and the segment performance factor is a weighted average of the individual business units within each segment. For each segment and business unit, actual 2025 performance for each measure was weighted — OI was weighted at 60% and RONA at 40% — and the weighted average performance corresponds to a performance factor based on an individual payout matrix for such business unit. Because the Company performance factor represents a weighted average of segment level performance factors, which in turn represent a weighted average of individual business unit performance within each segment, it does not have a straight-line relationship with consolidated Company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sets forth: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weights assigned to each segment for purposes of calculating the weighted average of segment level performance factors;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7780" distB="0" distL="0" distR="0" simplePos="0" locked="0" layoutInCell="1" allowOverlap="1" relativeHeight="742">
                <wp:simplePos x="0" y="0"/>
                <wp:positionH relativeFrom="column">
                  <wp:align>left</wp:align>
                </wp:positionH>
                <wp:positionV relativeFrom="line">
                  <wp:align>top</wp:align>
                </wp:positionV>
                <wp:extent cx="127000" cy="350520"/>
                <wp:effectExtent l="0" t="0" r="0" b="0"/>
                <wp:wrapSquare wrapText="right"/>
                <wp:docPr id="713"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performance factors achieved for 2025 for each segment;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743">
                <wp:simplePos x="0" y="0"/>
                <wp:positionH relativeFrom="column">
                  <wp:align>left</wp:align>
                </wp:positionH>
                <wp:positionV relativeFrom="line">
                  <wp:align>top</wp:align>
                </wp:positionV>
                <wp:extent cx="127000" cy="350520"/>
                <wp:effectExtent l="0" t="0" r="0" b="0"/>
                <wp:wrapSquare wrapText="right"/>
                <wp:docPr id="714"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weighted average payout associated with that segment’s 2025 performance (multiplying the weight assigned to each segment by its 2025 Performance Factor).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744">
                <wp:simplePos x="0" y="0"/>
                <wp:positionH relativeFrom="column">
                  <wp:align>left</wp:align>
                </wp:positionH>
                <wp:positionV relativeFrom="line">
                  <wp:align>top</wp:align>
                </wp:positionV>
                <wp:extent cx="127000" cy="350520"/>
                <wp:effectExtent l="0" t="0" r="0" b="0"/>
                <wp:wrapSquare wrapText="right"/>
                <wp:docPr id="715"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9185" w:type="dxa"/>
        <w:jc w:val="left"/>
        <w:tblInd w:w="1020" w:type="dxa"/>
        <w:tblLayout w:type="fixed"/>
        <w:tblCellMar>
          <w:top w:w="0" w:type="dxa"/>
          <w:left w:w="0" w:type="dxa"/>
          <w:bottom w:w="0" w:type="dxa"/>
          <w:right w:w="0" w:type="dxa"/>
        </w:tblCellMar>
      </w:tblPr>
      <w:tblGrid>
        <w:gridCol w:w="124"/>
        <w:gridCol w:w="2788"/>
        <w:gridCol w:w="109"/>
        <w:gridCol w:w="109"/>
        <w:gridCol w:w="109"/>
        <w:gridCol w:w="109"/>
        <w:gridCol w:w="669"/>
        <w:gridCol w:w="109"/>
        <w:gridCol w:w="109"/>
        <w:gridCol w:w="109"/>
        <w:gridCol w:w="249"/>
        <w:gridCol w:w="249"/>
        <w:gridCol w:w="1483"/>
        <w:gridCol w:w="250"/>
        <w:gridCol w:w="109"/>
        <w:gridCol w:w="109"/>
        <w:gridCol w:w="232"/>
        <w:gridCol w:w="232"/>
        <w:gridCol w:w="1536"/>
        <w:gridCol w:w="232"/>
        <w:gridCol w:w="160"/>
      </w:tblGrid>
      <w:tr>
        <w:trPr/>
        <w:tc>
          <w:tcPr>
            <w:tcW w:w="124" w:type="dxa"/>
            <w:tcBorders/>
            <w:shd w:fill="002F56" w:val="clear"/>
            <w:vAlign w:val="center"/>
          </w:tcPr>
          <w:p>
            <w:pPr>
              <w:pStyle w:val="TableContents"/>
              <w:bidi w:val="0"/>
              <w:spacing w:before="0" w:after="283"/>
              <w:jc w:val="left"/>
              <w:rPr/>
            </w:pPr>
            <w:r>
              <w:rPr/>
              <w:t>​</w:t>
            </w:r>
          </w:p>
        </w:tc>
        <w:tc>
          <w:tcPr>
            <w:tcW w:w="2788" w:type="dxa"/>
            <w:tcBorders/>
            <w:shd w:fill="002F56" w:val="clear"/>
            <w:vAlign w:val="center"/>
          </w:tcPr>
          <w:p>
            <w:pPr>
              <w:pStyle w:val="TableContents"/>
              <w:bidi w:val="0"/>
              <w:spacing w:before="0" w:after="0"/>
              <w:jc w:val="left"/>
              <w:rPr>
                <w:spacing w:val="0"/>
              </w:rPr>
            </w:pPr>
            <w:r>
              <w:rPr>
                <w:spacing w:val="0"/>
              </w:rPr>
              <w:t xml:space="preserve">Segment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996" w:type="dxa"/>
            <w:gridSpan w:val="4"/>
            <w:tcBorders/>
            <w:shd w:fill="002F56" w:val="clear"/>
            <w:vAlign w:val="center"/>
          </w:tcPr>
          <w:p>
            <w:pPr>
              <w:pStyle w:val="TableContents"/>
              <w:bidi w:val="0"/>
              <w:spacing w:before="0" w:after="0"/>
              <w:jc w:val="center"/>
              <w:rPr>
                <w:spacing w:val="0"/>
              </w:rPr>
            </w:pPr>
            <w:r>
              <w:rPr>
                <w:spacing w:val="0"/>
              </w:rPr>
              <w:t xml:space="preserve">Weight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31" w:type="dxa"/>
            <w:gridSpan w:val="4"/>
            <w:tcBorders/>
            <w:shd w:fill="002F56" w:val="clear"/>
            <w:vAlign w:val="center"/>
          </w:tcPr>
          <w:p>
            <w:pPr>
              <w:pStyle w:val="TableContents"/>
              <w:bidi w:val="0"/>
              <w:spacing w:before="0" w:after="0"/>
              <w:jc w:val="center"/>
              <w:rPr>
                <w:spacing w:val="0"/>
              </w:rPr>
            </w:pPr>
            <w:r>
              <w:rPr>
                <w:spacing w:val="0"/>
              </w:rPr>
              <w:t xml:space="preserve">2025 Performance Factor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232" w:type="dxa"/>
            <w:gridSpan w:val="4"/>
            <w:tcBorders/>
            <w:shd w:fill="002F56" w:val="clear"/>
            <w:vAlign w:val="center"/>
          </w:tcPr>
          <w:p>
            <w:pPr>
              <w:pStyle w:val="TableContents"/>
              <w:bidi w:val="0"/>
              <w:spacing w:before="0" w:after="0"/>
              <w:jc w:val="center"/>
              <w:rPr>
                <w:spacing w:val="0"/>
              </w:rPr>
            </w:pPr>
            <w:r>
              <w:rPr>
                <w:spacing w:val="0"/>
              </w:rPr>
              <w:t xml:space="preserve">Weighted Average Payout </w:t>
            </w:r>
          </w:p>
        </w:tc>
        <w:tc>
          <w:tcPr>
            <w:tcW w:w="160"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788"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Consumer &amp; Specialties Segment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669" w:type="dxa"/>
            <w:tcBorders>
              <w:bottom w:val="single" w:sz="6" w:space="0" w:color="BFBFBF"/>
            </w:tcBorders>
            <w:tcMar>
              <w:bottom w:w="43" w:type="dxa"/>
            </w:tcMar>
            <w:vAlign w:val="center"/>
          </w:tcPr>
          <w:p>
            <w:pPr>
              <w:pStyle w:val="TableContents"/>
              <w:bidi w:val="0"/>
              <w:spacing w:before="0" w:after="283"/>
              <w:jc w:val="right"/>
              <w:rPr/>
            </w:pPr>
            <w:r>
              <w:rPr/>
              <w:t>50.9%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9" w:type="dxa"/>
            <w:tcBorders>
              <w:bottom w:val="single" w:sz="6" w:space="0" w:color="BFBFBF"/>
            </w:tcBorders>
            <w:tcMar>
              <w:bottom w:w="28" w:type="dxa"/>
            </w:tcMar>
            <w:vAlign w:val="center"/>
          </w:tcPr>
          <w:p>
            <w:pPr>
              <w:pStyle w:val="TableContents"/>
              <w:bidi w:val="0"/>
              <w:spacing w:before="0" w:after="283"/>
              <w:jc w:val="left"/>
              <w:rPr/>
            </w:pPr>
            <w:r>
              <w:rPr/>
              <w:t>​</w:t>
            </w:r>
          </w:p>
        </w:tc>
        <w:tc>
          <w:tcPr>
            <w:tcW w:w="249" w:type="dxa"/>
            <w:tcBorders>
              <w:bottom w:val="single" w:sz="6" w:space="0" w:color="BFBFBF"/>
            </w:tcBorders>
            <w:tcMar>
              <w:bottom w:w="43" w:type="dxa"/>
            </w:tcMar>
            <w:vAlign w:val="center"/>
          </w:tcPr>
          <w:p>
            <w:pPr>
              <w:pStyle w:val="TableContents"/>
              <w:bidi w:val="0"/>
              <w:spacing w:before="0" w:after="283"/>
              <w:jc w:val="right"/>
              <w:rPr/>
            </w:pPr>
            <w:r>
              <w:rPr/>
              <w:t>​</w:t>
            </w:r>
          </w:p>
        </w:tc>
        <w:tc>
          <w:tcPr>
            <w:tcW w:w="1483" w:type="dxa"/>
            <w:tcBorders>
              <w:bottom w:val="single" w:sz="6" w:space="0" w:color="BFBFBF"/>
            </w:tcBorders>
            <w:tcMar>
              <w:bottom w:w="43" w:type="dxa"/>
            </w:tcMar>
            <w:vAlign w:val="center"/>
          </w:tcPr>
          <w:p>
            <w:pPr>
              <w:pStyle w:val="TableContents"/>
              <w:bidi w:val="0"/>
              <w:spacing w:before="0" w:after="283"/>
              <w:jc w:val="right"/>
              <w:rPr/>
            </w:pPr>
            <w:r>
              <w:rPr/>
              <w:t>57.9%</w:t>
            </w:r>
          </w:p>
        </w:tc>
        <w:tc>
          <w:tcPr>
            <w:tcW w:w="25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32" w:type="dxa"/>
            <w:tcBorders>
              <w:bottom w:val="single" w:sz="6" w:space="0" w:color="BFBFBF"/>
            </w:tcBorders>
            <w:tcMar>
              <w:bottom w:w="28" w:type="dxa"/>
            </w:tcMar>
            <w:vAlign w:val="center"/>
          </w:tcPr>
          <w:p>
            <w:pPr>
              <w:pStyle w:val="TableContents"/>
              <w:bidi w:val="0"/>
              <w:spacing w:before="0" w:after="283"/>
              <w:jc w:val="left"/>
              <w:rPr/>
            </w:pPr>
            <w:r>
              <w:rPr/>
              <w:t>​</w:t>
            </w:r>
          </w:p>
        </w:tc>
        <w:tc>
          <w:tcPr>
            <w:tcW w:w="232" w:type="dxa"/>
            <w:tcBorders>
              <w:bottom w:val="single" w:sz="6" w:space="0" w:color="BFBFBF"/>
            </w:tcBorders>
            <w:tcMar>
              <w:bottom w:w="43" w:type="dxa"/>
            </w:tcMar>
            <w:vAlign w:val="center"/>
          </w:tcPr>
          <w:p>
            <w:pPr>
              <w:pStyle w:val="TableContents"/>
              <w:bidi w:val="0"/>
              <w:spacing w:before="0" w:after="283"/>
              <w:jc w:val="right"/>
              <w:rPr/>
            </w:pPr>
            <w:r>
              <w:rPr/>
              <w:t>​</w:t>
            </w:r>
          </w:p>
        </w:tc>
        <w:tc>
          <w:tcPr>
            <w:tcW w:w="1536" w:type="dxa"/>
            <w:tcBorders>
              <w:bottom w:val="single" w:sz="6" w:space="0" w:color="BFBFBF"/>
            </w:tcBorders>
            <w:tcMar>
              <w:bottom w:w="43" w:type="dxa"/>
            </w:tcMar>
            <w:vAlign w:val="center"/>
          </w:tcPr>
          <w:p>
            <w:pPr>
              <w:pStyle w:val="TableContents"/>
              <w:bidi w:val="0"/>
              <w:spacing w:before="0" w:after="283"/>
              <w:jc w:val="right"/>
              <w:rPr/>
            </w:pPr>
            <w:r>
              <w:rPr/>
              <w:t>29.4%</w:t>
            </w:r>
          </w:p>
        </w:tc>
        <w:tc>
          <w:tcPr>
            <w:tcW w:w="232" w:type="dxa"/>
            <w:tcBorders>
              <w:bottom w:val="single" w:sz="6" w:space="0" w:color="BFBFBF"/>
            </w:tcBorders>
            <w:tcMar>
              <w:bottom w:w="28" w:type="dxa"/>
            </w:tcMar>
            <w:vAlign w:val="center"/>
          </w:tcPr>
          <w:p>
            <w:pPr>
              <w:pStyle w:val="TableContents"/>
              <w:bidi w:val="0"/>
              <w:spacing w:before="0" w:after="283"/>
              <w:jc w:val="left"/>
              <w:rPr/>
            </w:pPr>
            <w:r>
              <w:rPr/>
              <w:t>​</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788"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Engineered Solutions Segment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669" w:type="dxa"/>
            <w:tcBorders>
              <w:bottom w:val="single" w:sz="6" w:space="0" w:color="BFBFBF"/>
            </w:tcBorders>
            <w:tcMar>
              <w:bottom w:w="43" w:type="dxa"/>
            </w:tcMar>
            <w:vAlign w:val="center"/>
          </w:tcPr>
          <w:p>
            <w:pPr>
              <w:pStyle w:val="TableContents"/>
              <w:bidi w:val="0"/>
              <w:spacing w:before="0" w:after="283"/>
              <w:jc w:val="right"/>
              <w:rPr/>
            </w:pPr>
            <w:r>
              <w:rPr/>
              <w:t>46.4%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9" w:type="dxa"/>
            <w:tcBorders>
              <w:bottom w:val="single" w:sz="6" w:space="0" w:color="BFBFBF"/>
            </w:tcBorders>
            <w:tcMar>
              <w:bottom w:w="28" w:type="dxa"/>
            </w:tcMar>
            <w:vAlign w:val="center"/>
          </w:tcPr>
          <w:p>
            <w:pPr>
              <w:pStyle w:val="TableContents"/>
              <w:bidi w:val="0"/>
              <w:spacing w:before="0" w:after="283"/>
              <w:jc w:val="left"/>
              <w:rPr/>
            </w:pPr>
            <w:r>
              <w:rPr/>
              <w:t>​</w:t>
            </w:r>
          </w:p>
        </w:tc>
        <w:tc>
          <w:tcPr>
            <w:tcW w:w="249" w:type="dxa"/>
            <w:tcBorders>
              <w:bottom w:val="single" w:sz="6" w:space="0" w:color="BFBFBF"/>
            </w:tcBorders>
            <w:tcMar>
              <w:bottom w:w="43" w:type="dxa"/>
            </w:tcMar>
            <w:vAlign w:val="center"/>
          </w:tcPr>
          <w:p>
            <w:pPr>
              <w:pStyle w:val="TableContents"/>
              <w:bidi w:val="0"/>
              <w:spacing w:before="0" w:after="283"/>
              <w:jc w:val="right"/>
              <w:rPr/>
            </w:pPr>
            <w:r>
              <w:rPr/>
              <w:t>​</w:t>
            </w:r>
          </w:p>
        </w:tc>
        <w:tc>
          <w:tcPr>
            <w:tcW w:w="1483" w:type="dxa"/>
            <w:tcBorders>
              <w:bottom w:val="single" w:sz="6" w:space="0" w:color="BFBFBF"/>
            </w:tcBorders>
            <w:tcMar>
              <w:bottom w:w="43" w:type="dxa"/>
            </w:tcMar>
            <w:vAlign w:val="center"/>
          </w:tcPr>
          <w:p>
            <w:pPr>
              <w:pStyle w:val="TableContents"/>
              <w:bidi w:val="0"/>
              <w:spacing w:before="0" w:after="283"/>
              <w:jc w:val="right"/>
              <w:rPr/>
            </w:pPr>
            <w:r>
              <w:rPr/>
              <w:t>92.3%</w:t>
            </w:r>
          </w:p>
        </w:tc>
        <w:tc>
          <w:tcPr>
            <w:tcW w:w="25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32" w:type="dxa"/>
            <w:tcBorders>
              <w:bottom w:val="single" w:sz="6" w:space="0" w:color="BFBFBF"/>
            </w:tcBorders>
            <w:tcMar>
              <w:bottom w:w="28" w:type="dxa"/>
            </w:tcMar>
            <w:vAlign w:val="center"/>
          </w:tcPr>
          <w:p>
            <w:pPr>
              <w:pStyle w:val="TableContents"/>
              <w:bidi w:val="0"/>
              <w:spacing w:before="0" w:after="283"/>
              <w:jc w:val="left"/>
              <w:rPr/>
            </w:pPr>
            <w:r>
              <w:rPr/>
              <w:t>​</w:t>
            </w:r>
          </w:p>
        </w:tc>
        <w:tc>
          <w:tcPr>
            <w:tcW w:w="232" w:type="dxa"/>
            <w:tcBorders>
              <w:bottom w:val="single" w:sz="6" w:space="0" w:color="BFBFBF"/>
            </w:tcBorders>
            <w:tcMar>
              <w:bottom w:w="43" w:type="dxa"/>
            </w:tcMar>
            <w:vAlign w:val="center"/>
          </w:tcPr>
          <w:p>
            <w:pPr>
              <w:pStyle w:val="TableContents"/>
              <w:bidi w:val="0"/>
              <w:spacing w:before="0" w:after="283"/>
              <w:jc w:val="right"/>
              <w:rPr/>
            </w:pPr>
            <w:r>
              <w:rPr/>
              <w:t>​</w:t>
            </w:r>
          </w:p>
        </w:tc>
        <w:tc>
          <w:tcPr>
            <w:tcW w:w="1536" w:type="dxa"/>
            <w:tcBorders>
              <w:bottom w:val="single" w:sz="6" w:space="0" w:color="BFBFBF"/>
            </w:tcBorders>
            <w:tcMar>
              <w:bottom w:w="43" w:type="dxa"/>
            </w:tcMar>
            <w:vAlign w:val="center"/>
          </w:tcPr>
          <w:p>
            <w:pPr>
              <w:pStyle w:val="TableContents"/>
              <w:bidi w:val="0"/>
              <w:spacing w:before="0" w:after="283"/>
              <w:jc w:val="right"/>
              <w:rPr/>
            </w:pPr>
            <w:r>
              <w:rPr/>
              <w:t>42.8%</w:t>
            </w:r>
          </w:p>
        </w:tc>
        <w:tc>
          <w:tcPr>
            <w:tcW w:w="232" w:type="dxa"/>
            <w:tcBorders>
              <w:bottom w:val="single" w:sz="6" w:space="0" w:color="BFBFBF"/>
            </w:tcBorders>
            <w:tcMar>
              <w:bottom w:w="28" w:type="dxa"/>
            </w:tcMar>
            <w:vAlign w:val="center"/>
          </w:tcPr>
          <w:p>
            <w:pPr>
              <w:pStyle w:val="TableContents"/>
              <w:bidi w:val="0"/>
              <w:spacing w:before="0" w:after="283"/>
              <w:jc w:val="left"/>
              <w:rPr/>
            </w:pPr>
            <w:r>
              <w:rPr/>
              <w:t>​</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2788"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Unallocated Corporate Expense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669" w:type="dxa"/>
            <w:tcBorders>
              <w:bottom w:val="single" w:sz="6" w:space="0" w:color="BFBFBF"/>
            </w:tcBorders>
            <w:tcMar>
              <w:bottom w:w="43" w:type="dxa"/>
            </w:tcMar>
            <w:vAlign w:val="center"/>
          </w:tcPr>
          <w:p>
            <w:pPr>
              <w:pStyle w:val="TableContents"/>
              <w:bidi w:val="0"/>
              <w:spacing w:before="0" w:after="283"/>
              <w:jc w:val="right"/>
              <w:rPr/>
            </w:pPr>
            <w:r>
              <w:rPr/>
              <w:t>2.7%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49" w:type="dxa"/>
            <w:tcBorders>
              <w:bottom w:val="single" w:sz="6" w:space="0" w:color="BFBFBF"/>
            </w:tcBorders>
            <w:tcMar>
              <w:bottom w:w="28" w:type="dxa"/>
            </w:tcMar>
            <w:vAlign w:val="center"/>
          </w:tcPr>
          <w:p>
            <w:pPr>
              <w:pStyle w:val="TableContents"/>
              <w:bidi w:val="0"/>
              <w:spacing w:before="0" w:after="283"/>
              <w:jc w:val="left"/>
              <w:rPr/>
            </w:pPr>
            <w:r>
              <w:rPr/>
              <w:t>​</w:t>
            </w:r>
          </w:p>
        </w:tc>
        <w:tc>
          <w:tcPr>
            <w:tcW w:w="249" w:type="dxa"/>
            <w:tcBorders>
              <w:bottom w:val="single" w:sz="6" w:space="0" w:color="BFBFBF"/>
            </w:tcBorders>
            <w:tcMar>
              <w:bottom w:w="43" w:type="dxa"/>
            </w:tcMar>
            <w:vAlign w:val="center"/>
          </w:tcPr>
          <w:p>
            <w:pPr>
              <w:pStyle w:val="TableContents"/>
              <w:bidi w:val="0"/>
              <w:spacing w:before="0" w:after="283"/>
              <w:jc w:val="right"/>
              <w:rPr/>
            </w:pPr>
            <w:r>
              <w:rPr/>
              <w:t>​</w:t>
            </w:r>
          </w:p>
        </w:tc>
        <w:tc>
          <w:tcPr>
            <w:tcW w:w="1483" w:type="dxa"/>
            <w:tcBorders>
              <w:bottom w:val="single" w:sz="6" w:space="0" w:color="BFBFBF"/>
            </w:tcBorders>
            <w:tcMar>
              <w:bottom w:w="43" w:type="dxa"/>
            </w:tcMar>
            <w:vAlign w:val="center"/>
          </w:tcPr>
          <w:p>
            <w:pPr>
              <w:pStyle w:val="TableContents"/>
              <w:bidi w:val="0"/>
              <w:spacing w:before="0" w:after="283"/>
              <w:jc w:val="right"/>
              <w:rPr/>
            </w:pPr>
            <w:r>
              <w:rPr/>
              <w:t>200.0%</w:t>
            </w:r>
          </w:p>
        </w:tc>
        <w:tc>
          <w:tcPr>
            <w:tcW w:w="250"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32" w:type="dxa"/>
            <w:tcBorders>
              <w:bottom w:val="single" w:sz="6" w:space="0" w:color="BFBFBF"/>
            </w:tcBorders>
            <w:tcMar>
              <w:bottom w:w="28" w:type="dxa"/>
            </w:tcMar>
            <w:vAlign w:val="center"/>
          </w:tcPr>
          <w:p>
            <w:pPr>
              <w:pStyle w:val="TableContents"/>
              <w:bidi w:val="0"/>
              <w:spacing w:before="0" w:after="283"/>
              <w:jc w:val="left"/>
              <w:rPr/>
            </w:pPr>
            <w:r>
              <w:rPr/>
              <w:t>​</w:t>
            </w:r>
          </w:p>
        </w:tc>
        <w:tc>
          <w:tcPr>
            <w:tcW w:w="232" w:type="dxa"/>
            <w:tcBorders>
              <w:bottom w:val="single" w:sz="6" w:space="0" w:color="BFBFBF"/>
            </w:tcBorders>
            <w:tcMar>
              <w:bottom w:w="43" w:type="dxa"/>
            </w:tcMar>
            <w:vAlign w:val="center"/>
          </w:tcPr>
          <w:p>
            <w:pPr>
              <w:pStyle w:val="TableContents"/>
              <w:bidi w:val="0"/>
              <w:spacing w:before="0" w:after="283"/>
              <w:jc w:val="right"/>
              <w:rPr/>
            </w:pPr>
            <w:r>
              <w:rPr/>
              <w:t>​</w:t>
            </w:r>
          </w:p>
        </w:tc>
        <w:tc>
          <w:tcPr>
            <w:tcW w:w="1536" w:type="dxa"/>
            <w:tcBorders>
              <w:bottom w:val="single" w:sz="6" w:space="0" w:color="BFBFBF"/>
            </w:tcBorders>
            <w:tcMar>
              <w:bottom w:w="43" w:type="dxa"/>
            </w:tcMar>
            <w:vAlign w:val="center"/>
          </w:tcPr>
          <w:p>
            <w:pPr>
              <w:pStyle w:val="TableContents"/>
              <w:bidi w:val="0"/>
              <w:spacing w:before="0" w:after="283"/>
              <w:jc w:val="right"/>
              <w:rPr/>
            </w:pPr>
            <w:r>
              <w:rPr/>
              <w:t>5.4%</w:t>
            </w:r>
          </w:p>
        </w:tc>
        <w:tc>
          <w:tcPr>
            <w:tcW w:w="232" w:type="dxa"/>
            <w:tcBorders>
              <w:bottom w:val="single" w:sz="6" w:space="0" w:color="BFBFBF"/>
            </w:tcBorders>
            <w:tcMar>
              <w:bottom w:w="28" w:type="dxa"/>
            </w:tcMar>
            <w:vAlign w:val="center"/>
          </w:tcPr>
          <w:p>
            <w:pPr>
              <w:pStyle w:val="TableContents"/>
              <w:bidi w:val="0"/>
              <w:spacing w:before="0" w:after="283"/>
              <w:jc w:val="left"/>
              <w:rPr/>
            </w:pPr>
            <w:r>
              <w:rPr/>
              <w:t>​</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2788" w:type="dxa"/>
            <w:tcBorders>
              <w:bottom w:val="single" w:sz="12" w:space="0" w:color="71B1C8"/>
            </w:tcBorders>
            <w:tcMar>
              <w:bottom w:w="28" w:type="dxa"/>
            </w:tcMar>
            <w:vAlign w:val="center"/>
          </w:tcPr>
          <w:p>
            <w:pPr>
              <w:pStyle w:val="TableContents"/>
              <w:bidi w:val="0"/>
              <w:spacing w:before="0" w:after="283"/>
              <w:jc w:val="left"/>
              <w:rPr/>
            </w:pPr>
            <w:r>
              <w:rPr>
                <w:spacing w:val="0"/>
              </w:rPr>
              <w:t>Overall Company Total</w:t>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66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49" w:type="dxa"/>
            <w:tcBorders>
              <w:bottom w:val="single" w:sz="12" w:space="0" w:color="71B1C8"/>
            </w:tcBorders>
            <w:tcMar>
              <w:bottom w:w="28" w:type="dxa"/>
            </w:tcMar>
            <w:vAlign w:val="center"/>
          </w:tcPr>
          <w:p>
            <w:pPr>
              <w:pStyle w:val="TableContents"/>
              <w:bidi w:val="0"/>
              <w:spacing w:before="0" w:after="283"/>
              <w:jc w:val="left"/>
              <w:rPr/>
            </w:pPr>
            <w:r>
              <w:rPr/>
              <w:t>​</w:t>
            </w:r>
          </w:p>
        </w:tc>
        <w:tc>
          <w:tcPr>
            <w:tcW w:w="249" w:type="dxa"/>
            <w:tcBorders>
              <w:bottom w:val="single" w:sz="12" w:space="0" w:color="71B1C8"/>
            </w:tcBorders>
            <w:tcMar>
              <w:bottom w:w="28" w:type="dxa"/>
            </w:tcMar>
            <w:vAlign w:val="center"/>
          </w:tcPr>
          <w:p>
            <w:pPr>
              <w:pStyle w:val="TableContents"/>
              <w:bidi w:val="0"/>
              <w:spacing w:before="0" w:after="283"/>
              <w:jc w:val="right"/>
              <w:rPr/>
            </w:pPr>
            <w:r>
              <w:rPr/>
              <w:t>​</w:t>
            </w:r>
          </w:p>
        </w:tc>
        <w:tc>
          <w:tcPr>
            <w:tcW w:w="1483" w:type="dxa"/>
            <w:tcBorders>
              <w:bottom w:val="single" w:sz="12" w:space="0" w:color="71B1C8"/>
            </w:tcBorders>
            <w:tcMar>
              <w:bottom w:w="28" w:type="dxa"/>
            </w:tcMar>
            <w:vAlign w:val="center"/>
          </w:tcPr>
          <w:p>
            <w:pPr>
              <w:pStyle w:val="TableContents"/>
              <w:bidi w:val="0"/>
              <w:spacing w:before="0" w:after="283"/>
              <w:jc w:val="right"/>
              <w:rPr/>
            </w:pPr>
            <w:r>
              <w:rPr/>
              <w:t>​</w:t>
            </w:r>
          </w:p>
        </w:tc>
        <w:tc>
          <w:tcPr>
            <w:tcW w:w="250"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32" w:type="dxa"/>
            <w:tcBorders>
              <w:bottom w:val="single" w:sz="12" w:space="0" w:color="71B1C8"/>
            </w:tcBorders>
            <w:tcMar>
              <w:bottom w:w="28" w:type="dxa"/>
            </w:tcMar>
            <w:vAlign w:val="center"/>
          </w:tcPr>
          <w:p>
            <w:pPr>
              <w:pStyle w:val="TableContents"/>
              <w:bidi w:val="0"/>
              <w:spacing w:before="0" w:after="283"/>
              <w:jc w:val="left"/>
              <w:rPr/>
            </w:pPr>
            <w:r>
              <w:rPr/>
              <w:t>​</w:t>
            </w:r>
          </w:p>
        </w:tc>
        <w:tc>
          <w:tcPr>
            <w:tcW w:w="232" w:type="dxa"/>
            <w:tcBorders>
              <w:bottom w:val="single" w:sz="12" w:space="0" w:color="71B1C8"/>
            </w:tcBorders>
            <w:tcMar>
              <w:bottom w:w="28" w:type="dxa"/>
            </w:tcMar>
            <w:vAlign w:val="center"/>
          </w:tcPr>
          <w:p>
            <w:pPr>
              <w:pStyle w:val="TableContents"/>
              <w:bidi w:val="0"/>
              <w:spacing w:before="0" w:after="283"/>
              <w:jc w:val="right"/>
              <w:rPr/>
            </w:pPr>
            <w:r>
              <w:rPr/>
              <w:t>​</w:t>
            </w:r>
          </w:p>
        </w:tc>
        <w:tc>
          <w:tcPr>
            <w:tcW w:w="1536" w:type="dxa"/>
            <w:tcBorders>
              <w:bottom w:val="single" w:sz="12" w:space="0" w:color="71B1C8"/>
            </w:tcBorders>
            <w:tcMar>
              <w:bottom w:w="28" w:type="dxa"/>
            </w:tcMar>
            <w:vAlign w:val="center"/>
          </w:tcPr>
          <w:p>
            <w:pPr>
              <w:pStyle w:val="TableContents"/>
              <w:bidi w:val="0"/>
              <w:spacing w:before="0" w:after="283"/>
              <w:jc w:val="right"/>
              <w:rPr/>
            </w:pPr>
            <w:r>
              <w:rPr/>
              <w:t>77.6%</w:t>
            </w:r>
          </w:p>
        </w:tc>
        <w:tc>
          <w:tcPr>
            <w:tcW w:w="232" w:type="dxa"/>
            <w:tcBorders>
              <w:bottom w:val="single" w:sz="12" w:space="0" w:color="71B1C8"/>
            </w:tcBorders>
            <w:tcMar>
              <w:bottom w:w="28" w:type="dxa"/>
            </w:tcMar>
            <w:vAlign w:val="center"/>
          </w:tcPr>
          <w:p>
            <w:pPr>
              <w:pStyle w:val="TableContents"/>
              <w:bidi w:val="0"/>
              <w:spacing w:before="0" w:after="283"/>
              <w:jc w:val="left"/>
              <w:rPr/>
            </w:pPr>
            <w:r>
              <w:rPr/>
              <w:t>​</w:t>
            </w:r>
          </w:p>
        </w:tc>
        <w:tc>
          <w:tcPr>
            <w:tcW w:w="160"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70" w:after="283"/>
        <w:ind w:left="1020" w:right="0" w:hanging="0"/>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Segment Level Financial Targets</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discussed above, segment level financial targets for OI and RONA contributed to the aggregate composite Company financial targets. In addition, for the executives who are Segment Leaders, segment OI and RONA were factors in determining the bonus opportunity under the 2025 Annual Incentive Plan. As noted above, segment targets in turn represent an aggregation of sub-segment business unit level targets.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Committee selected performance target ranges for each segment’s OI and RONA based upon recommendations of the Chief Executive Officer and after reviewing the Company’s 2025 operating plan. The Committee also took into account the risks associated within each segment, as well as the economic conditions of the markets each segment serves. As described above, the Committee strived to design performance target ranges for OI and RONA that were challenging but attainable by the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with Company level financial targets, a performance factor was determined for each segment level measure based on the actual 2025 performance. The segment performance factors represent a weighted average percentage achievement of sub-segment business unit level targets. Accordingly, the performance factor for a measure does not represent a straight-line relationship between the segment level target performance ranges and the actual performance for such segment. We do not publicly report the financial results at the sub-segment level.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Personal Performance Objectives</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personal performance component provides rewards to executives in recognition of contributions in other key areas not captured in the OI and RONA financial metrics. Personal performance objectives for Mr. Dietrich for 2025 were set and approved by the Compensation Committee with input from Mr. Dietrich. Personal performance objectives for other executive officers were set by Mr. Dietrich.</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Approximately half of the 2025 personal performance objectives were based on quantifiable financial targets. Accordingly, as discussed above, together with the OI and RONA financial metrics, </w:t>
      </w:r>
      <w:r>
        <w:rPr>
          <w:rFonts w:ascii="Arial;Helvetica;sans-serif" w:hAnsi="Arial;Helvetica;sans-serif"/>
          <w:b/>
          <w:i w:val="false"/>
          <w:caps w:val="false"/>
          <w:smallCaps w:val="false"/>
          <w:color w:val="000000"/>
          <w:spacing w:val="0"/>
          <w:sz w:val="18"/>
        </w:rPr>
        <w:t>objective financial components represented approximately 85% of the 2025 Annual Incentive Plan’s target metrics</w:t>
      </w:r>
      <w:r>
        <w:rPr>
          <w:rFonts w:ascii="Arial;Helvetica;sans-serif" w:hAnsi="Arial;Helvetica;sans-serif"/>
          <w:b w:val="false"/>
          <w:i w:val="false"/>
          <w:caps w:val="false"/>
          <w:smallCaps w:val="false"/>
          <w:color w:val="000000"/>
          <w:spacing w:val="-1"/>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each category of the personal performance objectives, there was a range of potential payouts with the ultimate payout amount based upon the detailed evaluation by the Committee as to the achievement of the objectives. The Committee structured the 2025 Annual Incentive Plan in this manner so that the executives would know what their reward, if any, would be for achieving the objectives, while using the personal performance objectives to provide the Committee with the opportunity to assess the value of contributions or achievements within the context of the degree of difficulty and probability of achieving the objectives.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January 2026, the Committee reviewed Mr. Dietrich’s 2025 personal goals and objectives and assessed his performance, and for each of the other officers, Mr. Dietrich and the Compensation Committee together reviewed each officer’s 2025 personal goals and objectives and assessed his or her performance.</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48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are the specific personal performance objectives under the Annual Incentive Plan for each of our named executive officers, as well as their achievement of such objectives in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48"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11"/>
          <w:sz w:val="18"/>
        </w:rPr>
        <w:t>MR. DIETRICH:</w:t>
      </w:r>
      <w:r>
        <w:rPr>
          <w:rFonts w:ascii="Arial;Helvetica;sans-serif" w:hAnsi="Arial;Helvetica;sans-serif"/>
          <w:b w:val="false"/>
          <w:i w:val="false"/>
          <w:caps w:val="false"/>
          <w:smallCaps w:val="false"/>
          <w:color w:val="000000"/>
          <w:spacing w:val="-1"/>
          <w:sz w:val="18"/>
        </w:rPr>
        <w:t xml:space="preserve"> Mr. Dietrich’s 2025 personal goals and objectives reflected the personal objectives of the Company’s other executive officers. Accordingly, Mr. Dietrich’s personal goals and objectives included quantifiable metrics with respect to the Company, such as: </w:t>
      </w:r>
      <w:r>
        <mc:AlternateContent>
          <mc:Choice Requires="wps">
            <w:drawing>
              <wp:anchor behindDoc="0" distT="93980" distB="0" distL="0" distR="0" simplePos="0" locked="0" layoutInCell="1" allowOverlap="1" relativeHeight="745">
                <wp:simplePos x="0" y="0"/>
                <wp:positionH relativeFrom="column">
                  <wp:align>left</wp:align>
                </wp:positionH>
                <wp:positionV relativeFrom="line">
                  <wp:align>top</wp:align>
                </wp:positionV>
                <wp:extent cx="127000" cy="350520"/>
                <wp:effectExtent l="0" t="0" r="0" b="0"/>
                <wp:wrapSquare wrapText="right"/>
                <wp:docPr id="716"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operating income as a percent of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127000" distR="0" simplePos="0" locked="0" layoutInCell="1" allowOverlap="1" relativeHeight="746">
                <wp:simplePos x="0" y="0"/>
                <wp:positionH relativeFrom="column">
                  <wp:align>left</wp:align>
                </wp:positionH>
                <wp:positionV relativeFrom="line">
                  <wp:align>top</wp:align>
                </wp:positionV>
                <wp:extent cx="127000" cy="350520"/>
                <wp:effectExtent l="0" t="0" r="0" b="0"/>
                <wp:wrapSquare wrapText="right"/>
                <wp:docPr id="717"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9pt;mso-wrap-distance-bottom:0pt;margin-top:1.9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sales growth,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747">
                <wp:simplePos x="0" y="0"/>
                <wp:positionH relativeFrom="column">
                  <wp:align>left</wp:align>
                </wp:positionH>
                <wp:positionV relativeFrom="line">
                  <wp:align>top</wp:align>
                </wp:positionV>
                <wp:extent cx="127000" cy="350520"/>
                <wp:effectExtent l="0" t="0" r="0" b="0"/>
                <wp:wrapSquare wrapText="right"/>
                <wp:docPr id="718"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management of expenses,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748">
                <wp:simplePos x="0" y="0"/>
                <wp:positionH relativeFrom="column">
                  <wp:align>left</wp:align>
                </wp:positionH>
                <wp:positionV relativeFrom="line">
                  <wp:align>top</wp:align>
                </wp:positionV>
                <wp:extent cx="127000" cy="350520"/>
                <wp:effectExtent l="0" t="0" r="0" b="0"/>
                <wp:wrapSquare wrapText="right"/>
                <wp:docPr id="719"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attainment of strategic growth initiatives.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749">
                <wp:simplePos x="0" y="0"/>
                <wp:positionH relativeFrom="column">
                  <wp:align>left</wp:align>
                </wp:positionH>
                <wp:positionV relativeFrom="line">
                  <wp:align>top</wp:align>
                </wp:positionV>
                <wp:extent cx="127000" cy="350520"/>
                <wp:effectExtent l="0" t="0" r="0" b="0"/>
                <wp:wrapSquare wrapText="right"/>
                <wp:docPr id="720"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Targets for 2025 for operating income as a percent of sales and for sales growth were increases from 2024 performance and actual performance of the Company in 2025 was below threshold, resulting in a payout of 0% for this component of the award. For management of expenses, target was a 4% reduction versus the 2025 plan and actual performance was a 3% reduction versus plan, resulting in a payout of 88.5% for this component of the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addition to the objectives that were based on quantifiable metrics, Mr. Dietrich was also evaluated on achievement of other corporate objectives, which included: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execution against long-term strategic objectives, including objectives tied to revenue growth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27000" distR="0" simplePos="0" locked="0" layoutInCell="1" allowOverlap="1" relativeHeight="750">
                <wp:simplePos x="0" y="0"/>
                <wp:positionH relativeFrom="column">
                  <wp:align>left</wp:align>
                </wp:positionH>
                <wp:positionV relativeFrom="line">
                  <wp:align>top</wp:align>
                </wp:positionV>
                <wp:extent cx="139700" cy="525780"/>
                <wp:effectExtent l="0" t="0" r="0" b="0"/>
                <wp:wrapSquare wrapText="right"/>
                <wp:docPr id="721" name="Frame445"/>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executive team development and succession planning,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1">
                <wp:simplePos x="0" y="0"/>
                <wp:positionH relativeFrom="column">
                  <wp:align>left</wp:align>
                </wp:positionH>
                <wp:positionV relativeFrom="line">
                  <wp:align>top</wp:align>
                </wp:positionV>
                <wp:extent cx="139700" cy="525780"/>
                <wp:effectExtent l="0" t="0" r="0" b="0"/>
                <wp:wrapSquare wrapText="right"/>
                <wp:docPr id="722" name="Frame446"/>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strengthening the company’s environmental health and safety culture, and culture of operational excellence,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2">
                <wp:simplePos x="0" y="0"/>
                <wp:positionH relativeFrom="column">
                  <wp:align>left</wp:align>
                </wp:positionH>
                <wp:positionV relativeFrom="line">
                  <wp:align>top</wp:align>
                </wp:positionV>
                <wp:extent cx="139700" cy="525780"/>
                <wp:effectExtent l="0" t="0" r="0" b="0"/>
                <wp:wrapSquare wrapText="right"/>
                <wp:docPr id="723" name="Frame447"/>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making progress against the company’s sustainability initiatives,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3">
                <wp:simplePos x="0" y="0"/>
                <wp:positionH relativeFrom="column">
                  <wp:align>left</wp:align>
                </wp:positionH>
                <wp:positionV relativeFrom="line">
                  <wp:align>top</wp:align>
                </wp:positionV>
                <wp:extent cx="139700" cy="525780"/>
                <wp:effectExtent l="0" t="0" r="0" b="0"/>
                <wp:wrapSquare wrapText="right"/>
                <wp:docPr id="724" name="Frame448"/>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executing against our balance approach to capital deployment by investing capital to sustain our high-quality operations, support growth, and returning capital to shareholders,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4">
                <wp:simplePos x="0" y="0"/>
                <wp:positionH relativeFrom="column">
                  <wp:align>left</wp:align>
                </wp:positionH>
                <wp:positionV relativeFrom="line">
                  <wp:align>top</wp:align>
                </wp:positionV>
                <wp:extent cx="139700" cy="525780"/>
                <wp:effectExtent l="0" t="0" r="0" b="0"/>
                <wp:wrapSquare wrapText="right"/>
                <wp:docPr id="725" name="Frame449"/>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maintaining effective external communications and investor relations,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5">
                <wp:simplePos x="0" y="0"/>
                <wp:positionH relativeFrom="column">
                  <wp:align>left</wp:align>
                </wp:positionH>
                <wp:positionV relativeFrom="line">
                  <wp:align>top</wp:align>
                </wp:positionV>
                <wp:extent cx="139700" cy="525780"/>
                <wp:effectExtent l="0" t="0" r="0" b="0"/>
                <wp:wrapSquare wrapText="right"/>
                <wp:docPr id="726" name="Frame450"/>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executing our cybersecurity strategy,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6">
                <wp:simplePos x="0" y="0"/>
                <wp:positionH relativeFrom="column">
                  <wp:align>left</wp:align>
                </wp:positionH>
                <wp:positionV relativeFrom="line">
                  <wp:align>top</wp:align>
                </wp:positionV>
                <wp:extent cx="139700" cy="525780"/>
                <wp:effectExtent l="0" t="0" r="0" b="0"/>
                <wp:wrapSquare wrapText="right"/>
                <wp:docPr id="727" name="Frame451"/>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assessment and execution of acquisition and divestiture opportunities.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57">
                <wp:simplePos x="0" y="0"/>
                <wp:positionH relativeFrom="column">
                  <wp:align>left</wp:align>
                </wp:positionH>
                <wp:positionV relativeFrom="line">
                  <wp:align>top</wp:align>
                </wp:positionV>
                <wp:extent cx="139700" cy="525780"/>
                <wp:effectExtent l="0" t="0" r="0" b="0"/>
                <wp:wrapSquare wrapText="right"/>
                <wp:docPr id="728" name="Frame452"/>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Collectively, Mr. Dietrich’s performance against his personal performance objectives was 105.7% of target.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11"/>
          <w:sz w:val="18"/>
        </w:rPr>
        <w:t>MR. ALDAG:</w:t>
      </w:r>
      <w:r>
        <w:rPr>
          <w:rFonts w:ascii="Arial;Helvetica;sans-serif" w:hAnsi="Arial;Helvetica;sans-serif"/>
          <w:b w:val="false"/>
          <w:i w:val="false"/>
          <w:caps w:val="false"/>
          <w:smallCaps w:val="false"/>
          <w:color w:val="000000"/>
          <w:spacing w:val="-1"/>
          <w:sz w:val="18"/>
        </w:rPr>
        <w:t xml:space="preserve"> Mr. Aldag’s personal goals and objectives included quantifiable metrics with respect to the Company such as: </w:t>
      </w:r>
      <w:r>
        <mc:AlternateContent>
          <mc:Choice Requires="wps">
            <w:drawing>
              <wp:anchor behindDoc="0" distT="95250" distB="0" distL="0" distR="0" simplePos="0" locked="0" layoutInCell="1" allowOverlap="1" relativeHeight="758">
                <wp:simplePos x="0" y="0"/>
                <wp:positionH relativeFrom="column">
                  <wp:align>left</wp:align>
                </wp:positionH>
                <wp:positionV relativeFrom="line">
                  <wp:align>top</wp:align>
                </wp:positionV>
                <wp:extent cx="127000" cy="350520"/>
                <wp:effectExtent l="0" t="0" r="0" b="0"/>
                <wp:wrapSquare wrapText="right"/>
                <wp:docPr id="729"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resource unit expense management,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27000" distR="0" simplePos="0" locked="0" layoutInCell="1" allowOverlap="1" relativeHeight="759">
                <wp:simplePos x="0" y="0"/>
                <wp:positionH relativeFrom="column">
                  <wp:align>left</wp:align>
                </wp:positionH>
                <wp:positionV relativeFrom="line">
                  <wp:align>top</wp:align>
                </wp:positionV>
                <wp:extent cx="127000" cy="350520"/>
                <wp:effectExtent l="0" t="0" r="0" b="0"/>
                <wp:wrapSquare wrapText="right"/>
                <wp:docPr id="730"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overall resource unit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760">
                <wp:simplePos x="0" y="0"/>
                <wp:positionH relativeFrom="column">
                  <wp:align>left</wp:align>
                </wp:positionH>
                <wp:positionV relativeFrom="line">
                  <wp:align>top</wp:align>
                </wp:positionV>
                <wp:extent cx="127000" cy="350520"/>
                <wp:effectExtent l="0" t="0" r="0" b="0"/>
                <wp:wrapSquare wrapText="right"/>
                <wp:docPr id="731"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Aldag’s target for resource unit expense management was a reduction of 4% compared with the 2025 plan. Actual 2025 performance for resource unit expenses managed by Mr. Aldag were 0.5% favorable to the 2025 plan, resulting in a payout of 56.4% for this component of the award.</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Aldag was also evaluated on his achievement of personal objectives, which included: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8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succession planning,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27000" distR="0" simplePos="0" locked="0" layoutInCell="1" allowOverlap="1" relativeHeight="761">
                <wp:simplePos x="0" y="0"/>
                <wp:positionH relativeFrom="column">
                  <wp:align>left</wp:align>
                </wp:positionH>
                <wp:positionV relativeFrom="line">
                  <wp:align>top</wp:align>
                </wp:positionV>
                <wp:extent cx="139700" cy="525780"/>
                <wp:effectExtent l="0" t="0" r="0" b="0"/>
                <wp:wrapSquare wrapText="right"/>
                <wp:docPr id="732" name="Frame456"/>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technology deployment and automation,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62">
                <wp:simplePos x="0" y="0"/>
                <wp:positionH relativeFrom="column">
                  <wp:align>left</wp:align>
                </wp:positionH>
                <wp:positionV relativeFrom="line">
                  <wp:align>top</wp:align>
                </wp:positionV>
                <wp:extent cx="139700" cy="525780"/>
                <wp:effectExtent l="0" t="0" r="0" b="0"/>
                <wp:wrapSquare wrapText="right"/>
                <wp:docPr id="733" name="Frame457"/>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cybersecurity,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63">
                <wp:simplePos x="0" y="0"/>
                <wp:positionH relativeFrom="column">
                  <wp:align>left</wp:align>
                </wp:positionH>
                <wp:positionV relativeFrom="line">
                  <wp:align>top</wp:align>
                </wp:positionV>
                <wp:extent cx="139700" cy="525780"/>
                <wp:effectExtent l="0" t="0" r="0" b="0"/>
                <wp:wrapSquare wrapText="right"/>
                <wp:docPr id="734" name="Frame458"/>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operational excellence,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64">
                <wp:simplePos x="0" y="0"/>
                <wp:positionH relativeFrom="column">
                  <wp:align>left</wp:align>
                </wp:positionH>
                <wp:positionV relativeFrom="line">
                  <wp:align>top</wp:align>
                </wp:positionV>
                <wp:extent cx="139700" cy="525780"/>
                <wp:effectExtent l="0" t="0" r="0" b="0"/>
                <wp:wrapSquare wrapText="right"/>
                <wp:docPr id="735" name="Frame459"/>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training and development.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127000" distR="0" simplePos="0" locked="0" layoutInCell="1" allowOverlap="1" relativeHeight="765">
                <wp:simplePos x="0" y="0"/>
                <wp:positionH relativeFrom="column">
                  <wp:align>left</wp:align>
                </wp:positionH>
                <wp:positionV relativeFrom="line">
                  <wp:align>top</wp:align>
                </wp:positionV>
                <wp:extent cx="139700" cy="525780"/>
                <wp:effectExtent l="0" t="0" r="0" b="0"/>
                <wp:wrapSquare wrapText="right"/>
                <wp:docPr id="736" name="Frame460"/>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Collectively, Mr. Aldag’s performance against his personal performance objectives was 105.0% of target.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5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11"/>
          <w:sz w:val="18"/>
        </w:rPr>
        <w:t>MR. MONAGLE:</w:t>
      </w:r>
      <w:r>
        <w:rPr>
          <w:rFonts w:ascii="Arial;Helvetica;sans-serif" w:hAnsi="Arial;Helvetica;sans-serif"/>
          <w:b w:val="false"/>
          <w:i w:val="false"/>
          <w:caps w:val="false"/>
          <w:smallCaps w:val="false"/>
          <w:color w:val="000000"/>
          <w:spacing w:val="-1"/>
          <w:sz w:val="18"/>
        </w:rPr>
        <w:t xml:space="preserve"> Mr. Monagle’s personal goals and objectives included quantifiable metrics for the Consumer &amp; Specialties segment such as: </w:t>
      </w:r>
      <w:r>
        <mc:AlternateContent>
          <mc:Choice Requires="wps">
            <w:drawing>
              <wp:anchor behindDoc="0" distT="95250" distB="0" distL="0" distR="0" simplePos="0" locked="0" layoutInCell="1" allowOverlap="1" relativeHeight="766">
                <wp:simplePos x="0" y="0"/>
                <wp:positionH relativeFrom="column">
                  <wp:align>left</wp:align>
                </wp:positionH>
                <wp:positionV relativeFrom="line">
                  <wp:align>top</wp:align>
                </wp:positionV>
                <wp:extent cx="127000" cy="350520"/>
                <wp:effectExtent l="0" t="0" r="0" b="0"/>
                <wp:wrapSquare wrapText="right"/>
                <wp:docPr id="737"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operating income as a percent of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27000" distR="0" simplePos="0" locked="0" layoutInCell="1" allowOverlap="1" relativeHeight="767">
                <wp:simplePos x="0" y="0"/>
                <wp:positionH relativeFrom="column">
                  <wp:align>left</wp:align>
                </wp:positionH>
                <wp:positionV relativeFrom="line">
                  <wp:align>top</wp:align>
                </wp:positionV>
                <wp:extent cx="127000" cy="350520"/>
                <wp:effectExtent l="0" t="0" r="0" b="0"/>
                <wp:wrapSquare wrapText="right"/>
                <wp:docPr id="738"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sales growth,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768">
                <wp:simplePos x="0" y="0"/>
                <wp:positionH relativeFrom="column">
                  <wp:align>left</wp:align>
                </wp:positionH>
                <wp:positionV relativeFrom="line">
                  <wp:align>top</wp:align>
                </wp:positionV>
                <wp:extent cx="127000" cy="350520"/>
                <wp:effectExtent l="0" t="0" r="0" b="0"/>
                <wp:wrapSquare wrapText="right"/>
                <wp:docPr id="739"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segment expenses as a percent of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127000" distR="0" simplePos="0" locked="0" layoutInCell="1" allowOverlap="1" relativeHeight="769">
                <wp:simplePos x="0" y="0"/>
                <wp:positionH relativeFrom="column">
                  <wp:align>left</wp:align>
                </wp:positionH>
                <wp:positionV relativeFrom="line">
                  <wp:align>top</wp:align>
                </wp:positionV>
                <wp:extent cx="127000" cy="350520"/>
                <wp:effectExtent l="0" t="0" r="0" b="0"/>
                <wp:wrapSquare wrapText="right"/>
                <wp:docPr id="740"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Operating income as a percent of sales in the Consumer &amp; Specialties segment was below threshold in 2025, resulting in a payout of 0% for this component of the award. With respect to sales growth, Mr. Monagle’s targets were to grow the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49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LOIN"/>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Household and Personal Care product line by 5% compared to 2024 and to grow the Specialty Additives product line by 4% compared to 2024. Actual 2025 sales growth was below threshold in both product lines resulting in a payout of 0% for the sales growth components of the award. 2025 segment expenses as a percent of sales were unfavorable to threshold, resulting in a payout of 0% for that component of the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Monagle was also evaluated on his achievement of personal objectives, which included: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72"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execution against long-term strategic objectives, including objectives tied to revenue growth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5720" distB="0" distL="127000" distR="0" simplePos="0" locked="0" layoutInCell="1" allowOverlap="1" relativeHeight="770">
                <wp:simplePos x="0" y="0"/>
                <wp:positionH relativeFrom="column">
                  <wp:align>left</wp:align>
                </wp:positionH>
                <wp:positionV relativeFrom="line">
                  <wp:align>top</wp:align>
                </wp:positionV>
                <wp:extent cx="139700" cy="525780"/>
                <wp:effectExtent l="0" t="0" r="0" b="0"/>
                <wp:wrapSquare wrapText="right"/>
                <wp:docPr id="741" name="Frame465"/>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succession planning,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71">
                <wp:simplePos x="0" y="0"/>
                <wp:positionH relativeFrom="column">
                  <wp:align>left</wp:align>
                </wp:positionH>
                <wp:positionV relativeFrom="line">
                  <wp:align>top</wp:align>
                </wp:positionV>
                <wp:extent cx="139700" cy="525780"/>
                <wp:effectExtent l="0" t="0" r="0" b="0"/>
                <wp:wrapSquare wrapText="right"/>
                <wp:docPr id="742" name="Frame466"/>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progress against sustainability targets,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72">
                <wp:simplePos x="0" y="0"/>
                <wp:positionH relativeFrom="column">
                  <wp:align>left</wp:align>
                </wp:positionH>
                <wp:positionV relativeFrom="line">
                  <wp:align>top</wp:align>
                </wp:positionV>
                <wp:extent cx="139700" cy="525780"/>
                <wp:effectExtent l="0" t="0" r="0" b="0"/>
                <wp:wrapSquare wrapText="right"/>
                <wp:docPr id="743" name="Frame467"/>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training and development,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73">
                <wp:simplePos x="0" y="0"/>
                <wp:positionH relativeFrom="column">
                  <wp:align>left</wp:align>
                </wp:positionH>
                <wp:positionV relativeFrom="line">
                  <wp:align>top</wp:align>
                </wp:positionV>
                <wp:extent cx="139700" cy="525780"/>
                <wp:effectExtent l="0" t="0" r="0" b="0"/>
                <wp:wrapSquare wrapText="right"/>
                <wp:docPr id="744" name="Frame468"/>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leading the Operational Excellence Lead Team,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74">
                <wp:simplePos x="0" y="0"/>
                <wp:positionH relativeFrom="column">
                  <wp:align>left</wp:align>
                </wp:positionH>
                <wp:positionV relativeFrom="line">
                  <wp:align>top</wp:align>
                </wp:positionV>
                <wp:extent cx="139700" cy="525780"/>
                <wp:effectExtent l="0" t="0" r="0" b="0"/>
                <wp:wrapSquare wrapText="right"/>
                <wp:docPr id="745" name="Frame469"/>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operational excellence in the Consumer &amp; Specialties segment,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75">
                <wp:simplePos x="0" y="0"/>
                <wp:positionH relativeFrom="column">
                  <wp:align>left</wp:align>
                </wp:positionH>
                <wp:positionV relativeFrom="line">
                  <wp:align>top</wp:align>
                </wp:positionV>
                <wp:extent cx="139700" cy="525780"/>
                <wp:effectExtent l="0" t="0" r="0" b="0"/>
                <wp:wrapSquare wrapText="right"/>
                <wp:docPr id="746" name="Frame470"/>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safety.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76">
                <wp:simplePos x="0" y="0"/>
                <wp:positionH relativeFrom="column">
                  <wp:align>left</wp:align>
                </wp:positionH>
                <wp:positionV relativeFrom="line">
                  <wp:align>top</wp:align>
                </wp:positionV>
                <wp:extent cx="139700" cy="525780"/>
                <wp:effectExtent l="0" t="0" r="0" b="0"/>
                <wp:wrapSquare wrapText="right"/>
                <wp:docPr id="747" name="Frame471"/>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Collectively, Mr. Monagle’s performance against his personal objectives was 70.0% of target.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3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11"/>
          <w:sz w:val="18"/>
        </w:rPr>
        <w:t>MR. ARGIRAKIS:</w:t>
      </w:r>
      <w:r>
        <w:rPr>
          <w:rFonts w:ascii="Arial;Helvetica;sans-serif" w:hAnsi="Arial;Helvetica;sans-serif"/>
          <w:b w:val="false"/>
          <w:i w:val="false"/>
          <w:caps w:val="false"/>
          <w:smallCaps w:val="false"/>
          <w:color w:val="000000"/>
          <w:spacing w:val="-1"/>
          <w:sz w:val="18"/>
        </w:rPr>
        <w:t xml:space="preserve"> Mr. Argirakis’s personal goals and objectives included quantifiable metrics for the Engineered Solutions segment such as: </w:t>
      </w:r>
      <w:r>
        <mc:AlternateContent>
          <mc:Choice Requires="wps">
            <w:drawing>
              <wp:anchor behindDoc="0" distT="86360" distB="0" distL="0" distR="0" simplePos="0" locked="0" layoutInCell="1" allowOverlap="1" relativeHeight="777">
                <wp:simplePos x="0" y="0"/>
                <wp:positionH relativeFrom="column">
                  <wp:align>left</wp:align>
                </wp:positionH>
                <wp:positionV relativeFrom="line">
                  <wp:align>top</wp:align>
                </wp:positionV>
                <wp:extent cx="127000" cy="350520"/>
                <wp:effectExtent l="0" t="0" r="0" b="0"/>
                <wp:wrapSquare wrapText="right"/>
                <wp:docPr id="748"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operating income as a percent of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127000" distR="0" simplePos="0" locked="0" layoutInCell="1" allowOverlap="1" relativeHeight="778">
                <wp:simplePos x="0" y="0"/>
                <wp:positionH relativeFrom="column">
                  <wp:align>left</wp:align>
                </wp:positionH>
                <wp:positionV relativeFrom="line">
                  <wp:align>top</wp:align>
                </wp:positionV>
                <wp:extent cx="127000" cy="350520"/>
                <wp:effectExtent l="0" t="0" r="0" b="0"/>
                <wp:wrapSquare wrapText="right"/>
                <wp:docPr id="749"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5pt;mso-wrap-distance-bottom:0pt;margin-top:3.5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sales growth,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2860" distB="0" distL="127000" distR="0" simplePos="0" locked="0" layoutInCell="1" allowOverlap="1" relativeHeight="779">
                <wp:simplePos x="0" y="0"/>
                <wp:positionH relativeFrom="column">
                  <wp:align>left</wp:align>
                </wp:positionH>
                <wp:positionV relativeFrom="line">
                  <wp:align>top</wp:align>
                </wp:positionV>
                <wp:extent cx="127000" cy="350520"/>
                <wp:effectExtent l="0" t="0" r="0" b="0"/>
                <wp:wrapSquare wrapText="right"/>
                <wp:docPr id="750"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8pt;mso-wrap-distance-bottom:0pt;margin-top:1.8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attainment of strategic growth initiatives,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2860" distB="0" distL="127000" distR="0" simplePos="0" locked="0" layoutInCell="1" allowOverlap="1" relativeHeight="780">
                <wp:simplePos x="0" y="0"/>
                <wp:positionH relativeFrom="column">
                  <wp:align>left</wp:align>
                </wp:positionH>
                <wp:positionV relativeFrom="line">
                  <wp:align>top</wp:align>
                </wp:positionV>
                <wp:extent cx="127000" cy="350520"/>
                <wp:effectExtent l="0" t="0" r="0" b="0"/>
                <wp:wrapSquare wrapText="right"/>
                <wp:docPr id="751"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8pt;mso-wrap-distance-bottom:0pt;margin-top:1.8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6"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segment expenses as a percent of sales.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2860" distB="0" distL="127000" distR="0" simplePos="0" locked="0" layoutInCell="1" allowOverlap="1" relativeHeight="781">
                <wp:simplePos x="0" y="0"/>
                <wp:positionH relativeFrom="column">
                  <wp:align>left</wp:align>
                </wp:positionH>
                <wp:positionV relativeFrom="line">
                  <wp:align>top</wp:align>
                </wp:positionV>
                <wp:extent cx="127000" cy="350520"/>
                <wp:effectExtent l="0" t="0" r="0" b="0"/>
                <wp:wrapSquare wrapText="right"/>
                <wp:docPr id="752"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DF0000"/>
                                <w:spacing w:val="-1"/>
                              </w:rPr>
                              <w:t>»</w:t>
                            </w:r>
                            <w:r>
                              <w:rPr/>
                              <w:t xml:space="preserve"> </w:t>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1.8pt;mso-wrap-distance-bottom:0pt;margin-top:1.8pt;mso-position-vertical:top;mso-position-vertical-relative:text;margin-left:30pt;mso-position-horizontal:left;mso-position-horizontal-relative:text">
                <v:textbox>
                  <w:txbxContent>
                    <w:p>
                      <w:pPr>
                        <w:pStyle w:val="TextBody"/>
                        <w:bidi w:val="0"/>
                        <w:spacing w:lineRule="atLeast" w:line="220" w:before="0" w:after="283"/>
                        <w:jc w:val="left"/>
                        <w:rPr/>
                      </w:pPr>
                      <w:r>
                        <w:rPr>
                          <w:color w:val="DF0000"/>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Argirakis was measured on operating income as a percent of sales in the Engineered Solutions segment, where his target was to achieve consistent performance with 2024. Actual segment operating income as a percent of sales increased by 20 basis points versus 2024 to 16.7% of sales in 2025, resulting in a payout of 122.0% for this component of the award. Mr. Argirakis’s sales growth target was to achieve a 3% increase in segment sales compared with 2024. Actual 2025 sales performance was below threshold resulting in a 0% payout for this component of the award. Mr. Argirakis also had specific targets for progress against strategic growth initiatives in the Engineered Solutions segment, such as Fluoro-Sorb® sales growth and Minscan® installations, and Mr. Argirakis’s payout for this component of the award was 81.4%. With respect to segment expenses as a percent of sales, Mr. Argirakis’s target was to deliver consistent performance relative to 2024. Actual segment expenses as a percent of sales improved by 20 basis points compared to 2024, resulting in a payout of 158.7% for this component of the award.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Mr. Argirakis was also evaluated on his achievement of personal objectives, which included: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72"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succession planning,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5720" distB="0" distL="127000" distR="0" simplePos="0" locked="0" layoutInCell="1" allowOverlap="1" relativeHeight="782">
                <wp:simplePos x="0" y="0"/>
                <wp:positionH relativeFrom="column">
                  <wp:align>left</wp:align>
                </wp:positionH>
                <wp:positionV relativeFrom="line">
                  <wp:align>top</wp:align>
                </wp:positionV>
                <wp:extent cx="139700" cy="525780"/>
                <wp:effectExtent l="0" t="0" r="0" b="0"/>
                <wp:wrapSquare wrapText="right"/>
                <wp:docPr id="753" name="Frame477"/>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progress against sustainability targets,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83">
                <wp:simplePos x="0" y="0"/>
                <wp:positionH relativeFrom="column">
                  <wp:align>left</wp:align>
                </wp:positionH>
                <wp:positionV relativeFrom="line">
                  <wp:align>top</wp:align>
                </wp:positionV>
                <wp:extent cx="139700" cy="525780"/>
                <wp:effectExtent l="0" t="0" r="0" b="0"/>
                <wp:wrapSquare wrapText="right"/>
                <wp:docPr id="754" name="Frame478"/>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leading the Environmental, Health and Safety Lead Team,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84">
                <wp:simplePos x="0" y="0"/>
                <wp:positionH relativeFrom="column">
                  <wp:align>left</wp:align>
                </wp:positionH>
                <wp:positionV relativeFrom="line">
                  <wp:align>top</wp:align>
                </wp:positionV>
                <wp:extent cx="139700" cy="525780"/>
                <wp:effectExtent l="0" t="0" r="0" b="0"/>
                <wp:wrapSquare wrapText="right"/>
                <wp:docPr id="755" name="Frame479"/>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training and development,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85">
                <wp:simplePos x="0" y="0"/>
                <wp:positionH relativeFrom="column">
                  <wp:align>left</wp:align>
                </wp:positionH>
                <wp:positionV relativeFrom="line">
                  <wp:align>top</wp:align>
                </wp:positionV>
                <wp:extent cx="139700" cy="525780"/>
                <wp:effectExtent l="0" t="0" r="0" b="0"/>
                <wp:wrapSquare wrapText="right"/>
                <wp:docPr id="756" name="Frame480"/>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6"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operational excellence in the Engineered Solutions segment,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2710" distB="0" distL="127000" distR="0" simplePos="0" locked="0" layoutInCell="1" allowOverlap="1" relativeHeight="786">
                <wp:simplePos x="0" y="0"/>
                <wp:positionH relativeFrom="column">
                  <wp:align>left</wp:align>
                </wp:positionH>
                <wp:positionV relativeFrom="line">
                  <wp:align>top</wp:align>
                </wp:positionV>
                <wp:extent cx="139700" cy="525780"/>
                <wp:effectExtent l="0" t="0" r="0" b="0"/>
                <wp:wrapSquare wrapText="right"/>
                <wp:docPr id="757" name="Frame481"/>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4"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leading the global strategic supply chain function,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127000" distR="0" simplePos="0" locked="0" layoutInCell="1" allowOverlap="1" relativeHeight="787">
                <wp:simplePos x="0" y="0"/>
                <wp:positionH relativeFrom="column">
                  <wp:align>left</wp:align>
                </wp:positionH>
                <wp:positionV relativeFrom="line">
                  <wp:align>top</wp:align>
                </wp:positionV>
                <wp:extent cx="139700" cy="525780"/>
                <wp:effectExtent l="0" t="0" r="0" b="0"/>
                <wp:wrapSquare wrapText="right"/>
                <wp:docPr id="758" name="Frame482"/>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2pt;mso-wrap-distance-bottom:0pt;margin-top:7.2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4"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safety.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127000" distR="0" simplePos="0" locked="0" layoutInCell="1" allowOverlap="1" relativeHeight="788">
                <wp:simplePos x="0" y="0"/>
                <wp:positionH relativeFrom="column">
                  <wp:align>left</wp:align>
                </wp:positionH>
                <wp:positionV relativeFrom="line">
                  <wp:align>top</wp:align>
                </wp:positionV>
                <wp:extent cx="139700" cy="525780"/>
                <wp:effectExtent l="0" t="0" r="0" b="0"/>
                <wp:wrapSquare wrapText="right"/>
                <wp:docPr id="759" name="Frame483"/>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2pt;mso-wrap-distance-bottom:0pt;margin-top:7.2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Collectively, Mr. Argirakis’s performance against his personal objectives was 114.6% of target.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3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002F56"/>
          <w:spacing w:val="-11"/>
          <w:sz w:val="18"/>
        </w:rPr>
        <w:t>MR. HASTINGS:</w:t>
      </w:r>
      <w:r>
        <w:rPr>
          <w:rFonts w:ascii="Arial;Helvetica;sans-serif" w:hAnsi="Arial;Helvetica;sans-serif"/>
          <w:b w:val="false"/>
          <w:i w:val="false"/>
          <w:caps w:val="false"/>
          <w:smallCaps w:val="false"/>
          <w:color w:val="000000"/>
          <w:spacing w:val="-1"/>
          <w:sz w:val="18"/>
        </w:rPr>
        <w:t xml:space="preserve"> Mr. Hastings was evaluated based on achievement of Corporate Development function objectives and personal objectives. Personal Objectives for Mr. Hastings included: </w:t>
      </w:r>
      <w:r>
        <mc:AlternateContent>
          <mc:Choice Requires="wps">
            <w:drawing>
              <wp:anchor behindDoc="0" distT="85090" distB="0" distL="0" distR="0" simplePos="0" locked="0" layoutInCell="1" allowOverlap="1" relativeHeight="789">
                <wp:simplePos x="0" y="0"/>
                <wp:positionH relativeFrom="column">
                  <wp:align>left</wp:align>
                </wp:positionH>
                <wp:positionV relativeFrom="line">
                  <wp:align>top</wp:align>
                </wp:positionV>
                <wp:extent cx="127000" cy="350520"/>
                <wp:effectExtent l="0" t="0" r="0" b="0"/>
                <wp:wrapSquare wrapText="right"/>
                <wp:docPr id="760"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80"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leadership of the Technology Lead Team,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127000" distR="0" simplePos="0" locked="0" layoutInCell="1" allowOverlap="1" relativeHeight="790">
                <wp:simplePos x="0" y="0"/>
                <wp:positionH relativeFrom="column">
                  <wp:align>left</wp:align>
                </wp:positionH>
                <wp:positionV relativeFrom="line">
                  <wp:align>top</wp:align>
                </wp:positionV>
                <wp:extent cx="139700" cy="525780"/>
                <wp:effectExtent l="0" t="0" r="0" b="0"/>
                <wp:wrapSquare wrapText="right"/>
                <wp:docPr id="761" name="Frame485"/>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4"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succession planning,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127000" distR="0" simplePos="0" locked="0" layoutInCell="1" allowOverlap="1" relativeHeight="791">
                <wp:simplePos x="0" y="0"/>
                <wp:positionH relativeFrom="column">
                  <wp:align>left</wp:align>
                </wp:positionH>
                <wp:positionV relativeFrom="line">
                  <wp:align>top</wp:align>
                </wp:positionV>
                <wp:extent cx="139700" cy="525780"/>
                <wp:effectExtent l="0" t="0" r="0" b="0"/>
                <wp:wrapSquare wrapText="right"/>
                <wp:docPr id="762" name="Frame486"/>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2pt;mso-wrap-distance-bottom:0pt;margin-top:7.2pt;mso-position-vertical:top;mso-position-vertical-relative:text;margin-left:31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4" w:after="0"/>
        <w:ind w:left="14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assessment and execution of acquisition and divestiture opportunities.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91440" distB="0" distL="127000" distR="0" simplePos="0" locked="0" layoutInCell="1" allowOverlap="1" relativeHeight="792">
                <wp:simplePos x="0" y="0"/>
                <wp:positionH relativeFrom="column">
                  <wp:align>left</wp:align>
                </wp:positionH>
                <wp:positionV relativeFrom="line">
                  <wp:align>top</wp:align>
                </wp:positionV>
                <wp:extent cx="139700" cy="525780"/>
                <wp:effectExtent l="0" t="0" r="0" b="0"/>
                <wp:wrapSquare wrapText="right"/>
                <wp:docPr id="763" name="Frame487"/>
                <a:graphic xmlns:a="http://schemas.openxmlformats.org/drawingml/2006/main">
                  <a:graphicData uri="http://schemas.microsoft.com/office/word/2010/wordprocessingShape">
                    <wps:wsp>
                      <wps:cNvSpPr txBox="1"/>
                      <wps:spPr>
                        <a:xfrm>
                          <a:off x="0" y="0"/>
                          <a:ext cx="139700" cy="52578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41.4pt;mso-wrap-distance-left:10pt;mso-wrap-distance-right:0pt;mso-wrap-distance-top:7.2pt;mso-wrap-distance-bottom:0pt;margin-top:7.2pt;mso-position-vertical:top;mso-position-vertical-relative:text;margin-left:1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Overall, Mr. Hastings’s performance against his personal objectives was 112.5% of target.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LONG-TERM INCENTIVES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Long-term incentives consist of stock options, DRSUs and Performance Units awarded under our long-term incentive compensation plan. Our compensation program uses equity-based awards (stock options and DRSUs), the ultimate value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50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of which is contingent on our longer-term performance, to provide the named executive officers with a direct incentive to seek increased shareholder returns. Furthermore, as described below, we have established stock retention requirements for our executive officers that require the executives to retain a portion of the common stock of the Company that they receive pursuant to equity awards. We believe this further aligns the interests and actions of the Company’s executive officers with the interests of the Company’s shareholders. Performance Units, which pay cash based on the Company’s performance over a three-year performance period, provide a cash incentive that is based on a longer-term performance evaluation than the 2025 Annual Incentive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Equity award opportunities and Performance Units awarded through our long-term incentive compensation plan provide the named executive officers with a direct incentive to seek increased shareholder returns and serve to further align the interests and actions of the Company’s executive officers with the interests of the Company’s shareholders. Compensation levels for each element are determined by the Committee independently and are not set based on the levels of other elements of compensation, except that the aggregate value of long-term incentive opportunities at target are generally set so that the sum of base salary, annual incentive at target and long-term incentives at target fall within the desired range of total direct remuneration. The Compensation Committee also takes into account other factors such as the responsibilities, performance, contributions and service of the executive, including compensation in relation to other employees and the executive’s length of service in the particular position.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To determine the amounts of each type of long-term incentive provided to each executive officer, the Committee generally first determines the total long-term incentive award to be granted to an executive officer. Total long-term incentive value is determined as a multiple of an executive’s base salary, based on market data supplied by the Committee’s independent compensation consultant. The applicable percentage of total long-term incentive awards ranged from 215% to 525% of base salary for the named executive officers. The Committee then establishes the split among the three long-term incentive vehicles. The Committee decided in 2025 that the total long-term incentive value would be split as follows: 10% in the form of stock options, 40% in DRSUs and 50% in Performance Units. This split was consistent with 2024. Of the equity components, stock options are valued using the Black-Scholes option valuation method and DRSUs are valued using the average of the high and the low of the stock price on the date of the grant. Performance Units are cash vehicles linked to financial goals set by the Committee. They are valued at $100 per unit assuming target-level performance, with higher and lower per-unit values for above- and below-target performance. These values are then translated into specific amounts for each individual executive officer. All of our long-term compensation awards are strongly linked to performance. The Performance Units awarded through our long-term incentive compensation plan are linked to measurements of return on capital and stock performance. </w:t>
      </w:r>
    </w:p>
    <w:tbl>
      <w:tblPr>
        <w:tblW w:w="8412" w:type="dxa"/>
        <w:jc w:val="left"/>
        <w:tblInd w:w="1020" w:type="dxa"/>
        <w:tblLayout w:type="fixed"/>
        <w:tblCellMar>
          <w:top w:w="0" w:type="dxa"/>
          <w:left w:w="0" w:type="dxa"/>
          <w:bottom w:w="28" w:type="dxa"/>
          <w:right w:w="0" w:type="dxa"/>
        </w:tblCellMar>
      </w:tblPr>
      <w:tblGrid>
        <w:gridCol w:w="124"/>
        <w:gridCol w:w="1216"/>
        <w:gridCol w:w="109"/>
        <w:gridCol w:w="109"/>
        <w:gridCol w:w="3196"/>
        <w:gridCol w:w="109"/>
        <w:gridCol w:w="109"/>
        <w:gridCol w:w="3286"/>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134" w:type="dxa"/>
            <w:gridSpan w:val="7"/>
            <w:tcBorders>
              <w:bottom w:val="single" w:sz="24" w:space="0" w:color="FEFEFE"/>
            </w:tcBorders>
            <w:shd w:fill="002F56" w:val="clear"/>
            <w:tcMar>
              <w:bottom w:w="70" w:type="dxa"/>
            </w:tcMar>
            <w:vAlign w:val="center"/>
          </w:tcPr>
          <w:p>
            <w:pPr>
              <w:pStyle w:val="TableContents"/>
              <w:bidi w:val="0"/>
              <w:spacing w:before="0" w:after="0"/>
              <w:jc w:val="center"/>
              <w:rPr>
                <w:spacing w:val="-7"/>
              </w:rPr>
            </w:pPr>
            <w:r>
              <w:rPr>
                <w:spacing w:val="-7"/>
              </w:rPr>
              <w:t xml:space="preserve">PERFORMANCE UNIT PAYOUT HISTORY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1216" w:type="dxa"/>
            <w:tcBorders/>
            <w:shd w:fill="002F56" w:val="clear"/>
            <w:tcMar>
              <w:bottom w:w="0" w:type="dxa"/>
            </w:tcMar>
            <w:vAlign w:val="center"/>
          </w:tcPr>
          <w:p>
            <w:pPr>
              <w:pStyle w:val="TableContents"/>
              <w:bidi w:val="0"/>
              <w:spacing w:before="0" w:after="0"/>
              <w:jc w:val="center"/>
              <w:rPr>
                <w:spacing w:val="0"/>
              </w:rPr>
            </w:pPr>
            <w:r>
              <w:rPr>
                <w:spacing w:val="0"/>
              </w:rPr>
              <w:t xml:space="preserve">Grant Date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3196" w:type="dxa"/>
            <w:tcBorders/>
            <w:shd w:fill="002F56" w:val="clear"/>
            <w:tcMar>
              <w:bottom w:w="0" w:type="dxa"/>
            </w:tcMar>
            <w:vAlign w:val="center"/>
          </w:tcPr>
          <w:p>
            <w:pPr>
              <w:pStyle w:val="TableContents"/>
              <w:bidi w:val="0"/>
              <w:spacing w:before="0" w:after="0"/>
              <w:jc w:val="center"/>
              <w:rPr>
                <w:spacing w:val="0"/>
              </w:rPr>
            </w:pPr>
            <w:r>
              <w:rPr>
                <w:spacing w:val="0"/>
              </w:rPr>
              <w:t xml:space="preserve">Three-Year Performance Period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3286" w:type="dxa"/>
            <w:tcBorders/>
            <w:shd w:fill="002F56" w:val="clear"/>
            <w:tcMar>
              <w:bottom w:w="0" w:type="dxa"/>
            </w:tcMar>
            <w:vAlign w:val="center"/>
          </w:tcPr>
          <w:p>
            <w:pPr>
              <w:pStyle w:val="TableContents"/>
              <w:bidi w:val="0"/>
              <w:spacing w:lineRule="atLeast" w:line="190" w:before="0" w:after="0"/>
              <w:jc w:val="center"/>
              <w:rPr>
                <w:spacing w:val="0"/>
              </w:rPr>
            </w:pPr>
            <w:r>
              <w:rPr>
                <w:spacing w:val="0"/>
              </w:rPr>
              <w:t xml:space="preserve">Actual Payout as a Percentage of </w:t>
              <w:br/>
              <w:t xml:space="preserve">Payout at Target Performance </w:t>
            </w:r>
          </w:p>
        </w:tc>
        <w:tc>
          <w:tcPr>
            <w:tcW w:w="154"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2023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19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2023-2025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28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w:t>
            </w:r>
            <w:r>
              <w:rPr>
                <w:spacing w:val="-1"/>
              </w:rPr>
              <w:t xml:space="preserve">80%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2022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19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2022-2024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28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108%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19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2021-2023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28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w:t>
            </w:r>
            <w:r>
              <w:rPr>
                <w:spacing w:val="-1"/>
              </w:rPr>
              <w:t xml:space="preserve">84%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19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xml:space="preserve">2020-2022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3286" w:type="dxa"/>
            <w:tcBorders>
              <w:bottom w:val="single" w:sz="6" w:space="0" w:color="CCCCCC"/>
            </w:tcBorders>
            <w:tcMar>
              <w:bottom w:w="43" w:type="dxa"/>
            </w:tcMar>
            <w:vAlign w:val="center"/>
          </w:tcPr>
          <w:p>
            <w:pPr>
              <w:pStyle w:val="TableContents"/>
              <w:bidi w:val="0"/>
              <w:spacing w:before="0" w:after="0"/>
              <w:jc w:val="center"/>
              <w:rPr>
                <w:spacing w:val="-1"/>
              </w:rPr>
            </w:pPr>
            <w:r>
              <w:rPr>
                <w:spacing w:val="-1"/>
              </w:rPr>
              <w:t> </w:t>
            </w:r>
            <w:r>
              <w:rPr>
                <w:spacing w:val="-1"/>
              </w:rPr>
              <w:t xml:space="preserve">79% </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1216" w:type="dxa"/>
            <w:tcBorders>
              <w:bottom w:val="single" w:sz="12" w:space="0" w:color="71B1C8"/>
            </w:tcBorders>
            <w:tcMar>
              <w:bottom w:w="35" w:type="dxa"/>
            </w:tcMar>
            <w:vAlign w:val="center"/>
          </w:tcPr>
          <w:p>
            <w:pPr>
              <w:pStyle w:val="TableContents"/>
              <w:bidi w:val="0"/>
              <w:spacing w:before="0" w:after="0"/>
              <w:jc w:val="center"/>
              <w:rPr>
                <w:spacing w:val="-1"/>
              </w:rPr>
            </w:pPr>
            <w:r>
              <w:rPr>
                <w:spacing w:val="-1"/>
              </w:rPr>
              <w:t xml:space="preserve">2019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3196" w:type="dxa"/>
            <w:tcBorders>
              <w:bottom w:val="single" w:sz="12" w:space="0" w:color="71B1C8"/>
            </w:tcBorders>
            <w:tcMar>
              <w:bottom w:w="35" w:type="dxa"/>
            </w:tcMar>
            <w:vAlign w:val="center"/>
          </w:tcPr>
          <w:p>
            <w:pPr>
              <w:pStyle w:val="TableContents"/>
              <w:bidi w:val="0"/>
              <w:spacing w:before="0" w:after="0"/>
              <w:jc w:val="center"/>
              <w:rPr>
                <w:spacing w:val="-1"/>
              </w:rPr>
            </w:pPr>
            <w:r>
              <w:rPr>
                <w:spacing w:val="-1"/>
              </w:rPr>
              <w:t xml:space="preserve">2019-2021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3286" w:type="dxa"/>
            <w:tcBorders>
              <w:bottom w:val="single" w:sz="12" w:space="0" w:color="71B1C8"/>
            </w:tcBorders>
            <w:tcMar>
              <w:bottom w:w="35" w:type="dxa"/>
            </w:tcMar>
            <w:vAlign w:val="center"/>
          </w:tcPr>
          <w:p>
            <w:pPr>
              <w:pStyle w:val="TableContents"/>
              <w:bidi w:val="0"/>
              <w:spacing w:before="0" w:after="0"/>
              <w:jc w:val="center"/>
              <w:rPr/>
            </w:pPr>
            <w:r>
              <w:rPr>
                <w:spacing w:val="-1"/>
              </w:rPr>
              <w:t> </w:t>
            </w:r>
            <w:r>
              <w:rPr>
                <w:spacing w:val="-1"/>
              </w:rPr>
              <w:t>79%</w:t>
            </w:r>
            <w:r>
              <w:rPr/>
              <w:t xml:space="preserve"> </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00" w:before="242"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Equity awards have a three-year vesting period. We strongly believe that our equity-based awards are performance-based, as vesting only occurs if the executive continues to be employed by the Company on the vesting date. We have a high-performance culture. This means that we expect our executives to perform at high levels. Our history is that executives that do not meet such performance standards leave our Company. These officers have forfeited all of their unvested equity awards.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Stock Options</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the Committee awarded the named executive officers stock options with an exercise price that represents the fair market value of the underlying stock on the date of grant, measured as the average of the high and the low stock price on the grant date. These options generally have a ten-year term and vest in equal installments on each of the first three anniversaries from the date of grant. To encourage the ownership of Company stock among officers, upon exercise, at least 50% of after-tax value of appreciation must be held in Company stock for at least five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DRSUs</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DRSUs generally vest in equal installments on each of the first three anniversaries from the date of grant. As with stock options, to encourage the ownership of Company stock among officers, at least 50% of the shares received upon vesting of the DRSUs (after tax) must be held by the executives for five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Performance Units</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Performance Units awarded under our long-term incentive compensation plan pay cash based on the Company’s performance over a three-year performance period. Performance Units granted in 2025 vest at the end of a three-year performance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51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period (2025-2027), provided the grantee remains employed by the Company at such time. The value of each Performance Unit is dependent on the following three components: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92"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ROC performance over the three-year performance period as compared to target ROC, which is set to exceed the Company’s weighted average cost of capital.</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793">
                <wp:simplePos x="0" y="0"/>
                <wp:positionH relativeFrom="column">
                  <wp:align>left</wp:align>
                </wp:positionH>
                <wp:positionV relativeFrom="line">
                  <wp:align>top</wp:align>
                </wp:positionV>
                <wp:extent cx="127000" cy="350520"/>
                <wp:effectExtent l="0" t="0" r="0" b="0"/>
                <wp:wrapSquare wrapText="right"/>
                <wp:docPr id="764"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2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stock performance as compared to our Peer Company Index, based on total shareholder return for the period from January 1, 2025 to December 31,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6510" distB="0" distL="0" distR="0" simplePos="0" locked="0" layoutInCell="1" allowOverlap="1" relativeHeight="794">
                <wp:simplePos x="0" y="0"/>
                <wp:positionH relativeFrom="column">
                  <wp:align>left</wp:align>
                </wp:positionH>
                <wp:positionV relativeFrom="line">
                  <wp:align>top</wp:align>
                </wp:positionV>
                <wp:extent cx="127000" cy="350520"/>
                <wp:effectExtent l="0" t="0" r="0" b="0"/>
                <wp:wrapSquare wrapText="right"/>
                <wp:docPr id="765"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2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stock performance as compared to the S&amp;P SmallCap 600 Index and the Russell 2000 Index, based on total shareholder return for the period from January 1, 2025 to December 31, 2027. For this purpose, the total shareholder return of the S&amp;P SmallCap 600 Index and the Russell 2000 Index are weighted equally.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6510" distB="0" distL="0" distR="0" simplePos="0" locked="0" layoutInCell="1" allowOverlap="1" relativeHeight="795">
                <wp:simplePos x="0" y="0"/>
                <wp:positionH relativeFrom="column">
                  <wp:align>left</wp:align>
                </wp:positionH>
                <wp:positionV relativeFrom="line">
                  <wp:align>top</wp:align>
                </wp:positionV>
                <wp:extent cx="127000" cy="350520"/>
                <wp:effectExtent l="0" t="0" r="0" b="0"/>
                <wp:wrapSquare wrapText="right"/>
                <wp:docPr id="766"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42"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sets out, for each of the three components: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92"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minimum (threshold) performance below which such component will not have any payout,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8420" distB="0" distL="0" distR="0" simplePos="0" locked="0" layoutInCell="1" allowOverlap="1" relativeHeight="796">
                <wp:simplePos x="0" y="0"/>
                <wp:positionH relativeFrom="column">
                  <wp:align>left</wp:align>
                </wp:positionH>
                <wp:positionV relativeFrom="line">
                  <wp:align>top</wp:align>
                </wp:positionV>
                <wp:extent cx="127000" cy="350520"/>
                <wp:effectExtent l="0" t="0" r="0" b="0"/>
                <wp:wrapSquare wrapText="right"/>
                <wp:docPr id="767"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2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target performance at which the component pays out at $100,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6510" distB="0" distL="0" distR="0" simplePos="0" locked="0" layoutInCell="1" allowOverlap="1" relativeHeight="797">
                <wp:simplePos x="0" y="0"/>
                <wp:positionH relativeFrom="column">
                  <wp:align>left</wp:align>
                </wp:positionH>
                <wp:positionV relativeFrom="line">
                  <wp:align>top</wp:align>
                </wp:positionV>
                <wp:extent cx="127000" cy="350520"/>
                <wp:effectExtent l="0" t="0" r="0" b="0"/>
                <wp:wrapSquare wrapText="right"/>
                <wp:docPr id="768"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2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maximum performance at which the component pays out at $300.</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6510" distB="0" distL="0" distR="0" simplePos="0" locked="0" layoutInCell="1" allowOverlap="1" relativeHeight="798">
                <wp:simplePos x="0" y="0"/>
                <wp:positionH relativeFrom="column">
                  <wp:align>left</wp:align>
                </wp:positionH>
                <wp:positionV relativeFrom="line">
                  <wp:align>top</wp:align>
                </wp:positionV>
                <wp:extent cx="127000" cy="350520"/>
                <wp:effectExtent l="0" t="0" r="0" b="0"/>
                <wp:wrapSquare wrapText="right"/>
                <wp:docPr id="769"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9185" w:type="dxa"/>
        <w:jc w:val="left"/>
        <w:tblInd w:w="1020" w:type="dxa"/>
        <w:tblLayout w:type="fixed"/>
        <w:tblCellMar>
          <w:top w:w="0" w:type="dxa"/>
          <w:left w:w="0" w:type="dxa"/>
          <w:bottom w:w="0" w:type="dxa"/>
          <w:right w:w="0" w:type="dxa"/>
        </w:tblCellMar>
      </w:tblPr>
      <w:tblGrid>
        <w:gridCol w:w="124"/>
        <w:gridCol w:w="5165"/>
        <w:gridCol w:w="109"/>
        <w:gridCol w:w="109"/>
        <w:gridCol w:w="161"/>
        <w:gridCol w:w="161"/>
        <w:gridCol w:w="607"/>
        <w:gridCol w:w="163"/>
        <w:gridCol w:w="109"/>
        <w:gridCol w:w="109"/>
        <w:gridCol w:w="109"/>
        <w:gridCol w:w="109"/>
        <w:gridCol w:w="558"/>
        <w:gridCol w:w="109"/>
        <w:gridCol w:w="109"/>
        <w:gridCol w:w="109"/>
        <w:gridCol w:w="138"/>
        <w:gridCol w:w="138"/>
        <w:gridCol w:w="693"/>
        <w:gridCol w:w="139"/>
        <w:gridCol w:w="157"/>
      </w:tblGrid>
      <w:tr>
        <w:trPr/>
        <w:tc>
          <w:tcPr>
            <w:tcW w:w="124" w:type="dxa"/>
            <w:tcBorders/>
            <w:shd w:fill="002F56" w:val="clear"/>
            <w:vAlign w:val="center"/>
          </w:tcPr>
          <w:p>
            <w:pPr>
              <w:pStyle w:val="TableContents"/>
              <w:bidi w:val="0"/>
              <w:spacing w:before="0" w:after="283"/>
              <w:jc w:val="left"/>
              <w:rPr/>
            </w:pPr>
            <w:r>
              <w:rPr/>
              <w:t>​</w:t>
            </w:r>
          </w:p>
        </w:tc>
        <w:tc>
          <w:tcPr>
            <w:tcW w:w="5165" w:type="dxa"/>
            <w:tcBorders/>
            <w:shd w:fill="002F56" w:val="clear"/>
            <w:vAlign w:val="center"/>
          </w:tcPr>
          <w:p>
            <w:pPr>
              <w:pStyle w:val="TableContents"/>
              <w:bidi w:val="0"/>
              <w:spacing w:before="0" w:after="0"/>
              <w:jc w:val="left"/>
              <w:rPr>
                <w:spacing w:val="0"/>
              </w:rPr>
            </w:pPr>
            <w:r>
              <w:rPr>
                <w:spacing w:val="0"/>
              </w:rPr>
              <w:t xml:space="preserve">Component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2" w:type="dxa"/>
            <w:gridSpan w:val="4"/>
            <w:tcBorders/>
            <w:shd w:fill="002F56" w:val="clear"/>
            <w:vAlign w:val="center"/>
          </w:tcPr>
          <w:p>
            <w:pPr>
              <w:pStyle w:val="TableContents"/>
              <w:bidi w:val="0"/>
              <w:spacing w:before="0" w:after="0"/>
              <w:jc w:val="center"/>
              <w:rPr>
                <w:spacing w:val="0"/>
              </w:rPr>
            </w:pPr>
            <w:r>
              <w:rPr>
                <w:spacing w:val="0"/>
              </w:rPr>
              <w:t xml:space="preserve">Threshold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885" w:type="dxa"/>
            <w:gridSpan w:val="4"/>
            <w:tcBorders/>
            <w:shd w:fill="002F56" w:val="clear"/>
            <w:vAlign w:val="center"/>
          </w:tcPr>
          <w:p>
            <w:pPr>
              <w:pStyle w:val="TableContents"/>
              <w:bidi w:val="0"/>
              <w:spacing w:before="0" w:after="0"/>
              <w:jc w:val="center"/>
              <w:rPr>
                <w:spacing w:val="0"/>
              </w:rPr>
            </w:pPr>
            <w:r>
              <w:rPr>
                <w:spacing w:val="0"/>
              </w:rPr>
              <w:t xml:space="preserve">Target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108" w:type="dxa"/>
            <w:gridSpan w:val="4"/>
            <w:tcBorders/>
            <w:shd w:fill="002F56" w:val="clear"/>
            <w:vAlign w:val="center"/>
          </w:tcPr>
          <w:p>
            <w:pPr>
              <w:pStyle w:val="TableContents"/>
              <w:bidi w:val="0"/>
              <w:spacing w:before="0" w:after="0"/>
              <w:jc w:val="center"/>
              <w:rPr>
                <w:spacing w:val="0"/>
              </w:rPr>
            </w:pPr>
            <w:r>
              <w:rPr>
                <w:spacing w:val="0"/>
              </w:rPr>
              <w:t xml:space="preserve">Maximum </w:t>
            </w:r>
          </w:p>
        </w:tc>
        <w:tc>
          <w:tcPr>
            <w:tcW w:w="157"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165"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Return on Capital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1" w:type="dxa"/>
            <w:tcBorders>
              <w:bottom w:val="single" w:sz="6" w:space="0" w:color="BFBFBF"/>
            </w:tcBorders>
            <w:tcMar>
              <w:bottom w:w="28" w:type="dxa"/>
            </w:tcMar>
            <w:vAlign w:val="center"/>
          </w:tcPr>
          <w:p>
            <w:pPr>
              <w:pStyle w:val="TableContents"/>
              <w:bidi w:val="0"/>
              <w:spacing w:before="0" w:after="283"/>
              <w:jc w:val="left"/>
              <w:rPr/>
            </w:pPr>
            <w:r>
              <w:rPr/>
              <w:t>​</w:t>
            </w:r>
          </w:p>
        </w:tc>
        <w:tc>
          <w:tcPr>
            <w:tcW w:w="161" w:type="dxa"/>
            <w:tcBorders>
              <w:bottom w:val="single" w:sz="6" w:space="0" w:color="BFBFBF"/>
            </w:tcBorders>
            <w:tcMar>
              <w:bottom w:w="47" w:type="dxa"/>
            </w:tcMar>
            <w:vAlign w:val="center"/>
          </w:tcPr>
          <w:p>
            <w:pPr>
              <w:pStyle w:val="TableContents"/>
              <w:bidi w:val="0"/>
              <w:spacing w:before="0" w:after="283"/>
              <w:jc w:val="right"/>
              <w:rPr/>
            </w:pPr>
            <w:r>
              <w:rPr/>
              <w:t>​</w:t>
            </w:r>
          </w:p>
        </w:tc>
        <w:tc>
          <w:tcPr>
            <w:tcW w:w="607" w:type="dxa"/>
            <w:tcBorders>
              <w:bottom w:val="single" w:sz="6" w:space="0" w:color="BFBFBF"/>
            </w:tcBorders>
            <w:tcMar>
              <w:bottom w:w="47" w:type="dxa"/>
            </w:tcMar>
            <w:vAlign w:val="center"/>
          </w:tcPr>
          <w:p>
            <w:pPr>
              <w:pStyle w:val="TableContents"/>
              <w:bidi w:val="0"/>
              <w:spacing w:before="0" w:after="283"/>
              <w:jc w:val="right"/>
              <w:rPr/>
            </w:pPr>
            <w:r>
              <w:rPr/>
              <w:t>7.0%</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558" w:type="dxa"/>
            <w:tcBorders>
              <w:bottom w:val="single" w:sz="6" w:space="0" w:color="BFBFBF"/>
            </w:tcBorders>
            <w:tcMar>
              <w:bottom w:w="47" w:type="dxa"/>
            </w:tcMar>
            <w:vAlign w:val="center"/>
          </w:tcPr>
          <w:p>
            <w:pPr>
              <w:pStyle w:val="TableContents"/>
              <w:bidi w:val="0"/>
              <w:spacing w:before="0" w:after="283"/>
              <w:jc w:val="right"/>
              <w:rPr/>
            </w:pPr>
            <w:r>
              <w:rPr/>
              <w:t>9.3%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8" w:type="dxa"/>
            <w:tcBorders>
              <w:bottom w:val="single" w:sz="6" w:space="0" w:color="BFBFBF"/>
            </w:tcBorders>
            <w:tcMar>
              <w:bottom w:w="28" w:type="dxa"/>
            </w:tcMar>
            <w:vAlign w:val="center"/>
          </w:tcPr>
          <w:p>
            <w:pPr>
              <w:pStyle w:val="TableContents"/>
              <w:bidi w:val="0"/>
              <w:spacing w:before="0" w:after="283"/>
              <w:jc w:val="left"/>
              <w:rPr/>
            </w:pPr>
            <w:r>
              <w:rPr/>
              <w:t>​</w:t>
            </w:r>
          </w:p>
        </w:tc>
        <w:tc>
          <w:tcPr>
            <w:tcW w:w="138" w:type="dxa"/>
            <w:tcBorders>
              <w:bottom w:val="single" w:sz="6" w:space="0" w:color="BFBFBF"/>
            </w:tcBorders>
            <w:tcMar>
              <w:bottom w:w="47" w:type="dxa"/>
            </w:tcMar>
            <w:vAlign w:val="center"/>
          </w:tcPr>
          <w:p>
            <w:pPr>
              <w:pStyle w:val="TableContents"/>
              <w:bidi w:val="0"/>
              <w:spacing w:before="0" w:after="283"/>
              <w:jc w:val="right"/>
              <w:rPr/>
            </w:pPr>
            <w:r>
              <w:rPr/>
              <w:t>​</w:t>
            </w:r>
          </w:p>
        </w:tc>
        <w:tc>
          <w:tcPr>
            <w:tcW w:w="693" w:type="dxa"/>
            <w:tcBorders>
              <w:bottom w:val="single" w:sz="6" w:space="0" w:color="BFBFBF"/>
            </w:tcBorders>
            <w:tcMar>
              <w:bottom w:w="47" w:type="dxa"/>
            </w:tcMar>
            <w:vAlign w:val="center"/>
          </w:tcPr>
          <w:p>
            <w:pPr>
              <w:pStyle w:val="TableContents"/>
              <w:bidi w:val="0"/>
              <w:spacing w:before="0" w:after="283"/>
              <w:jc w:val="right"/>
              <w:rPr/>
            </w:pPr>
            <w:r>
              <w:rPr/>
              <w:t>10.8%</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165" w:type="dxa"/>
            <w:tcBorders>
              <w:bottom w:val="single" w:sz="6" w:space="0" w:color="BFBFBF"/>
            </w:tcBorders>
            <w:tcMar>
              <w:bottom w:w="28" w:type="dxa"/>
            </w:tcMar>
            <w:vAlign w:val="center"/>
          </w:tcPr>
          <w:p>
            <w:pPr>
              <w:pStyle w:val="TableContents"/>
              <w:bidi w:val="0"/>
              <w:spacing w:before="0" w:after="283"/>
              <w:jc w:val="left"/>
              <w:rPr>
                <w:spacing w:val="-1"/>
              </w:rPr>
            </w:pPr>
            <w:r>
              <w:rPr>
                <w:spacing w:val="-1"/>
              </w:rPr>
              <w:t xml:space="preserve">Company Stock Performance as a Percentage of S&amp;P SmallCap 600 Index and Russell 2000 Index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61" w:type="dxa"/>
            <w:tcBorders>
              <w:bottom w:val="single" w:sz="6" w:space="0" w:color="BFBFBF"/>
            </w:tcBorders>
            <w:tcMar>
              <w:bottom w:w="28" w:type="dxa"/>
            </w:tcMar>
            <w:vAlign w:val="center"/>
          </w:tcPr>
          <w:p>
            <w:pPr>
              <w:pStyle w:val="TableContents"/>
              <w:bidi w:val="0"/>
              <w:spacing w:before="0" w:after="283"/>
              <w:jc w:val="left"/>
              <w:rPr/>
            </w:pPr>
            <w:r>
              <w:rPr/>
              <w:t>​</w:t>
            </w:r>
          </w:p>
        </w:tc>
        <w:tc>
          <w:tcPr>
            <w:tcW w:w="161" w:type="dxa"/>
            <w:tcBorders>
              <w:bottom w:val="single" w:sz="6" w:space="0" w:color="BFBFBF"/>
            </w:tcBorders>
            <w:tcMar>
              <w:bottom w:w="28" w:type="dxa"/>
            </w:tcMar>
            <w:vAlign w:val="center"/>
          </w:tcPr>
          <w:p>
            <w:pPr>
              <w:pStyle w:val="TableContents"/>
              <w:bidi w:val="0"/>
              <w:spacing w:before="0" w:after="283"/>
              <w:jc w:val="right"/>
              <w:rPr/>
            </w:pPr>
            <w:r>
              <w:rPr/>
              <w:t>​</w:t>
            </w:r>
          </w:p>
        </w:tc>
        <w:tc>
          <w:tcPr>
            <w:tcW w:w="607" w:type="dxa"/>
            <w:tcBorders>
              <w:bottom w:val="single" w:sz="6" w:space="0" w:color="BFBFBF"/>
            </w:tcBorders>
            <w:tcMar>
              <w:bottom w:w="28" w:type="dxa"/>
            </w:tcMar>
            <w:vAlign w:val="center"/>
          </w:tcPr>
          <w:p>
            <w:pPr>
              <w:pStyle w:val="TableContents"/>
              <w:bidi w:val="0"/>
              <w:spacing w:before="0" w:after="283"/>
              <w:jc w:val="right"/>
              <w:rPr/>
            </w:pPr>
            <w:r>
              <w:rPr/>
              <w:t>75%</w:t>
            </w:r>
          </w:p>
        </w:tc>
        <w:tc>
          <w:tcPr>
            <w:tcW w:w="163"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right"/>
              <w:rPr/>
            </w:pPr>
            <w:r>
              <w:rPr/>
              <w:t>​</w:t>
            </w:r>
          </w:p>
        </w:tc>
        <w:tc>
          <w:tcPr>
            <w:tcW w:w="558" w:type="dxa"/>
            <w:tcBorders>
              <w:bottom w:val="single" w:sz="6" w:space="0" w:color="BFBFBF"/>
            </w:tcBorders>
            <w:tcMar>
              <w:bottom w:w="28" w:type="dxa"/>
            </w:tcMar>
            <w:vAlign w:val="center"/>
          </w:tcPr>
          <w:p>
            <w:pPr>
              <w:pStyle w:val="TableContents"/>
              <w:bidi w:val="0"/>
              <w:spacing w:before="0" w:after="283"/>
              <w:jc w:val="right"/>
              <w:rPr/>
            </w:pPr>
            <w:r>
              <w:rPr/>
              <w:t>100%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38" w:type="dxa"/>
            <w:tcBorders>
              <w:bottom w:val="single" w:sz="6" w:space="0" w:color="BFBFBF"/>
            </w:tcBorders>
            <w:tcMar>
              <w:bottom w:w="28" w:type="dxa"/>
            </w:tcMar>
            <w:vAlign w:val="center"/>
          </w:tcPr>
          <w:p>
            <w:pPr>
              <w:pStyle w:val="TableContents"/>
              <w:bidi w:val="0"/>
              <w:spacing w:before="0" w:after="283"/>
              <w:jc w:val="left"/>
              <w:rPr/>
            </w:pPr>
            <w:r>
              <w:rPr/>
              <w:t>​</w:t>
            </w:r>
          </w:p>
        </w:tc>
        <w:tc>
          <w:tcPr>
            <w:tcW w:w="138" w:type="dxa"/>
            <w:tcBorders>
              <w:bottom w:val="single" w:sz="6" w:space="0" w:color="BFBFBF"/>
            </w:tcBorders>
            <w:tcMar>
              <w:bottom w:w="28" w:type="dxa"/>
            </w:tcMar>
            <w:vAlign w:val="center"/>
          </w:tcPr>
          <w:p>
            <w:pPr>
              <w:pStyle w:val="TableContents"/>
              <w:bidi w:val="0"/>
              <w:spacing w:before="0" w:after="283"/>
              <w:jc w:val="right"/>
              <w:rPr/>
            </w:pPr>
            <w:r>
              <w:rPr/>
              <w:t>​</w:t>
            </w:r>
          </w:p>
        </w:tc>
        <w:tc>
          <w:tcPr>
            <w:tcW w:w="693" w:type="dxa"/>
            <w:tcBorders>
              <w:bottom w:val="single" w:sz="6" w:space="0" w:color="BFBFBF"/>
            </w:tcBorders>
            <w:tcMar>
              <w:bottom w:w="28" w:type="dxa"/>
            </w:tcMar>
            <w:vAlign w:val="center"/>
          </w:tcPr>
          <w:p>
            <w:pPr>
              <w:pStyle w:val="TableContents"/>
              <w:bidi w:val="0"/>
              <w:spacing w:before="0" w:after="283"/>
              <w:jc w:val="right"/>
              <w:rPr/>
            </w:pPr>
            <w:r>
              <w:rPr/>
              <w:t>130%</w:t>
            </w:r>
          </w:p>
        </w:tc>
        <w:tc>
          <w:tcPr>
            <w:tcW w:w="13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5165"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Company Stock Performance as a Percentage of Peer Company Index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61" w:type="dxa"/>
            <w:tcBorders>
              <w:bottom w:val="single" w:sz="12" w:space="0" w:color="71B1C8"/>
            </w:tcBorders>
            <w:tcMar>
              <w:bottom w:w="28" w:type="dxa"/>
            </w:tcMar>
            <w:vAlign w:val="center"/>
          </w:tcPr>
          <w:p>
            <w:pPr>
              <w:pStyle w:val="TableContents"/>
              <w:bidi w:val="0"/>
              <w:spacing w:before="0" w:after="283"/>
              <w:jc w:val="left"/>
              <w:rPr/>
            </w:pPr>
            <w:r>
              <w:rPr/>
              <w:t>​</w:t>
            </w:r>
          </w:p>
        </w:tc>
        <w:tc>
          <w:tcPr>
            <w:tcW w:w="161" w:type="dxa"/>
            <w:tcBorders>
              <w:bottom w:val="single" w:sz="12" w:space="0" w:color="71B1C8"/>
            </w:tcBorders>
            <w:tcMar>
              <w:bottom w:w="28" w:type="dxa"/>
            </w:tcMar>
            <w:vAlign w:val="center"/>
          </w:tcPr>
          <w:p>
            <w:pPr>
              <w:pStyle w:val="TableContents"/>
              <w:bidi w:val="0"/>
              <w:spacing w:before="0" w:after="283"/>
              <w:jc w:val="right"/>
              <w:rPr/>
            </w:pPr>
            <w:r>
              <w:rPr/>
              <w:t>​</w:t>
            </w:r>
          </w:p>
        </w:tc>
        <w:tc>
          <w:tcPr>
            <w:tcW w:w="607" w:type="dxa"/>
            <w:tcBorders>
              <w:bottom w:val="single" w:sz="12" w:space="0" w:color="71B1C8"/>
            </w:tcBorders>
            <w:tcMar>
              <w:bottom w:w="28" w:type="dxa"/>
            </w:tcMar>
            <w:vAlign w:val="center"/>
          </w:tcPr>
          <w:p>
            <w:pPr>
              <w:pStyle w:val="TableContents"/>
              <w:bidi w:val="0"/>
              <w:spacing w:before="0" w:after="283"/>
              <w:jc w:val="right"/>
              <w:rPr/>
            </w:pPr>
            <w:r>
              <w:rPr/>
              <w:t>75%</w:t>
            </w:r>
          </w:p>
        </w:tc>
        <w:tc>
          <w:tcPr>
            <w:tcW w:w="163"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558" w:type="dxa"/>
            <w:tcBorders>
              <w:bottom w:val="single" w:sz="12" w:space="0" w:color="71B1C8"/>
            </w:tcBorders>
            <w:tcMar>
              <w:bottom w:w="28" w:type="dxa"/>
            </w:tcMar>
            <w:vAlign w:val="center"/>
          </w:tcPr>
          <w:p>
            <w:pPr>
              <w:pStyle w:val="TableContents"/>
              <w:bidi w:val="0"/>
              <w:spacing w:before="0" w:after="283"/>
              <w:jc w:val="right"/>
              <w:rPr/>
            </w:pPr>
            <w:r>
              <w:rPr/>
              <w:t>110%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38" w:type="dxa"/>
            <w:tcBorders>
              <w:bottom w:val="single" w:sz="12" w:space="0" w:color="71B1C8"/>
            </w:tcBorders>
            <w:tcMar>
              <w:bottom w:w="28" w:type="dxa"/>
            </w:tcMar>
            <w:vAlign w:val="center"/>
          </w:tcPr>
          <w:p>
            <w:pPr>
              <w:pStyle w:val="TableContents"/>
              <w:bidi w:val="0"/>
              <w:spacing w:before="0" w:after="283"/>
              <w:jc w:val="left"/>
              <w:rPr/>
            </w:pPr>
            <w:r>
              <w:rPr/>
              <w:t>​</w:t>
            </w:r>
          </w:p>
        </w:tc>
        <w:tc>
          <w:tcPr>
            <w:tcW w:w="138" w:type="dxa"/>
            <w:tcBorders>
              <w:bottom w:val="single" w:sz="12" w:space="0" w:color="71B1C8"/>
            </w:tcBorders>
            <w:tcMar>
              <w:bottom w:w="28" w:type="dxa"/>
            </w:tcMar>
            <w:vAlign w:val="center"/>
          </w:tcPr>
          <w:p>
            <w:pPr>
              <w:pStyle w:val="TableContents"/>
              <w:bidi w:val="0"/>
              <w:spacing w:before="0" w:after="283"/>
              <w:jc w:val="right"/>
              <w:rPr/>
            </w:pPr>
            <w:r>
              <w:rPr/>
              <w:t>​</w:t>
            </w:r>
          </w:p>
        </w:tc>
        <w:tc>
          <w:tcPr>
            <w:tcW w:w="693" w:type="dxa"/>
            <w:tcBorders>
              <w:bottom w:val="single" w:sz="12" w:space="0" w:color="71B1C8"/>
            </w:tcBorders>
            <w:tcMar>
              <w:bottom w:w="28" w:type="dxa"/>
            </w:tcMar>
            <w:vAlign w:val="center"/>
          </w:tcPr>
          <w:p>
            <w:pPr>
              <w:pStyle w:val="TableContents"/>
              <w:bidi w:val="0"/>
              <w:spacing w:before="0" w:after="283"/>
              <w:jc w:val="right"/>
              <w:rPr/>
            </w:pPr>
            <w:r>
              <w:rPr/>
              <w:t>130%</w:t>
            </w:r>
          </w:p>
        </w:tc>
        <w:tc>
          <w:tcPr>
            <w:tcW w:w="139" w:type="dxa"/>
            <w:tcBorders>
              <w:bottom w:val="single" w:sz="12" w:space="0" w:color="71B1C8"/>
            </w:tcBorders>
            <w:tcMar>
              <w:bottom w:w="28" w:type="dxa"/>
            </w:tcMar>
            <w:vAlign w:val="center"/>
          </w:tcPr>
          <w:p>
            <w:pPr>
              <w:pStyle w:val="TableContents"/>
              <w:bidi w:val="0"/>
              <w:spacing w:before="0" w:after="283"/>
              <w:jc w:val="left"/>
              <w:rPr/>
            </w:pPr>
            <w:r>
              <w:rPr/>
              <w:t>​</w:t>
            </w:r>
          </w:p>
        </w:tc>
        <w:tc>
          <w:tcPr>
            <w:tcW w:w="157"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154"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Equal weighting is given to each of the three components. Thus, each of the three types of performance components contributes one-third of the final value of the Performance Unit. For each component, we calculate a payout level at the end of the performance period. The following tables set forth the payout levels for stated performance for each of the three components. Performance between the stated percentages is interpolated.</w:t>
      </w:r>
      <w:r>
        <w:rPr>
          <w:rFonts w:ascii="Arial;Helvetica;sans-serif" w:hAnsi="Arial;Helvetica;sans-serif"/>
          <w:b w:val="false"/>
          <w:i w:val="false"/>
          <w:caps w:val="false"/>
          <w:smallCaps w:val="false"/>
          <w:color w:val="000000"/>
          <w:spacing w:val="4"/>
          <w:sz w:val="18"/>
        </w:rPr>
        <w:t xml:space="preserve"> </w:t>
      </w:r>
    </w:p>
    <w:tbl>
      <w:tblPr>
        <w:tblW w:w="8818" w:type="dxa"/>
        <w:jc w:val="left"/>
        <w:tblInd w:w="1020" w:type="dxa"/>
        <w:tblLayout w:type="fixed"/>
        <w:tblCellMar>
          <w:top w:w="0" w:type="dxa"/>
          <w:left w:w="0" w:type="dxa"/>
          <w:bottom w:w="28" w:type="dxa"/>
          <w:right w:w="0" w:type="dxa"/>
        </w:tblCellMar>
      </w:tblPr>
      <w:tblGrid>
        <w:gridCol w:w="124"/>
        <w:gridCol w:w="5378"/>
        <w:gridCol w:w="284"/>
        <w:gridCol w:w="284"/>
        <w:gridCol w:w="356"/>
        <w:gridCol w:w="356"/>
        <w:gridCol w:w="1526"/>
        <w:gridCol w:w="356"/>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540" w:type="dxa"/>
            <w:gridSpan w:val="7"/>
            <w:tcBorders>
              <w:bottom w:val="single" w:sz="24" w:space="0" w:color="FEFEFE"/>
            </w:tcBorders>
            <w:shd w:fill="002F56" w:val="clear"/>
            <w:tcMar>
              <w:bottom w:w="70" w:type="dxa"/>
            </w:tcMar>
            <w:vAlign w:val="center"/>
          </w:tcPr>
          <w:p>
            <w:pPr>
              <w:pStyle w:val="TableContents"/>
              <w:bidi w:val="0"/>
              <w:spacing w:before="0" w:after="0"/>
              <w:jc w:val="center"/>
              <w:rPr/>
            </w:pPr>
            <w:r>
              <w:rPr>
                <w:spacing w:val="-6"/>
              </w:rPr>
              <w:t>ROC PERFORMANCE RELATIVE TO TARGET ROC (1/3 OF UNIT VALUE)</w:t>
            </w:r>
            <w:r>
              <w:rPr/>
              <w:t xml:space="preserve">​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5378" w:type="dxa"/>
            <w:tcBorders/>
            <w:shd w:fill="002F56" w:val="clear"/>
            <w:tcMar>
              <w:bottom w:w="0" w:type="dxa"/>
            </w:tcMar>
            <w:vAlign w:val="center"/>
          </w:tcPr>
          <w:p>
            <w:pPr>
              <w:pStyle w:val="TableContents"/>
              <w:bidi w:val="0"/>
              <w:spacing w:before="0" w:after="0"/>
              <w:jc w:val="left"/>
              <w:rPr>
                <w:spacing w:val="0"/>
              </w:rPr>
            </w:pPr>
            <w:r>
              <w:rPr>
                <w:spacing w:val="0"/>
              </w:rPr>
              <w:t xml:space="preserve">ROC Performance </w:t>
            </w:r>
          </w:p>
        </w:tc>
        <w:tc>
          <w:tcPr>
            <w:tcW w:w="284" w:type="dxa"/>
            <w:tcBorders/>
            <w:shd w:fill="002F56" w:val="clear"/>
            <w:tcMar>
              <w:bottom w:w="0" w:type="dxa"/>
            </w:tcMar>
            <w:vAlign w:val="center"/>
          </w:tcPr>
          <w:p>
            <w:pPr>
              <w:pStyle w:val="TableContents"/>
              <w:bidi w:val="0"/>
              <w:spacing w:before="0" w:after="283"/>
              <w:jc w:val="left"/>
              <w:rPr/>
            </w:pPr>
            <w:r>
              <w:rPr/>
              <w:t>​</w:t>
            </w:r>
          </w:p>
        </w:tc>
        <w:tc>
          <w:tcPr>
            <w:tcW w:w="284" w:type="dxa"/>
            <w:tcBorders/>
            <w:shd w:fill="002F56" w:val="clear"/>
            <w:tcMar>
              <w:bottom w:w="0" w:type="dxa"/>
            </w:tcMar>
            <w:vAlign w:val="center"/>
          </w:tcPr>
          <w:p>
            <w:pPr>
              <w:pStyle w:val="TableContents"/>
              <w:bidi w:val="0"/>
              <w:spacing w:before="0" w:after="283"/>
              <w:jc w:val="left"/>
              <w:rPr/>
            </w:pPr>
            <w:r>
              <w:rPr/>
              <w:t>​</w:t>
            </w:r>
          </w:p>
        </w:tc>
        <w:tc>
          <w:tcPr>
            <w:tcW w:w="2594" w:type="dxa"/>
            <w:gridSpan w:val="4"/>
            <w:tcBorders/>
            <w:shd w:fill="002F56" w:val="clear"/>
            <w:tcMar>
              <w:bottom w:w="0" w:type="dxa"/>
            </w:tcMar>
            <w:vAlign w:val="center"/>
          </w:tcPr>
          <w:p>
            <w:pPr>
              <w:pStyle w:val="TableContents"/>
              <w:bidi w:val="0"/>
              <w:spacing w:lineRule="atLeast" w:line="190" w:before="0" w:after="0"/>
              <w:jc w:val="center"/>
              <w:rPr/>
            </w:pPr>
            <w:r>
              <w:rPr>
                <w:spacing w:val="0"/>
              </w:rPr>
              <w:t>Component Achievement</w:t>
            </w:r>
            <w:r>
              <w:rPr/>
              <w:t xml:space="preserve"> </w:t>
              <w:br/>
            </w:r>
            <w:r>
              <w:rPr>
                <w:spacing w:val="-2"/>
              </w:rPr>
              <w:t xml:space="preserve">($) </w:t>
            </w:r>
          </w:p>
        </w:tc>
        <w:tc>
          <w:tcPr>
            <w:tcW w:w="154"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5378"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&lt;7.0% (minimum) </w:t>
            </w:r>
          </w:p>
        </w:tc>
        <w:tc>
          <w:tcPr>
            <w:tcW w:w="284" w:type="dxa"/>
            <w:tcBorders>
              <w:bottom w:val="single" w:sz="6" w:space="0" w:color="CCCCCC"/>
            </w:tcBorders>
            <w:vAlign w:val="center"/>
          </w:tcPr>
          <w:p>
            <w:pPr>
              <w:pStyle w:val="TableContents"/>
              <w:bidi w:val="0"/>
              <w:spacing w:before="0" w:after="283"/>
              <w:jc w:val="left"/>
              <w:rPr/>
            </w:pPr>
            <w:r>
              <w:rPr/>
              <w:t>​</w:t>
            </w:r>
          </w:p>
        </w:tc>
        <w:tc>
          <w:tcPr>
            <w:tcW w:w="284"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tcMar>
              <w:bottom w:w="43" w:type="dxa"/>
            </w:tcMar>
            <w:vAlign w:val="center"/>
          </w:tcPr>
          <w:p>
            <w:pPr>
              <w:pStyle w:val="TableContents"/>
              <w:bidi w:val="0"/>
              <w:spacing w:before="0" w:after="283"/>
              <w:jc w:val="right"/>
              <w:rPr/>
            </w:pPr>
            <w:r>
              <w:rPr/>
              <w:t>​</w:t>
            </w:r>
          </w:p>
        </w:tc>
        <w:tc>
          <w:tcPr>
            <w:tcW w:w="1526" w:type="dxa"/>
            <w:tcBorders>
              <w:bottom w:val="single" w:sz="6" w:space="0" w:color="CCCCCC"/>
            </w:tcBorders>
            <w:tcMar>
              <w:bottom w:w="43" w:type="dxa"/>
            </w:tcMar>
            <w:vAlign w:val="center"/>
          </w:tcPr>
          <w:p>
            <w:pPr>
              <w:pStyle w:val="TableContents"/>
              <w:bidi w:val="0"/>
              <w:spacing w:before="0" w:after="283"/>
              <w:jc w:val="right"/>
              <w:rPr/>
            </w:pPr>
            <w:r>
              <w:rPr/>
              <w:t>0</w:t>
            </w:r>
          </w:p>
        </w:tc>
        <w:tc>
          <w:tcPr>
            <w:tcW w:w="35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5378"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7.5% </w:t>
            </w:r>
          </w:p>
        </w:tc>
        <w:tc>
          <w:tcPr>
            <w:tcW w:w="284" w:type="dxa"/>
            <w:tcBorders>
              <w:bottom w:val="single" w:sz="6" w:space="0" w:color="CCCCCC"/>
            </w:tcBorders>
            <w:vAlign w:val="center"/>
          </w:tcPr>
          <w:p>
            <w:pPr>
              <w:pStyle w:val="TableContents"/>
              <w:bidi w:val="0"/>
              <w:spacing w:before="0" w:after="283"/>
              <w:jc w:val="left"/>
              <w:rPr/>
            </w:pPr>
            <w:r>
              <w:rPr/>
              <w:t>​</w:t>
            </w:r>
          </w:p>
        </w:tc>
        <w:tc>
          <w:tcPr>
            <w:tcW w:w="284"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tcMar>
              <w:bottom w:w="43" w:type="dxa"/>
            </w:tcMar>
            <w:vAlign w:val="center"/>
          </w:tcPr>
          <w:p>
            <w:pPr>
              <w:pStyle w:val="TableContents"/>
              <w:bidi w:val="0"/>
              <w:spacing w:before="0" w:after="283"/>
              <w:jc w:val="right"/>
              <w:rPr/>
            </w:pPr>
            <w:r>
              <w:rPr/>
              <w:t>​</w:t>
            </w:r>
          </w:p>
        </w:tc>
        <w:tc>
          <w:tcPr>
            <w:tcW w:w="1526" w:type="dxa"/>
            <w:tcBorders>
              <w:bottom w:val="single" w:sz="6" w:space="0" w:color="CCCCCC"/>
            </w:tcBorders>
            <w:tcMar>
              <w:bottom w:w="43" w:type="dxa"/>
            </w:tcMar>
            <w:vAlign w:val="center"/>
          </w:tcPr>
          <w:p>
            <w:pPr>
              <w:pStyle w:val="TableContents"/>
              <w:bidi w:val="0"/>
              <w:spacing w:before="0" w:after="283"/>
              <w:jc w:val="right"/>
              <w:rPr/>
            </w:pPr>
            <w:r>
              <w:rPr/>
              <w:t>75</w:t>
            </w:r>
          </w:p>
        </w:tc>
        <w:tc>
          <w:tcPr>
            <w:tcW w:w="35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5378"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9.3% (target) </w:t>
            </w:r>
          </w:p>
        </w:tc>
        <w:tc>
          <w:tcPr>
            <w:tcW w:w="284" w:type="dxa"/>
            <w:tcBorders>
              <w:bottom w:val="single" w:sz="6" w:space="0" w:color="CCCCCC"/>
            </w:tcBorders>
            <w:vAlign w:val="center"/>
          </w:tcPr>
          <w:p>
            <w:pPr>
              <w:pStyle w:val="TableContents"/>
              <w:bidi w:val="0"/>
              <w:spacing w:before="0" w:after="283"/>
              <w:jc w:val="left"/>
              <w:rPr/>
            </w:pPr>
            <w:r>
              <w:rPr/>
              <w:t>​</w:t>
            </w:r>
          </w:p>
        </w:tc>
        <w:tc>
          <w:tcPr>
            <w:tcW w:w="284"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tcMar>
              <w:bottom w:w="43" w:type="dxa"/>
            </w:tcMar>
            <w:vAlign w:val="center"/>
          </w:tcPr>
          <w:p>
            <w:pPr>
              <w:pStyle w:val="TableContents"/>
              <w:bidi w:val="0"/>
              <w:spacing w:before="0" w:after="283"/>
              <w:jc w:val="right"/>
              <w:rPr/>
            </w:pPr>
            <w:r>
              <w:rPr/>
              <w:t>​</w:t>
            </w:r>
          </w:p>
        </w:tc>
        <w:tc>
          <w:tcPr>
            <w:tcW w:w="1526" w:type="dxa"/>
            <w:tcBorders>
              <w:bottom w:val="single" w:sz="6" w:space="0" w:color="CCCCCC"/>
            </w:tcBorders>
            <w:tcMar>
              <w:bottom w:w="43" w:type="dxa"/>
            </w:tcMar>
            <w:vAlign w:val="center"/>
          </w:tcPr>
          <w:p>
            <w:pPr>
              <w:pStyle w:val="TableContents"/>
              <w:bidi w:val="0"/>
              <w:spacing w:before="0" w:after="283"/>
              <w:jc w:val="right"/>
              <w:rPr/>
            </w:pPr>
            <w:r>
              <w:rPr/>
              <w:t>100</w:t>
            </w:r>
          </w:p>
        </w:tc>
        <w:tc>
          <w:tcPr>
            <w:tcW w:w="35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5378"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9.8% </w:t>
            </w:r>
          </w:p>
        </w:tc>
        <w:tc>
          <w:tcPr>
            <w:tcW w:w="284" w:type="dxa"/>
            <w:tcBorders>
              <w:bottom w:val="single" w:sz="6" w:space="0" w:color="CCCCCC"/>
            </w:tcBorders>
            <w:vAlign w:val="center"/>
          </w:tcPr>
          <w:p>
            <w:pPr>
              <w:pStyle w:val="TableContents"/>
              <w:bidi w:val="0"/>
              <w:spacing w:before="0" w:after="283"/>
              <w:jc w:val="left"/>
              <w:rPr/>
            </w:pPr>
            <w:r>
              <w:rPr/>
              <w:t>​</w:t>
            </w:r>
          </w:p>
        </w:tc>
        <w:tc>
          <w:tcPr>
            <w:tcW w:w="284"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vAlign w:val="center"/>
          </w:tcPr>
          <w:p>
            <w:pPr>
              <w:pStyle w:val="TableContents"/>
              <w:bidi w:val="0"/>
              <w:spacing w:before="0" w:after="283"/>
              <w:jc w:val="left"/>
              <w:rPr/>
            </w:pPr>
            <w:r>
              <w:rPr/>
              <w:t>​</w:t>
            </w:r>
          </w:p>
        </w:tc>
        <w:tc>
          <w:tcPr>
            <w:tcW w:w="356" w:type="dxa"/>
            <w:tcBorders>
              <w:bottom w:val="single" w:sz="6" w:space="0" w:color="CCCCCC"/>
            </w:tcBorders>
            <w:tcMar>
              <w:bottom w:w="43" w:type="dxa"/>
            </w:tcMar>
            <w:vAlign w:val="center"/>
          </w:tcPr>
          <w:p>
            <w:pPr>
              <w:pStyle w:val="TableContents"/>
              <w:bidi w:val="0"/>
              <w:spacing w:before="0" w:after="283"/>
              <w:jc w:val="right"/>
              <w:rPr/>
            </w:pPr>
            <w:r>
              <w:rPr/>
              <w:t>​</w:t>
            </w:r>
          </w:p>
        </w:tc>
        <w:tc>
          <w:tcPr>
            <w:tcW w:w="1526" w:type="dxa"/>
            <w:tcBorders>
              <w:bottom w:val="single" w:sz="6" w:space="0" w:color="CCCCCC"/>
            </w:tcBorders>
            <w:tcMar>
              <w:bottom w:w="43" w:type="dxa"/>
            </w:tcMar>
            <w:vAlign w:val="center"/>
          </w:tcPr>
          <w:p>
            <w:pPr>
              <w:pStyle w:val="TableContents"/>
              <w:bidi w:val="0"/>
              <w:spacing w:before="0" w:after="283"/>
              <w:jc w:val="right"/>
              <w:rPr/>
            </w:pPr>
            <w:r>
              <w:rPr/>
              <w:t>200</w:t>
            </w:r>
          </w:p>
        </w:tc>
        <w:tc>
          <w:tcPr>
            <w:tcW w:w="35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5378" w:type="dxa"/>
            <w:tcBorders>
              <w:bottom w:val="single" w:sz="12" w:space="0" w:color="71B1C8"/>
            </w:tcBorders>
            <w:tcMar>
              <w:bottom w:w="35" w:type="dxa"/>
            </w:tcMar>
            <w:vAlign w:val="center"/>
          </w:tcPr>
          <w:p>
            <w:pPr>
              <w:pStyle w:val="TableContents"/>
              <w:bidi w:val="0"/>
              <w:spacing w:before="0" w:after="283"/>
              <w:jc w:val="left"/>
              <w:rPr>
                <w:spacing w:val="-1"/>
              </w:rPr>
            </w:pPr>
            <w:r>
              <w:rPr>
                <w:spacing w:val="-1"/>
              </w:rPr>
              <w:t xml:space="preserve">10.8+% (maximum) </w:t>
            </w:r>
          </w:p>
        </w:tc>
        <w:tc>
          <w:tcPr>
            <w:tcW w:w="284" w:type="dxa"/>
            <w:tcBorders>
              <w:bottom w:val="single" w:sz="12" w:space="0" w:color="71B1C8"/>
            </w:tcBorders>
            <w:vAlign w:val="center"/>
          </w:tcPr>
          <w:p>
            <w:pPr>
              <w:pStyle w:val="TableContents"/>
              <w:bidi w:val="0"/>
              <w:spacing w:before="0" w:after="283"/>
              <w:jc w:val="left"/>
              <w:rPr/>
            </w:pPr>
            <w:r>
              <w:rPr/>
              <w:t>​</w:t>
            </w:r>
          </w:p>
        </w:tc>
        <w:tc>
          <w:tcPr>
            <w:tcW w:w="284" w:type="dxa"/>
            <w:tcBorders>
              <w:bottom w:val="single" w:sz="12" w:space="0" w:color="71B1C8"/>
            </w:tcBorders>
            <w:vAlign w:val="center"/>
          </w:tcPr>
          <w:p>
            <w:pPr>
              <w:pStyle w:val="TableContents"/>
              <w:bidi w:val="0"/>
              <w:spacing w:before="0" w:after="283"/>
              <w:jc w:val="left"/>
              <w:rPr/>
            </w:pPr>
            <w:r>
              <w:rPr/>
              <w:t>​</w:t>
            </w:r>
          </w:p>
        </w:tc>
        <w:tc>
          <w:tcPr>
            <w:tcW w:w="356" w:type="dxa"/>
            <w:tcBorders>
              <w:bottom w:val="single" w:sz="12" w:space="0" w:color="71B1C8"/>
            </w:tcBorders>
            <w:vAlign w:val="center"/>
          </w:tcPr>
          <w:p>
            <w:pPr>
              <w:pStyle w:val="TableContents"/>
              <w:bidi w:val="0"/>
              <w:spacing w:before="0" w:after="283"/>
              <w:jc w:val="left"/>
              <w:rPr/>
            </w:pPr>
            <w:r>
              <w:rPr/>
              <w:t>​</w:t>
            </w:r>
          </w:p>
        </w:tc>
        <w:tc>
          <w:tcPr>
            <w:tcW w:w="356" w:type="dxa"/>
            <w:tcBorders>
              <w:bottom w:val="single" w:sz="12" w:space="0" w:color="71B1C8"/>
            </w:tcBorders>
            <w:tcMar>
              <w:bottom w:w="35" w:type="dxa"/>
            </w:tcMar>
            <w:vAlign w:val="center"/>
          </w:tcPr>
          <w:p>
            <w:pPr>
              <w:pStyle w:val="TableContents"/>
              <w:bidi w:val="0"/>
              <w:spacing w:before="0" w:after="283"/>
              <w:jc w:val="right"/>
              <w:rPr/>
            </w:pPr>
            <w:r>
              <w:rPr/>
              <w:t>​</w:t>
            </w:r>
          </w:p>
        </w:tc>
        <w:tc>
          <w:tcPr>
            <w:tcW w:w="1526" w:type="dxa"/>
            <w:tcBorders>
              <w:bottom w:val="single" w:sz="12" w:space="0" w:color="71B1C8"/>
            </w:tcBorders>
            <w:tcMar>
              <w:bottom w:w="35" w:type="dxa"/>
            </w:tcMar>
            <w:vAlign w:val="center"/>
          </w:tcPr>
          <w:p>
            <w:pPr>
              <w:pStyle w:val="TableContents"/>
              <w:bidi w:val="0"/>
              <w:spacing w:before="0" w:after="283"/>
              <w:jc w:val="right"/>
              <w:rPr/>
            </w:pPr>
            <w:r>
              <w:rPr/>
              <w:t>300</w:t>
            </w:r>
          </w:p>
        </w:tc>
        <w:tc>
          <w:tcPr>
            <w:tcW w:w="356"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28" w:type="dxa"/>
          <w:right w:w="0" w:type="dxa"/>
        </w:tblCellMar>
      </w:tblPr>
      <w:tblGrid>
        <w:gridCol w:w="124"/>
        <w:gridCol w:w="6507"/>
        <w:gridCol w:w="194"/>
        <w:gridCol w:w="194"/>
        <w:gridCol w:w="315"/>
        <w:gridCol w:w="315"/>
        <w:gridCol w:w="1141"/>
        <w:gridCol w:w="238"/>
        <w:gridCol w:w="157"/>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4" w:type="dxa"/>
            <w:gridSpan w:val="7"/>
            <w:tcBorders>
              <w:bottom w:val="single" w:sz="24" w:space="0" w:color="FEFEFE"/>
            </w:tcBorders>
            <w:shd w:fill="002F56" w:val="clear"/>
            <w:tcMar>
              <w:bottom w:w="70" w:type="dxa"/>
            </w:tcMar>
            <w:vAlign w:val="center"/>
          </w:tcPr>
          <w:p>
            <w:pPr>
              <w:pStyle w:val="TableContents"/>
              <w:bidi w:val="0"/>
              <w:spacing w:before="0" w:after="0"/>
              <w:jc w:val="center"/>
              <w:rPr/>
            </w:pPr>
            <w:r>
              <w:rPr>
                <w:spacing w:val="-6"/>
              </w:rPr>
              <w:t>COMPANY STOCK COMPARISON TO THE S&amp;P SMALLCAP 600 INDEX AND THE RUSSELL 2000 INDEX (1/3 OF UNIT VALUE)</w:t>
            </w:r>
            <w:r>
              <w:rPr/>
              <w:t xml:space="preserve">​ </w:t>
            </w:r>
          </w:p>
        </w:tc>
        <w:tc>
          <w:tcPr>
            <w:tcW w:w="157"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6507" w:type="dxa"/>
            <w:tcBorders/>
            <w:shd w:fill="002F56" w:val="clear"/>
            <w:tcMar>
              <w:bottom w:w="0" w:type="dxa"/>
            </w:tcMar>
            <w:vAlign w:val="center"/>
          </w:tcPr>
          <w:p>
            <w:pPr>
              <w:pStyle w:val="TableContents"/>
              <w:bidi w:val="0"/>
              <w:spacing w:before="0" w:after="0"/>
              <w:jc w:val="left"/>
              <w:rPr>
                <w:spacing w:val="0"/>
              </w:rPr>
            </w:pPr>
            <w:r>
              <w:rPr>
                <w:spacing w:val="0"/>
              </w:rPr>
              <w:t xml:space="preserve">Company TSR Performance as a % of Target </w:t>
            </w:r>
          </w:p>
        </w:tc>
        <w:tc>
          <w:tcPr>
            <w:tcW w:w="194" w:type="dxa"/>
            <w:tcBorders/>
            <w:shd w:fill="002F56" w:val="clear"/>
            <w:tcMar>
              <w:bottom w:w="0" w:type="dxa"/>
            </w:tcMar>
            <w:vAlign w:val="center"/>
          </w:tcPr>
          <w:p>
            <w:pPr>
              <w:pStyle w:val="TableContents"/>
              <w:bidi w:val="0"/>
              <w:spacing w:before="0" w:after="283"/>
              <w:jc w:val="left"/>
              <w:rPr/>
            </w:pPr>
            <w:r>
              <w:rPr/>
              <w:t>​</w:t>
            </w:r>
          </w:p>
        </w:tc>
        <w:tc>
          <w:tcPr>
            <w:tcW w:w="194" w:type="dxa"/>
            <w:tcBorders/>
            <w:shd w:fill="002F56" w:val="clear"/>
            <w:tcMar>
              <w:bottom w:w="0" w:type="dxa"/>
            </w:tcMar>
            <w:vAlign w:val="center"/>
          </w:tcPr>
          <w:p>
            <w:pPr>
              <w:pStyle w:val="TableContents"/>
              <w:bidi w:val="0"/>
              <w:spacing w:before="0" w:after="283"/>
              <w:jc w:val="left"/>
              <w:rPr/>
            </w:pPr>
            <w:r>
              <w:rPr/>
              <w:t>​</w:t>
            </w:r>
          </w:p>
        </w:tc>
        <w:tc>
          <w:tcPr>
            <w:tcW w:w="2009" w:type="dxa"/>
            <w:gridSpan w:val="4"/>
            <w:tcBorders/>
            <w:shd w:fill="002F56" w:val="clear"/>
            <w:tcMar>
              <w:bottom w:w="0" w:type="dxa"/>
            </w:tcMar>
            <w:vAlign w:val="center"/>
          </w:tcPr>
          <w:p>
            <w:pPr>
              <w:pStyle w:val="TableContents"/>
              <w:bidi w:val="0"/>
              <w:spacing w:lineRule="atLeast" w:line="190" w:before="0" w:after="0"/>
              <w:jc w:val="center"/>
              <w:rPr/>
            </w:pPr>
            <w:r>
              <w:rPr>
                <w:spacing w:val="0"/>
              </w:rPr>
              <w:t>Component Achievement</w:t>
            </w:r>
            <w:r>
              <w:rPr/>
              <w:t xml:space="preserve"> </w:t>
              <w:br/>
            </w:r>
            <w:r>
              <w:rPr>
                <w:spacing w:val="-2"/>
              </w:rPr>
              <w:t xml:space="preserve">($) </w:t>
            </w:r>
          </w:p>
        </w:tc>
        <w:tc>
          <w:tcPr>
            <w:tcW w:w="157"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507"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&lt;75% (minimum) </w:t>
            </w:r>
          </w:p>
        </w:tc>
        <w:tc>
          <w:tcPr>
            <w:tcW w:w="194" w:type="dxa"/>
            <w:tcBorders>
              <w:bottom w:val="single" w:sz="6" w:space="0" w:color="CCCCCC"/>
            </w:tcBorders>
            <w:vAlign w:val="center"/>
          </w:tcPr>
          <w:p>
            <w:pPr>
              <w:pStyle w:val="TableContents"/>
              <w:bidi w:val="0"/>
              <w:spacing w:before="0" w:after="283"/>
              <w:jc w:val="left"/>
              <w:rPr/>
            </w:pPr>
            <w:r>
              <w:rPr/>
              <w:t>​</w:t>
            </w:r>
          </w:p>
        </w:tc>
        <w:tc>
          <w:tcPr>
            <w:tcW w:w="194"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tcMar>
              <w:bottom w:w="43" w:type="dxa"/>
            </w:tcMar>
            <w:vAlign w:val="center"/>
          </w:tcPr>
          <w:p>
            <w:pPr>
              <w:pStyle w:val="TableContents"/>
              <w:bidi w:val="0"/>
              <w:spacing w:before="0" w:after="283"/>
              <w:jc w:val="right"/>
              <w:rPr/>
            </w:pPr>
            <w:r>
              <w:rPr/>
              <w:t>​</w:t>
            </w:r>
          </w:p>
        </w:tc>
        <w:tc>
          <w:tcPr>
            <w:tcW w:w="1141" w:type="dxa"/>
            <w:tcBorders>
              <w:bottom w:val="single" w:sz="6" w:space="0" w:color="CCCCCC"/>
            </w:tcBorders>
            <w:tcMar>
              <w:bottom w:w="43" w:type="dxa"/>
            </w:tcMar>
            <w:vAlign w:val="center"/>
          </w:tcPr>
          <w:p>
            <w:pPr>
              <w:pStyle w:val="TableContents"/>
              <w:bidi w:val="0"/>
              <w:spacing w:before="0" w:after="283"/>
              <w:jc w:val="right"/>
              <w:rPr/>
            </w:pPr>
            <w:r>
              <w:rPr/>
              <w:t>0</w:t>
            </w:r>
          </w:p>
        </w:tc>
        <w:tc>
          <w:tcPr>
            <w:tcW w:w="238"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507"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75% </w:t>
            </w:r>
          </w:p>
        </w:tc>
        <w:tc>
          <w:tcPr>
            <w:tcW w:w="194" w:type="dxa"/>
            <w:tcBorders>
              <w:bottom w:val="single" w:sz="6" w:space="0" w:color="CCCCCC"/>
            </w:tcBorders>
            <w:vAlign w:val="center"/>
          </w:tcPr>
          <w:p>
            <w:pPr>
              <w:pStyle w:val="TableContents"/>
              <w:bidi w:val="0"/>
              <w:spacing w:before="0" w:after="283"/>
              <w:jc w:val="left"/>
              <w:rPr/>
            </w:pPr>
            <w:r>
              <w:rPr/>
              <w:t>​</w:t>
            </w:r>
          </w:p>
        </w:tc>
        <w:tc>
          <w:tcPr>
            <w:tcW w:w="194"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tcMar>
              <w:bottom w:w="43" w:type="dxa"/>
            </w:tcMar>
            <w:vAlign w:val="center"/>
          </w:tcPr>
          <w:p>
            <w:pPr>
              <w:pStyle w:val="TableContents"/>
              <w:bidi w:val="0"/>
              <w:spacing w:before="0" w:after="283"/>
              <w:jc w:val="right"/>
              <w:rPr/>
            </w:pPr>
            <w:r>
              <w:rPr/>
              <w:t>​</w:t>
            </w:r>
          </w:p>
        </w:tc>
        <w:tc>
          <w:tcPr>
            <w:tcW w:w="1141" w:type="dxa"/>
            <w:tcBorders>
              <w:bottom w:val="single" w:sz="6" w:space="0" w:color="CCCCCC"/>
            </w:tcBorders>
            <w:tcMar>
              <w:bottom w:w="43" w:type="dxa"/>
            </w:tcMar>
            <w:vAlign w:val="center"/>
          </w:tcPr>
          <w:p>
            <w:pPr>
              <w:pStyle w:val="TableContents"/>
              <w:bidi w:val="0"/>
              <w:spacing w:before="0" w:after="283"/>
              <w:jc w:val="right"/>
              <w:rPr/>
            </w:pPr>
            <w:r>
              <w:rPr/>
              <w:t>75</w:t>
            </w:r>
          </w:p>
        </w:tc>
        <w:tc>
          <w:tcPr>
            <w:tcW w:w="238"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507"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100% (target) </w:t>
            </w:r>
          </w:p>
        </w:tc>
        <w:tc>
          <w:tcPr>
            <w:tcW w:w="194" w:type="dxa"/>
            <w:tcBorders>
              <w:bottom w:val="single" w:sz="6" w:space="0" w:color="CCCCCC"/>
            </w:tcBorders>
            <w:vAlign w:val="center"/>
          </w:tcPr>
          <w:p>
            <w:pPr>
              <w:pStyle w:val="TableContents"/>
              <w:bidi w:val="0"/>
              <w:spacing w:before="0" w:after="283"/>
              <w:jc w:val="left"/>
              <w:rPr/>
            </w:pPr>
            <w:r>
              <w:rPr/>
              <w:t>​</w:t>
            </w:r>
          </w:p>
        </w:tc>
        <w:tc>
          <w:tcPr>
            <w:tcW w:w="194"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tcMar>
              <w:bottom w:w="43" w:type="dxa"/>
            </w:tcMar>
            <w:vAlign w:val="center"/>
          </w:tcPr>
          <w:p>
            <w:pPr>
              <w:pStyle w:val="TableContents"/>
              <w:bidi w:val="0"/>
              <w:spacing w:before="0" w:after="283"/>
              <w:jc w:val="right"/>
              <w:rPr/>
            </w:pPr>
            <w:r>
              <w:rPr/>
              <w:t>​</w:t>
            </w:r>
          </w:p>
        </w:tc>
        <w:tc>
          <w:tcPr>
            <w:tcW w:w="1141" w:type="dxa"/>
            <w:tcBorders>
              <w:bottom w:val="single" w:sz="6" w:space="0" w:color="CCCCCC"/>
            </w:tcBorders>
            <w:tcMar>
              <w:bottom w:w="43" w:type="dxa"/>
            </w:tcMar>
            <w:vAlign w:val="center"/>
          </w:tcPr>
          <w:p>
            <w:pPr>
              <w:pStyle w:val="TableContents"/>
              <w:bidi w:val="0"/>
              <w:spacing w:before="0" w:after="283"/>
              <w:jc w:val="right"/>
              <w:rPr/>
            </w:pPr>
            <w:r>
              <w:rPr/>
              <w:t>100</w:t>
            </w:r>
          </w:p>
        </w:tc>
        <w:tc>
          <w:tcPr>
            <w:tcW w:w="238"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507"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120% </w:t>
            </w:r>
          </w:p>
        </w:tc>
        <w:tc>
          <w:tcPr>
            <w:tcW w:w="194" w:type="dxa"/>
            <w:tcBorders>
              <w:bottom w:val="single" w:sz="6" w:space="0" w:color="CCCCCC"/>
            </w:tcBorders>
            <w:vAlign w:val="center"/>
          </w:tcPr>
          <w:p>
            <w:pPr>
              <w:pStyle w:val="TableContents"/>
              <w:bidi w:val="0"/>
              <w:spacing w:before="0" w:after="283"/>
              <w:jc w:val="left"/>
              <w:rPr/>
            </w:pPr>
            <w:r>
              <w:rPr/>
              <w:t>​</w:t>
            </w:r>
          </w:p>
        </w:tc>
        <w:tc>
          <w:tcPr>
            <w:tcW w:w="194"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vAlign w:val="center"/>
          </w:tcPr>
          <w:p>
            <w:pPr>
              <w:pStyle w:val="TableContents"/>
              <w:bidi w:val="0"/>
              <w:spacing w:before="0" w:after="283"/>
              <w:jc w:val="left"/>
              <w:rPr/>
            </w:pPr>
            <w:r>
              <w:rPr/>
              <w:t>​</w:t>
            </w:r>
          </w:p>
        </w:tc>
        <w:tc>
          <w:tcPr>
            <w:tcW w:w="315" w:type="dxa"/>
            <w:tcBorders>
              <w:bottom w:val="single" w:sz="6" w:space="0" w:color="CCCCCC"/>
            </w:tcBorders>
            <w:tcMar>
              <w:bottom w:w="43" w:type="dxa"/>
            </w:tcMar>
            <w:vAlign w:val="center"/>
          </w:tcPr>
          <w:p>
            <w:pPr>
              <w:pStyle w:val="TableContents"/>
              <w:bidi w:val="0"/>
              <w:spacing w:before="0" w:after="283"/>
              <w:jc w:val="right"/>
              <w:rPr/>
            </w:pPr>
            <w:r>
              <w:rPr/>
              <w:t>​</w:t>
            </w:r>
          </w:p>
        </w:tc>
        <w:tc>
          <w:tcPr>
            <w:tcW w:w="1141" w:type="dxa"/>
            <w:tcBorders>
              <w:bottom w:val="single" w:sz="6" w:space="0" w:color="CCCCCC"/>
            </w:tcBorders>
            <w:tcMar>
              <w:bottom w:w="43" w:type="dxa"/>
            </w:tcMar>
            <w:vAlign w:val="center"/>
          </w:tcPr>
          <w:p>
            <w:pPr>
              <w:pStyle w:val="TableContents"/>
              <w:bidi w:val="0"/>
              <w:spacing w:before="0" w:after="283"/>
              <w:jc w:val="right"/>
              <w:rPr/>
            </w:pPr>
            <w:r>
              <w:rPr/>
              <w:t>200</w:t>
            </w:r>
          </w:p>
        </w:tc>
        <w:tc>
          <w:tcPr>
            <w:tcW w:w="238"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6507" w:type="dxa"/>
            <w:tcBorders>
              <w:bottom w:val="single" w:sz="12" w:space="0" w:color="71B1C8"/>
            </w:tcBorders>
            <w:tcMar>
              <w:bottom w:w="35" w:type="dxa"/>
            </w:tcMar>
            <w:vAlign w:val="center"/>
          </w:tcPr>
          <w:p>
            <w:pPr>
              <w:pStyle w:val="TableContents"/>
              <w:bidi w:val="0"/>
              <w:spacing w:before="0" w:after="283"/>
              <w:jc w:val="left"/>
              <w:rPr>
                <w:spacing w:val="-1"/>
              </w:rPr>
            </w:pPr>
            <w:r>
              <w:rPr>
                <w:spacing w:val="-1"/>
              </w:rPr>
              <w:t xml:space="preserve">130+% (maximum) </w:t>
            </w:r>
          </w:p>
        </w:tc>
        <w:tc>
          <w:tcPr>
            <w:tcW w:w="194" w:type="dxa"/>
            <w:tcBorders>
              <w:bottom w:val="single" w:sz="12" w:space="0" w:color="71B1C8"/>
            </w:tcBorders>
            <w:vAlign w:val="center"/>
          </w:tcPr>
          <w:p>
            <w:pPr>
              <w:pStyle w:val="TableContents"/>
              <w:bidi w:val="0"/>
              <w:spacing w:before="0" w:after="283"/>
              <w:jc w:val="left"/>
              <w:rPr/>
            </w:pPr>
            <w:r>
              <w:rPr/>
              <w:t>​</w:t>
            </w:r>
          </w:p>
        </w:tc>
        <w:tc>
          <w:tcPr>
            <w:tcW w:w="194" w:type="dxa"/>
            <w:tcBorders>
              <w:bottom w:val="single" w:sz="12" w:space="0" w:color="71B1C8"/>
            </w:tcBorders>
            <w:vAlign w:val="center"/>
          </w:tcPr>
          <w:p>
            <w:pPr>
              <w:pStyle w:val="TableContents"/>
              <w:bidi w:val="0"/>
              <w:spacing w:before="0" w:after="283"/>
              <w:jc w:val="left"/>
              <w:rPr/>
            </w:pPr>
            <w:r>
              <w:rPr/>
              <w:t>​</w:t>
            </w:r>
          </w:p>
        </w:tc>
        <w:tc>
          <w:tcPr>
            <w:tcW w:w="315" w:type="dxa"/>
            <w:tcBorders>
              <w:bottom w:val="single" w:sz="12" w:space="0" w:color="71B1C8"/>
            </w:tcBorders>
            <w:vAlign w:val="center"/>
          </w:tcPr>
          <w:p>
            <w:pPr>
              <w:pStyle w:val="TableContents"/>
              <w:bidi w:val="0"/>
              <w:spacing w:before="0" w:after="283"/>
              <w:jc w:val="left"/>
              <w:rPr/>
            </w:pPr>
            <w:r>
              <w:rPr/>
              <w:t>​</w:t>
            </w:r>
          </w:p>
        </w:tc>
        <w:tc>
          <w:tcPr>
            <w:tcW w:w="315" w:type="dxa"/>
            <w:tcBorders>
              <w:bottom w:val="single" w:sz="12" w:space="0" w:color="71B1C8"/>
            </w:tcBorders>
            <w:tcMar>
              <w:bottom w:w="35" w:type="dxa"/>
            </w:tcMar>
            <w:vAlign w:val="center"/>
          </w:tcPr>
          <w:p>
            <w:pPr>
              <w:pStyle w:val="TableContents"/>
              <w:bidi w:val="0"/>
              <w:spacing w:before="0" w:after="283"/>
              <w:jc w:val="right"/>
              <w:rPr/>
            </w:pPr>
            <w:r>
              <w:rPr/>
              <w:t>​</w:t>
            </w:r>
          </w:p>
        </w:tc>
        <w:tc>
          <w:tcPr>
            <w:tcW w:w="1141" w:type="dxa"/>
            <w:tcBorders>
              <w:bottom w:val="single" w:sz="12" w:space="0" w:color="71B1C8"/>
            </w:tcBorders>
            <w:tcMar>
              <w:bottom w:w="35" w:type="dxa"/>
            </w:tcMar>
            <w:vAlign w:val="center"/>
          </w:tcPr>
          <w:p>
            <w:pPr>
              <w:pStyle w:val="TableContents"/>
              <w:bidi w:val="0"/>
              <w:spacing w:before="0" w:after="283"/>
              <w:jc w:val="right"/>
              <w:rPr/>
            </w:pPr>
            <w:r>
              <w:rPr/>
              <w:t>300</w:t>
            </w:r>
          </w:p>
        </w:tc>
        <w:tc>
          <w:tcPr>
            <w:tcW w:w="238" w:type="dxa"/>
            <w:tcBorders>
              <w:bottom w:val="single" w:sz="12" w:space="0" w:color="71B1C8"/>
            </w:tcBorders>
            <w:vAlign w:val="center"/>
          </w:tcPr>
          <w:p>
            <w:pPr>
              <w:pStyle w:val="TableContents"/>
              <w:bidi w:val="0"/>
              <w:spacing w:before="0" w:after="283"/>
              <w:jc w:val="left"/>
              <w:rPr/>
            </w:pPr>
            <w:r>
              <w:rPr/>
              <w:t>​</w:t>
            </w:r>
          </w:p>
        </w:tc>
        <w:tc>
          <w:tcPr>
            <w:tcW w:w="157" w:type="dxa"/>
            <w:tcBorders>
              <w:bottom w:val="single" w:sz="12" w:space="0" w:color="71B1C8"/>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28" w:type="dxa"/>
          <w:right w:w="0" w:type="dxa"/>
        </w:tblCellMar>
      </w:tblPr>
      <w:tblGrid>
        <w:gridCol w:w="124"/>
        <w:gridCol w:w="6286"/>
        <w:gridCol w:w="172"/>
        <w:gridCol w:w="172"/>
        <w:gridCol w:w="313"/>
        <w:gridCol w:w="313"/>
        <w:gridCol w:w="1348"/>
        <w:gridCol w:w="300"/>
        <w:gridCol w:w="157"/>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4" w:type="dxa"/>
            <w:gridSpan w:val="7"/>
            <w:tcBorders>
              <w:bottom w:val="single" w:sz="24" w:space="0" w:color="FEFEFE"/>
            </w:tcBorders>
            <w:shd w:fill="002F56" w:val="clear"/>
            <w:tcMar>
              <w:bottom w:w="70" w:type="dxa"/>
            </w:tcMar>
            <w:vAlign w:val="center"/>
          </w:tcPr>
          <w:p>
            <w:pPr>
              <w:pStyle w:val="TableContents"/>
              <w:bidi w:val="0"/>
              <w:spacing w:before="0" w:after="0"/>
              <w:jc w:val="center"/>
              <w:rPr/>
            </w:pPr>
            <w:r>
              <w:rPr>
                <w:spacing w:val="-6"/>
              </w:rPr>
              <w:t>COMPANY STOCK COMPARISON TO THE PEER COMPANY INDEX (1/3 OF UNIT VALUE)</w:t>
            </w:r>
            <w:r>
              <w:rPr/>
              <w:t xml:space="preserve">​ </w:t>
            </w:r>
          </w:p>
        </w:tc>
        <w:tc>
          <w:tcPr>
            <w:tcW w:w="157"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6286" w:type="dxa"/>
            <w:tcBorders/>
            <w:shd w:fill="002F56" w:val="clear"/>
            <w:tcMar>
              <w:bottom w:w="0" w:type="dxa"/>
            </w:tcMar>
            <w:vAlign w:val="center"/>
          </w:tcPr>
          <w:p>
            <w:pPr>
              <w:pStyle w:val="TableContents"/>
              <w:bidi w:val="0"/>
              <w:spacing w:before="0" w:after="0"/>
              <w:jc w:val="left"/>
              <w:rPr>
                <w:spacing w:val="0"/>
              </w:rPr>
            </w:pPr>
            <w:r>
              <w:rPr>
                <w:spacing w:val="0"/>
              </w:rPr>
              <w:t xml:space="preserve">Company TSR Performance as a % of Target </w:t>
            </w:r>
          </w:p>
        </w:tc>
        <w:tc>
          <w:tcPr>
            <w:tcW w:w="172" w:type="dxa"/>
            <w:tcBorders/>
            <w:shd w:fill="002F56" w:val="clear"/>
            <w:tcMar>
              <w:bottom w:w="0" w:type="dxa"/>
            </w:tcMar>
            <w:vAlign w:val="center"/>
          </w:tcPr>
          <w:p>
            <w:pPr>
              <w:pStyle w:val="TableContents"/>
              <w:bidi w:val="0"/>
              <w:spacing w:before="0" w:after="283"/>
              <w:jc w:val="left"/>
              <w:rPr/>
            </w:pPr>
            <w:r>
              <w:rPr/>
              <w:t>​</w:t>
            </w:r>
          </w:p>
        </w:tc>
        <w:tc>
          <w:tcPr>
            <w:tcW w:w="172" w:type="dxa"/>
            <w:tcBorders/>
            <w:shd w:fill="002F56" w:val="clear"/>
            <w:tcMar>
              <w:bottom w:w="0" w:type="dxa"/>
            </w:tcMar>
            <w:vAlign w:val="center"/>
          </w:tcPr>
          <w:p>
            <w:pPr>
              <w:pStyle w:val="TableContents"/>
              <w:bidi w:val="0"/>
              <w:spacing w:before="0" w:after="283"/>
              <w:jc w:val="left"/>
              <w:rPr/>
            </w:pPr>
            <w:r>
              <w:rPr/>
              <w:t>​</w:t>
            </w:r>
          </w:p>
        </w:tc>
        <w:tc>
          <w:tcPr>
            <w:tcW w:w="2274" w:type="dxa"/>
            <w:gridSpan w:val="4"/>
            <w:tcBorders/>
            <w:shd w:fill="002F56" w:val="clear"/>
            <w:tcMar>
              <w:bottom w:w="0" w:type="dxa"/>
            </w:tcMar>
            <w:vAlign w:val="center"/>
          </w:tcPr>
          <w:p>
            <w:pPr>
              <w:pStyle w:val="TableContents"/>
              <w:bidi w:val="0"/>
              <w:spacing w:lineRule="atLeast" w:line="190" w:before="0" w:after="0"/>
              <w:jc w:val="center"/>
              <w:rPr/>
            </w:pPr>
            <w:r>
              <w:rPr>
                <w:spacing w:val="0"/>
              </w:rPr>
              <w:t>Component Achievement</w:t>
            </w:r>
            <w:r>
              <w:rPr/>
              <w:t xml:space="preserve"> </w:t>
              <w:br/>
            </w:r>
            <w:r>
              <w:rPr>
                <w:spacing w:val="-2"/>
              </w:rPr>
              <w:t xml:space="preserve">($) </w:t>
            </w:r>
          </w:p>
        </w:tc>
        <w:tc>
          <w:tcPr>
            <w:tcW w:w="157"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286"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&lt;75% (minimum) </w:t>
            </w:r>
          </w:p>
        </w:tc>
        <w:tc>
          <w:tcPr>
            <w:tcW w:w="172" w:type="dxa"/>
            <w:tcBorders>
              <w:bottom w:val="single" w:sz="6" w:space="0" w:color="CCCCCC"/>
            </w:tcBorders>
            <w:vAlign w:val="center"/>
          </w:tcPr>
          <w:p>
            <w:pPr>
              <w:pStyle w:val="TableContents"/>
              <w:bidi w:val="0"/>
              <w:spacing w:before="0" w:after="283"/>
              <w:jc w:val="left"/>
              <w:rPr/>
            </w:pPr>
            <w:r>
              <w:rPr/>
              <w:t>​</w:t>
            </w:r>
          </w:p>
        </w:tc>
        <w:tc>
          <w:tcPr>
            <w:tcW w:w="172"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tcMar>
              <w:bottom w:w="43" w:type="dxa"/>
            </w:tcMar>
            <w:vAlign w:val="center"/>
          </w:tcPr>
          <w:p>
            <w:pPr>
              <w:pStyle w:val="TableContents"/>
              <w:bidi w:val="0"/>
              <w:spacing w:before="0" w:after="283"/>
              <w:jc w:val="right"/>
              <w:rPr/>
            </w:pPr>
            <w:r>
              <w:rPr/>
              <w:t>​</w:t>
            </w:r>
          </w:p>
        </w:tc>
        <w:tc>
          <w:tcPr>
            <w:tcW w:w="1348" w:type="dxa"/>
            <w:tcBorders>
              <w:bottom w:val="single" w:sz="6" w:space="0" w:color="CCCCCC"/>
            </w:tcBorders>
            <w:tcMar>
              <w:bottom w:w="43" w:type="dxa"/>
            </w:tcMar>
            <w:vAlign w:val="center"/>
          </w:tcPr>
          <w:p>
            <w:pPr>
              <w:pStyle w:val="TableContents"/>
              <w:bidi w:val="0"/>
              <w:spacing w:before="0" w:after="283"/>
              <w:jc w:val="right"/>
              <w:rPr/>
            </w:pPr>
            <w:r>
              <w:rPr/>
              <w:t>0</w:t>
            </w:r>
          </w:p>
        </w:tc>
        <w:tc>
          <w:tcPr>
            <w:tcW w:w="300"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286"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75% </w:t>
            </w:r>
          </w:p>
        </w:tc>
        <w:tc>
          <w:tcPr>
            <w:tcW w:w="172" w:type="dxa"/>
            <w:tcBorders>
              <w:bottom w:val="single" w:sz="6" w:space="0" w:color="CCCCCC"/>
            </w:tcBorders>
            <w:vAlign w:val="center"/>
          </w:tcPr>
          <w:p>
            <w:pPr>
              <w:pStyle w:val="TableContents"/>
              <w:bidi w:val="0"/>
              <w:spacing w:before="0" w:after="283"/>
              <w:jc w:val="left"/>
              <w:rPr/>
            </w:pPr>
            <w:r>
              <w:rPr/>
              <w:t>​</w:t>
            </w:r>
          </w:p>
        </w:tc>
        <w:tc>
          <w:tcPr>
            <w:tcW w:w="172"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tcMar>
              <w:bottom w:w="43" w:type="dxa"/>
            </w:tcMar>
            <w:vAlign w:val="center"/>
          </w:tcPr>
          <w:p>
            <w:pPr>
              <w:pStyle w:val="TableContents"/>
              <w:bidi w:val="0"/>
              <w:spacing w:before="0" w:after="283"/>
              <w:jc w:val="right"/>
              <w:rPr/>
            </w:pPr>
            <w:r>
              <w:rPr/>
              <w:t>​</w:t>
            </w:r>
          </w:p>
        </w:tc>
        <w:tc>
          <w:tcPr>
            <w:tcW w:w="1348" w:type="dxa"/>
            <w:tcBorders>
              <w:bottom w:val="single" w:sz="6" w:space="0" w:color="CCCCCC"/>
            </w:tcBorders>
            <w:tcMar>
              <w:bottom w:w="43" w:type="dxa"/>
            </w:tcMar>
            <w:vAlign w:val="center"/>
          </w:tcPr>
          <w:p>
            <w:pPr>
              <w:pStyle w:val="TableContents"/>
              <w:bidi w:val="0"/>
              <w:spacing w:before="0" w:after="283"/>
              <w:jc w:val="right"/>
              <w:rPr/>
            </w:pPr>
            <w:r>
              <w:rPr/>
              <w:t>40</w:t>
            </w:r>
          </w:p>
        </w:tc>
        <w:tc>
          <w:tcPr>
            <w:tcW w:w="300"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286"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100% </w:t>
            </w:r>
          </w:p>
        </w:tc>
        <w:tc>
          <w:tcPr>
            <w:tcW w:w="172" w:type="dxa"/>
            <w:tcBorders>
              <w:bottom w:val="single" w:sz="6" w:space="0" w:color="CCCCCC"/>
            </w:tcBorders>
            <w:vAlign w:val="center"/>
          </w:tcPr>
          <w:p>
            <w:pPr>
              <w:pStyle w:val="TableContents"/>
              <w:bidi w:val="0"/>
              <w:spacing w:before="0" w:after="283"/>
              <w:jc w:val="left"/>
              <w:rPr/>
            </w:pPr>
            <w:r>
              <w:rPr/>
              <w:t>​</w:t>
            </w:r>
          </w:p>
        </w:tc>
        <w:tc>
          <w:tcPr>
            <w:tcW w:w="172"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tcMar>
              <w:bottom w:w="43" w:type="dxa"/>
            </w:tcMar>
            <w:vAlign w:val="center"/>
          </w:tcPr>
          <w:p>
            <w:pPr>
              <w:pStyle w:val="TableContents"/>
              <w:bidi w:val="0"/>
              <w:spacing w:before="0" w:after="283"/>
              <w:jc w:val="right"/>
              <w:rPr/>
            </w:pPr>
            <w:r>
              <w:rPr/>
              <w:t>​</w:t>
            </w:r>
          </w:p>
        </w:tc>
        <w:tc>
          <w:tcPr>
            <w:tcW w:w="1348" w:type="dxa"/>
            <w:tcBorders>
              <w:bottom w:val="single" w:sz="6" w:space="0" w:color="CCCCCC"/>
            </w:tcBorders>
            <w:tcMar>
              <w:bottom w:w="43" w:type="dxa"/>
            </w:tcMar>
            <w:vAlign w:val="center"/>
          </w:tcPr>
          <w:p>
            <w:pPr>
              <w:pStyle w:val="TableContents"/>
              <w:bidi w:val="0"/>
              <w:spacing w:before="0" w:after="283"/>
              <w:jc w:val="right"/>
              <w:rPr/>
            </w:pPr>
            <w:r>
              <w:rPr/>
              <w:t>90</w:t>
            </w:r>
          </w:p>
        </w:tc>
        <w:tc>
          <w:tcPr>
            <w:tcW w:w="300"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286"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110% (target) </w:t>
            </w:r>
          </w:p>
        </w:tc>
        <w:tc>
          <w:tcPr>
            <w:tcW w:w="172" w:type="dxa"/>
            <w:tcBorders>
              <w:bottom w:val="single" w:sz="6" w:space="0" w:color="CCCCCC"/>
            </w:tcBorders>
            <w:vAlign w:val="center"/>
          </w:tcPr>
          <w:p>
            <w:pPr>
              <w:pStyle w:val="TableContents"/>
              <w:bidi w:val="0"/>
              <w:spacing w:before="0" w:after="283"/>
              <w:jc w:val="left"/>
              <w:rPr/>
            </w:pPr>
            <w:r>
              <w:rPr/>
              <w:t>​</w:t>
            </w:r>
          </w:p>
        </w:tc>
        <w:tc>
          <w:tcPr>
            <w:tcW w:w="172"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tcMar>
              <w:bottom w:w="43" w:type="dxa"/>
            </w:tcMar>
            <w:vAlign w:val="center"/>
          </w:tcPr>
          <w:p>
            <w:pPr>
              <w:pStyle w:val="TableContents"/>
              <w:bidi w:val="0"/>
              <w:spacing w:before="0" w:after="283"/>
              <w:jc w:val="right"/>
              <w:rPr/>
            </w:pPr>
            <w:r>
              <w:rPr/>
              <w:t>​</w:t>
            </w:r>
          </w:p>
        </w:tc>
        <w:tc>
          <w:tcPr>
            <w:tcW w:w="1348" w:type="dxa"/>
            <w:tcBorders>
              <w:bottom w:val="single" w:sz="6" w:space="0" w:color="CCCCCC"/>
            </w:tcBorders>
            <w:tcMar>
              <w:bottom w:w="43" w:type="dxa"/>
            </w:tcMar>
            <w:vAlign w:val="center"/>
          </w:tcPr>
          <w:p>
            <w:pPr>
              <w:pStyle w:val="TableContents"/>
              <w:bidi w:val="0"/>
              <w:spacing w:before="0" w:after="283"/>
              <w:jc w:val="right"/>
              <w:rPr/>
            </w:pPr>
            <w:r>
              <w:rPr/>
              <w:t>100</w:t>
            </w:r>
          </w:p>
        </w:tc>
        <w:tc>
          <w:tcPr>
            <w:tcW w:w="300"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286" w:type="dxa"/>
            <w:tcBorders>
              <w:bottom w:val="single" w:sz="6" w:space="0" w:color="CCCCCC"/>
            </w:tcBorders>
            <w:tcMar>
              <w:bottom w:w="43" w:type="dxa"/>
            </w:tcMar>
            <w:vAlign w:val="center"/>
          </w:tcPr>
          <w:p>
            <w:pPr>
              <w:pStyle w:val="TableContents"/>
              <w:bidi w:val="0"/>
              <w:spacing w:before="0" w:after="283"/>
              <w:jc w:val="left"/>
              <w:rPr>
                <w:spacing w:val="-1"/>
              </w:rPr>
            </w:pPr>
            <w:r>
              <w:rPr>
                <w:spacing w:val="-1"/>
              </w:rPr>
              <w:t xml:space="preserve">120% </w:t>
            </w:r>
          </w:p>
        </w:tc>
        <w:tc>
          <w:tcPr>
            <w:tcW w:w="172" w:type="dxa"/>
            <w:tcBorders>
              <w:bottom w:val="single" w:sz="6" w:space="0" w:color="CCCCCC"/>
            </w:tcBorders>
            <w:vAlign w:val="center"/>
          </w:tcPr>
          <w:p>
            <w:pPr>
              <w:pStyle w:val="TableContents"/>
              <w:bidi w:val="0"/>
              <w:spacing w:before="0" w:after="283"/>
              <w:jc w:val="left"/>
              <w:rPr/>
            </w:pPr>
            <w:r>
              <w:rPr/>
              <w:t>​</w:t>
            </w:r>
          </w:p>
        </w:tc>
        <w:tc>
          <w:tcPr>
            <w:tcW w:w="172"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vAlign w:val="center"/>
          </w:tcPr>
          <w:p>
            <w:pPr>
              <w:pStyle w:val="TableContents"/>
              <w:bidi w:val="0"/>
              <w:spacing w:before="0" w:after="283"/>
              <w:jc w:val="left"/>
              <w:rPr/>
            </w:pPr>
            <w:r>
              <w:rPr/>
              <w:t>​</w:t>
            </w:r>
          </w:p>
        </w:tc>
        <w:tc>
          <w:tcPr>
            <w:tcW w:w="313" w:type="dxa"/>
            <w:tcBorders>
              <w:bottom w:val="single" w:sz="6" w:space="0" w:color="CCCCCC"/>
            </w:tcBorders>
            <w:tcMar>
              <w:bottom w:w="43" w:type="dxa"/>
            </w:tcMar>
            <w:vAlign w:val="center"/>
          </w:tcPr>
          <w:p>
            <w:pPr>
              <w:pStyle w:val="TableContents"/>
              <w:bidi w:val="0"/>
              <w:spacing w:before="0" w:after="283"/>
              <w:jc w:val="right"/>
              <w:rPr/>
            </w:pPr>
            <w:r>
              <w:rPr/>
              <w:t>​</w:t>
            </w:r>
          </w:p>
        </w:tc>
        <w:tc>
          <w:tcPr>
            <w:tcW w:w="1348" w:type="dxa"/>
            <w:tcBorders>
              <w:bottom w:val="single" w:sz="6" w:space="0" w:color="CCCCCC"/>
            </w:tcBorders>
            <w:tcMar>
              <w:bottom w:w="43" w:type="dxa"/>
            </w:tcMar>
            <w:vAlign w:val="center"/>
          </w:tcPr>
          <w:p>
            <w:pPr>
              <w:pStyle w:val="TableContents"/>
              <w:bidi w:val="0"/>
              <w:spacing w:before="0" w:after="283"/>
              <w:jc w:val="right"/>
              <w:rPr/>
            </w:pPr>
            <w:r>
              <w:rPr/>
              <w:t>200</w:t>
            </w:r>
          </w:p>
        </w:tc>
        <w:tc>
          <w:tcPr>
            <w:tcW w:w="300" w:type="dxa"/>
            <w:tcBorders>
              <w:bottom w:val="single" w:sz="6" w:space="0" w:color="CCCCCC"/>
            </w:tcBorders>
            <w:vAlign w:val="center"/>
          </w:tcPr>
          <w:p>
            <w:pPr>
              <w:pStyle w:val="TableContents"/>
              <w:bidi w:val="0"/>
              <w:spacing w:before="0" w:after="283"/>
              <w:jc w:val="left"/>
              <w:rPr/>
            </w:pPr>
            <w:r>
              <w:rPr/>
              <w:t>​</w:t>
            </w:r>
          </w:p>
        </w:tc>
        <w:tc>
          <w:tcPr>
            <w:tcW w:w="157"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6286" w:type="dxa"/>
            <w:tcBorders>
              <w:bottom w:val="single" w:sz="12" w:space="0" w:color="71B1C8"/>
            </w:tcBorders>
            <w:tcMar>
              <w:bottom w:w="35" w:type="dxa"/>
            </w:tcMar>
            <w:vAlign w:val="center"/>
          </w:tcPr>
          <w:p>
            <w:pPr>
              <w:pStyle w:val="TableContents"/>
              <w:bidi w:val="0"/>
              <w:spacing w:before="0" w:after="283"/>
              <w:jc w:val="left"/>
              <w:rPr>
                <w:spacing w:val="-1"/>
              </w:rPr>
            </w:pPr>
            <w:r>
              <w:rPr>
                <w:spacing w:val="-1"/>
              </w:rPr>
              <w:t xml:space="preserve">130+% (maximum) </w:t>
            </w:r>
          </w:p>
        </w:tc>
        <w:tc>
          <w:tcPr>
            <w:tcW w:w="172" w:type="dxa"/>
            <w:tcBorders>
              <w:bottom w:val="single" w:sz="12" w:space="0" w:color="71B1C8"/>
            </w:tcBorders>
            <w:vAlign w:val="center"/>
          </w:tcPr>
          <w:p>
            <w:pPr>
              <w:pStyle w:val="TableContents"/>
              <w:bidi w:val="0"/>
              <w:spacing w:before="0" w:after="283"/>
              <w:jc w:val="left"/>
              <w:rPr/>
            </w:pPr>
            <w:r>
              <w:rPr/>
              <w:t>​</w:t>
            </w:r>
          </w:p>
        </w:tc>
        <w:tc>
          <w:tcPr>
            <w:tcW w:w="172" w:type="dxa"/>
            <w:tcBorders>
              <w:bottom w:val="single" w:sz="12" w:space="0" w:color="71B1C8"/>
            </w:tcBorders>
            <w:vAlign w:val="center"/>
          </w:tcPr>
          <w:p>
            <w:pPr>
              <w:pStyle w:val="TableContents"/>
              <w:bidi w:val="0"/>
              <w:spacing w:before="0" w:after="283"/>
              <w:jc w:val="left"/>
              <w:rPr/>
            </w:pPr>
            <w:r>
              <w:rPr/>
              <w:t>​</w:t>
            </w:r>
          </w:p>
        </w:tc>
        <w:tc>
          <w:tcPr>
            <w:tcW w:w="313" w:type="dxa"/>
            <w:tcBorders>
              <w:bottom w:val="single" w:sz="12" w:space="0" w:color="71B1C8"/>
            </w:tcBorders>
            <w:vAlign w:val="center"/>
          </w:tcPr>
          <w:p>
            <w:pPr>
              <w:pStyle w:val="TableContents"/>
              <w:bidi w:val="0"/>
              <w:spacing w:before="0" w:after="283"/>
              <w:jc w:val="left"/>
              <w:rPr/>
            </w:pPr>
            <w:r>
              <w:rPr/>
              <w:t>​</w:t>
            </w:r>
          </w:p>
        </w:tc>
        <w:tc>
          <w:tcPr>
            <w:tcW w:w="313" w:type="dxa"/>
            <w:tcBorders>
              <w:bottom w:val="single" w:sz="12" w:space="0" w:color="71B1C8"/>
            </w:tcBorders>
            <w:tcMar>
              <w:bottom w:w="35" w:type="dxa"/>
            </w:tcMar>
            <w:vAlign w:val="center"/>
          </w:tcPr>
          <w:p>
            <w:pPr>
              <w:pStyle w:val="TableContents"/>
              <w:bidi w:val="0"/>
              <w:spacing w:before="0" w:after="283"/>
              <w:jc w:val="right"/>
              <w:rPr/>
            </w:pPr>
            <w:r>
              <w:rPr/>
              <w:t>​</w:t>
            </w:r>
          </w:p>
        </w:tc>
        <w:tc>
          <w:tcPr>
            <w:tcW w:w="1348" w:type="dxa"/>
            <w:tcBorders>
              <w:bottom w:val="single" w:sz="12" w:space="0" w:color="71B1C8"/>
            </w:tcBorders>
            <w:tcMar>
              <w:bottom w:w="35" w:type="dxa"/>
            </w:tcMar>
            <w:vAlign w:val="center"/>
          </w:tcPr>
          <w:p>
            <w:pPr>
              <w:pStyle w:val="TableContents"/>
              <w:bidi w:val="0"/>
              <w:spacing w:before="0" w:after="283"/>
              <w:jc w:val="right"/>
              <w:rPr/>
            </w:pPr>
            <w:r>
              <w:rPr/>
              <w:t>300</w:t>
            </w:r>
          </w:p>
        </w:tc>
        <w:tc>
          <w:tcPr>
            <w:tcW w:w="300" w:type="dxa"/>
            <w:tcBorders>
              <w:bottom w:val="single" w:sz="12" w:space="0" w:color="71B1C8"/>
            </w:tcBorders>
            <w:vAlign w:val="center"/>
          </w:tcPr>
          <w:p>
            <w:pPr>
              <w:pStyle w:val="TableContents"/>
              <w:bidi w:val="0"/>
              <w:spacing w:before="0" w:after="283"/>
              <w:jc w:val="left"/>
              <w:rPr/>
            </w:pPr>
            <w:r>
              <w:rPr/>
              <w:t>​</w:t>
            </w:r>
          </w:p>
        </w:tc>
        <w:tc>
          <w:tcPr>
            <w:tcW w:w="157"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52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2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After each of the component payout amounts are determined, the three component payout amounts are averaged together to determine an overall Performance Units payout amount. For example, if for a Performance Unit, one component performance metric is achieved at the target level (yielding $100 for such component), one is achieved at the threshold level (yielding $75 for such component), and one is achieved at the maximum level (yielding $300 for such component), the performances together will result in a final payout value for the Performance Unit of $158.33 (the average of $100, $75, and $300). Performance Units have an overall target value of $100 if each of the three components are achieved at target performance. The Performance Unit value is paid out in cash at the end of the performance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2023 Performance Unit Payouts</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January 2026, the Committee reviewed the results of Performance Units granted in 2023, which had a performance period that ended December 31, 2025. The Company’s performance during the performance period, and the resulting payout on these Performance Units, which had a target payout of $100, was as follows: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3746"/>
        <w:gridCol w:w="109"/>
        <w:gridCol w:w="109"/>
        <w:gridCol w:w="157"/>
        <w:gridCol w:w="157"/>
        <w:gridCol w:w="1111"/>
        <w:gridCol w:w="158"/>
        <w:gridCol w:w="109"/>
        <w:gridCol w:w="109"/>
        <w:gridCol w:w="182"/>
        <w:gridCol w:w="182"/>
        <w:gridCol w:w="780"/>
        <w:gridCol w:w="184"/>
        <w:gridCol w:w="109"/>
        <w:gridCol w:w="109"/>
        <w:gridCol w:w="178"/>
        <w:gridCol w:w="178"/>
        <w:gridCol w:w="1055"/>
        <w:gridCol w:w="179"/>
        <w:gridCol w:w="160"/>
      </w:tblGrid>
      <w:tr>
        <w:trPr/>
        <w:tc>
          <w:tcPr>
            <w:tcW w:w="124" w:type="dxa"/>
            <w:tcBorders/>
            <w:shd w:fill="002F56" w:val="clear"/>
            <w:vAlign w:val="center"/>
          </w:tcPr>
          <w:p>
            <w:pPr>
              <w:pStyle w:val="TableContents"/>
              <w:bidi w:val="0"/>
              <w:spacing w:before="0" w:after="283"/>
              <w:jc w:val="left"/>
              <w:rPr/>
            </w:pPr>
            <w:r>
              <w:rPr/>
              <w:t>​</w:t>
            </w:r>
          </w:p>
        </w:tc>
        <w:tc>
          <w:tcPr>
            <w:tcW w:w="3746" w:type="dxa"/>
            <w:tcBorders/>
            <w:shd w:fill="002F56" w:val="clear"/>
            <w:vAlign w:val="center"/>
          </w:tcPr>
          <w:p>
            <w:pPr>
              <w:pStyle w:val="TableContents"/>
              <w:bidi w:val="0"/>
              <w:spacing w:before="0" w:after="0"/>
              <w:jc w:val="left"/>
              <w:rPr>
                <w:spacing w:val="0"/>
              </w:rPr>
            </w:pPr>
            <w:r>
              <w:rPr>
                <w:spacing w:val="0"/>
              </w:rPr>
              <w:t xml:space="preserve">Performance Measure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583" w:type="dxa"/>
            <w:gridSpan w:val="4"/>
            <w:tcBorders/>
            <w:shd w:fill="002F56" w:val="clear"/>
            <w:vAlign w:val="center"/>
          </w:tcPr>
          <w:p>
            <w:pPr>
              <w:pStyle w:val="TableContents"/>
              <w:bidi w:val="0"/>
              <w:spacing w:before="0" w:after="0"/>
              <w:jc w:val="center"/>
              <w:rPr/>
            </w:pPr>
            <w:r>
              <w:rPr>
                <w:spacing w:val="0"/>
              </w:rPr>
              <w:t xml:space="preserve">Target Component </w:t>
              <w:br/>
              <w:t>Achievement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28" w:type="dxa"/>
            <w:gridSpan w:val="4"/>
            <w:tcBorders/>
            <w:shd w:fill="002F56" w:val="clear"/>
            <w:vAlign w:val="center"/>
          </w:tcPr>
          <w:p>
            <w:pPr>
              <w:pStyle w:val="TableContents"/>
              <w:bidi w:val="0"/>
              <w:spacing w:before="0" w:after="0"/>
              <w:jc w:val="center"/>
              <w:rPr/>
            </w:pPr>
            <w:r>
              <w:rPr>
                <w:spacing w:val="-2"/>
              </w:rPr>
              <w:t>2023-2025</w:t>
            </w:r>
            <w:r>
              <w:rPr/>
              <w:t xml:space="preserve"> </w:t>
              <w:br/>
            </w:r>
            <w:r>
              <w:rPr>
                <w:spacing w:val="0"/>
              </w:rPr>
              <w:t xml:space="preserve">Performance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590" w:type="dxa"/>
            <w:gridSpan w:val="4"/>
            <w:tcBorders/>
            <w:shd w:fill="002F56" w:val="clear"/>
            <w:vAlign w:val="center"/>
          </w:tcPr>
          <w:p>
            <w:pPr>
              <w:pStyle w:val="TableContents"/>
              <w:bidi w:val="0"/>
              <w:spacing w:before="0" w:after="0"/>
              <w:jc w:val="center"/>
              <w:rPr/>
            </w:pPr>
            <w:r>
              <w:rPr>
                <w:spacing w:val="0"/>
              </w:rPr>
              <w:t xml:space="preserve">Actual Component </w:t>
              <w:br/>
              <w:t>Achievement</w:t>
            </w:r>
            <w:r>
              <w:rPr/>
              <w:t xml:space="preserve"> </w:t>
              <w:br/>
            </w:r>
            <w:r>
              <w:rPr>
                <w:spacing w:val="-2"/>
              </w:rPr>
              <w:t xml:space="preserve">($) </w:t>
            </w:r>
          </w:p>
        </w:tc>
        <w:tc>
          <w:tcPr>
            <w:tcW w:w="160"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3746" w:type="dxa"/>
            <w:tcBorders>
              <w:bottom w:val="single" w:sz="6" w:space="0" w:color="BFBFBF"/>
            </w:tcBorders>
            <w:tcMar>
              <w:bottom w:w="28" w:type="dxa"/>
            </w:tcMar>
            <w:vAlign w:val="center"/>
          </w:tcPr>
          <w:p>
            <w:pPr>
              <w:pStyle w:val="TableContents"/>
              <w:bidi w:val="0"/>
              <w:spacing w:lineRule="atLeast" w:line="189" w:before="0" w:after="0"/>
              <w:jc w:val="left"/>
              <w:rPr>
                <w:spacing w:val="-1"/>
              </w:rPr>
            </w:pPr>
            <w:r>
              <w:rPr>
                <w:spacing w:val="-1"/>
              </w:rPr>
              <w:t xml:space="preserve">2023-2025 Return on Capital, as compared to target of 9.1%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right"/>
              <w:rPr/>
            </w:pPr>
            <w:r>
              <w:rPr/>
              <w:t>​</w:t>
            </w:r>
          </w:p>
        </w:tc>
        <w:tc>
          <w:tcPr>
            <w:tcW w:w="1111" w:type="dxa"/>
            <w:tcBorders>
              <w:bottom w:val="single" w:sz="6" w:space="0" w:color="BFBFBF"/>
            </w:tcBorders>
            <w:tcMar>
              <w:bottom w:w="28" w:type="dxa"/>
            </w:tcMar>
            <w:vAlign w:val="center"/>
          </w:tcPr>
          <w:p>
            <w:pPr>
              <w:pStyle w:val="TableContents"/>
              <w:bidi w:val="0"/>
              <w:spacing w:before="0" w:after="283"/>
              <w:jc w:val="right"/>
              <w:rPr/>
            </w:pPr>
            <w:r>
              <w:rPr/>
              <w:t>33.33</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2" w:type="dxa"/>
            <w:tcBorders>
              <w:bottom w:val="single" w:sz="6" w:space="0" w:color="BFBFBF"/>
            </w:tcBorders>
            <w:tcMar>
              <w:bottom w:w="28" w:type="dxa"/>
            </w:tcMar>
            <w:vAlign w:val="center"/>
          </w:tcPr>
          <w:p>
            <w:pPr>
              <w:pStyle w:val="TableContents"/>
              <w:bidi w:val="0"/>
              <w:spacing w:before="0" w:after="283"/>
              <w:jc w:val="left"/>
              <w:rPr/>
            </w:pPr>
            <w:r>
              <w:rPr/>
              <w:t>​</w:t>
            </w:r>
          </w:p>
        </w:tc>
        <w:tc>
          <w:tcPr>
            <w:tcW w:w="182" w:type="dxa"/>
            <w:tcBorders>
              <w:bottom w:val="single" w:sz="6" w:space="0" w:color="BFBFBF"/>
            </w:tcBorders>
            <w:tcMar>
              <w:bottom w:w="28" w:type="dxa"/>
            </w:tcMar>
            <w:vAlign w:val="center"/>
          </w:tcPr>
          <w:p>
            <w:pPr>
              <w:pStyle w:val="TableContents"/>
              <w:bidi w:val="0"/>
              <w:spacing w:before="0" w:after="283"/>
              <w:jc w:val="right"/>
              <w:rPr/>
            </w:pPr>
            <w:r>
              <w:rPr/>
              <w:t>​</w:t>
            </w:r>
          </w:p>
        </w:tc>
        <w:tc>
          <w:tcPr>
            <w:tcW w:w="780" w:type="dxa"/>
            <w:tcBorders>
              <w:bottom w:val="single" w:sz="6" w:space="0" w:color="BFBFBF"/>
            </w:tcBorders>
            <w:tcMar>
              <w:bottom w:w="28" w:type="dxa"/>
            </w:tcMar>
            <w:vAlign w:val="center"/>
          </w:tcPr>
          <w:p>
            <w:pPr>
              <w:pStyle w:val="TableContents"/>
              <w:bidi w:val="0"/>
              <w:spacing w:before="0" w:after="283"/>
              <w:jc w:val="right"/>
              <w:rPr/>
            </w:pPr>
            <w:r>
              <w:rPr/>
              <w:t>7.9%</w:t>
            </w:r>
          </w:p>
        </w:tc>
        <w:tc>
          <w:tcPr>
            <w:tcW w:w="18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8" w:type="dxa"/>
            <w:tcBorders>
              <w:bottom w:val="single" w:sz="6" w:space="0" w:color="BFBFBF"/>
            </w:tcBorders>
            <w:tcMar>
              <w:bottom w:w="28" w:type="dxa"/>
            </w:tcMar>
            <w:vAlign w:val="center"/>
          </w:tcPr>
          <w:p>
            <w:pPr>
              <w:pStyle w:val="TableContents"/>
              <w:bidi w:val="0"/>
              <w:spacing w:before="0" w:after="283"/>
              <w:jc w:val="left"/>
              <w:rPr/>
            </w:pPr>
            <w:r>
              <w:rPr/>
              <w:t>​</w:t>
            </w:r>
          </w:p>
        </w:tc>
        <w:tc>
          <w:tcPr>
            <w:tcW w:w="1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55" w:type="dxa"/>
            <w:tcBorders>
              <w:bottom w:val="single" w:sz="6" w:space="0" w:color="BFBFBF"/>
            </w:tcBorders>
            <w:tcMar>
              <w:bottom w:w="28" w:type="dxa"/>
            </w:tcMar>
            <w:vAlign w:val="center"/>
          </w:tcPr>
          <w:p>
            <w:pPr>
              <w:pStyle w:val="TableContents"/>
              <w:bidi w:val="0"/>
              <w:spacing w:before="0" w:after="283"/>
              <w:jc w:val="right"/>
              <w:rPr/>
            </w:pPr>
            <w:r>
              <w:rPr/>
              <w:t>27.08</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3746" w:type="dxa"/>
            <w:tcBorders>
              <w:bottom w:val="single" w:sz="6" w:space="0" w:color="BFBFBF"/>
            </w:tcBorders>
            <w:tcMar>
              <w:bottom w:w="28" w:type="dxa"/>
            </w:tcMar>
            <w:vAlign w:val="center"/>
          </w:tcPr>
          <w:p>
            <w:pPr>
              <w:pStyle w:val="TableContents"/>
              <w:bidi w:val="0"/>
              <w:spacing w:before="0" w:after="283"/>
              <w:jc w:val="left"/>
              <w:rPr>
                <w:spacing w:val="-1"/>
              </w:rPr>
            </w:pPr>
            <w:r>
              <w:rPr>
                <w:spacing w:val="-1"/>
              </w:rPr>
              <w:t xml:space="preserve">2023-2025 Company TSR Performance as compared to Russell </w:t>
              <w:br/>
              <w:t xml:space="preserve">2000 Index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right"/>
              <w:rPr/>
            </w:pPr>
            <w:r>
              <w:rPr/>
              <w:t>​</w:t>
            </w:r>
          </w:p>
        </w:tc>
        <w:tc>
          <w:tcPr>
            <w:tcW w:w="1111" w:type="dxa"/>
            <w:tcBorders>
              <w:bottom w:val="single" w:sz="6" w:space="0" w:color="BFBFBF"/>
            </w:tcBorders>
            <w:tcMar>
              <w:bottom w:w="28" w:type="dxa"/>
            </w:tcMar>
            <w:vAlign w:val="center"/>
          </w:tcPr>
          <w:p>
            <w:pPr>
              <w:pStyle w:val="TableContents"/>
              <w:bidi w:val="0"/>
              <w:spacing w:before="0" w:after="283"/>
              <w:jc w:val="right"/>
              <w:rPr/>
            </w:pPr>
            <w:r>
              <w:rPr/>
              <w:t>16.67</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2" w:type="dxa"/>
            <w:tcBorders>
              <w:bottom w:val="single" w:sz="6" w:space="0" w:color="BFBFBF"/>
            </w:tcBorders>
            <w:tcMar>
              <w:bottom w:w="28" w:type="dxa"/>
            </w:tcMar>
            <w:vAlign w:val="center"/>
          </w:tcPr>
          <w:p>
            <w:pPr>
              <w:pStyle w:val="TableContents"/>
              <w:bidi w:val="0"/>
              <w:spacing w:before="0" w:after="283"/>
              <w:jc w:val="left"/>
              <w:rPr/>
            </w:pPr>
            <w:r>
              <w:rPr/>
              <w:t>​</w:t>
            </w:r>
          </w:p>
        </w:tc>
        <w:tc>
          <w:tcPr>
            <w:tcW w:w="182" w:type="dxa"/>
            <w:tcBorders>
              <w:bottom w:val="single" w:sz="6" w:space="0" w:color="BFBFBF"/>
            </w:tcBorders>
            <w:tcMar>
              <w:bottom w:w="28" w:type="dxa"/>
            </w:tcMar>
            <w:vAlign w:val="center"/>
          </w:tcPr>
          <w:p>
            <w:pPr>
              <w:pStyle w:val="TableContents"/>
              <w:bidi w:val="0"/>
              <w:spacing w:before="0" w:after="283"/>
              <w:jc w:val="right"/>
              <w:rPr/>
            </w:pPr>
            <w:r>
              <w:rPr/>
              <w:t>​</w:t>
            </w:r>
          </w:p>
        </w:tc>
        <w:tc>
          <w:tcPr>
            <w:tcW w:w="780" w:type="dxa"/>
            <w:tcBorders>
              <w:bottom w:val="single" w:sz="6" w:space="0" w:color="BFBFBF"/>
            </w:tcBorders>
            <w:tcMar>
              <w:bottom w:w="28" w:type="dxa"/>
            </w:tcMar>
            <w:vAlign w:val="center"/>
          </w:tcPr>
          <w:p>
            <w:pPr>
              <w:pStyle w:val="TableContents"/>
              <w:bidi w:val="0"/>
              <w:spacing w:before="0" w:after="283"/>
              <w:jc w:val="right"/>
              <w:rPr/>
            </w:pPr>
            <w:r>
              <w:rPr/>
              <w:t>69%</w:t>
            </w:r>
          </w:p>
        </w:tc>
        <w:tc>
          <w:tcPr>
            <w:tcW w:w="18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8" w:type="dxa"/>
            <w:tcBorders>
              <w:bottom w:val="single" w:sz="6" w:space="0" w:color="BFBFBF"/>
            </w:tcBorders>
            <w:tcMar>
              <w:bottom w:w="28" w:type="dxa"/>
            </w:tcMar>
            <w:vAlign w:val="center"/>
          </w:tcPr>
          <w:p>
            <w:pPr>
              <w:pStyle w:val="TableContents"/>
              <w:bidi w:val="0"/>
              <w:spacing w:before="0" w:after="283"/>
              <w:jc w:val="left"/>
              <w:rPr/>
            </w:pPr>
            <w:r>
              <w:rPr/>
              <w:t>​</w:t>
            </w:r>
          </w:p>
        </w:tc>
        <w:tc>
          <w:tcPr>
            <w:tcW w:w="1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55" w:type="dxa"/>
            <w:tcBorders>
              <w:bottom w:val="single" w:sz="6" w:space="0" w:color="BFBFBF"/>
            </w:tcBorders>
            <w:tcMar>
              <w:bottom w:w="28" w:type="dxa"/>
            </w:tcMar>
            <w:vAlign w:val="center"/>
          </w:tcPr>
          <w:p>
            <w:pPr>
              <w:pStyle w:val="TableContents"/>
              <w:bidi w:val="0"/>
              <w:spacing w:before="0" w:after="283"/>
              <w:jc w:val="right"/>
              <w:rPr/>
            </w:pPr>
            <w:r>
              <w:rPr/>
              <w:t>0.00</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3746" w:type="dxa"/>
            <w:tcBorders>
              <w:bottom w:val="single" w:sz="6" w:space="0" w:color="BFBFBF"/>
            </w:tcBorders>
            <w:tcMar>
              <w:bottom w:w="28" w:type="dxa"/>
            </w:tcMar>
            <w:vAlign w:val="center"/>
          </w:tcPr>
          <w:p>
            <w:pPr>
              <w:pStyle w:val="TableContents"/>
              <w:bidi w:val="0"/>
              <w:spacing w:lineRule="atLeast" w:line="189" w:before="0" w:after="0"/>
              <w:jc w:val="left"/>
              <w:rPr>
                <w:spacing w:val="-1"/>
              </w:rPr>
            </w:pPr>
            <w:r>
              <w:rPr>
                <w:spacing w:val="-1"/>
              </w:rPr>
              <w:t xml:space="preserve">2023-2025 Company TSR Performance as compared to S&amp;P MidCap 400 Index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left"/>
              <w:rPr/>
            </w:pPr>
            <w:r>
              <w:rPr/>
              <w:t>​</w:t>
            </w:r>
          </w:p>
        </w:tc>
        <w:tc>
          <w:tcPr>
            <w:tcW w:w="157" w:type="dxa"/>
            <w:tcBorders>
              <w:bottom w:val="single" w:sz="6" w:space="0" w:color="BFBFBF"/>
            </w:tcBorders>
            <w:tcMar>
              <w:bottom w:w="28" w:type="dxa"/>
            </w:tcMar>
            <w:vAlign w:val="center"/>
          </w:tcPr>
          <w:p>
            <w:pPr>
              <w:pStyle w:val="TableContents"/>
              <w:bidi w:val="0"/>
              <w:spacing w:before="0" w:after="283"/>
              <w:jc w:val="right"/>
              <w:rPr/>
            </w:pPr>
            <w:r>
              <w:rPr/>
              <w:t>​</w:t>
            </w:r>
          </w:p>
        </w:tc>
        <w:tc>
          <w:tcPr>
            <w:tcW w:w="1111" w:type="dxa"/>
            <w:tcBorders>
              <w:bottom w:val="single" w:sz="6" w:space="0" w:color="BFBFBF"/>
            </w:tcBorders>
            <w:tcMar>
              <w:bottom w:w="28" w:type="dxa"/>
            </w:tcMar>
            <w:vAlign w:val="center"/>
          </w:tcPr>
          <w:p>
            <w:pPr>
              <w:pStyle w:val="TableContents"/>
              <w:bidi w:val="0"/>
              <w:spacing w:before="0" w:after="283"/>
              <w:jc w:val="right"/>
              <w:rPr/>
            </w:pPr>
            <w:r>
              <w:rPr/>
              <w:t>16.67</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82" w:type="dxa"/>
            <w:tcBorders>
              <w:bottom w:val="single" w:sz="6" w:space="0" w:color="BFBFBF"/>
            </w:tcBorders>
            <w:tcMar>
              <w:bottom w:w="28" w:type="dxa"/>
            </w:tcMar>
            <w:vAlign w:val="center"/>
          </w:tcPr>
          <w:p>
            <w:pPr>
              <w:pStyle w:val="TableContents"/>
              <w:bidi w:val="0"/>
              <w:spacing w:before="0" w:after="283"/>
              <w:jc w:val="left"/>
              <w:rPr/>
            </w:pPr>
            <w:r>
              <w:rPr/>
              <w:t>​</w:t>
            </w:r>
          </w:p>
        </w:tc>
        <w:tc>
          <w:tcPr>
            <w:tcW w:w="182" w:type="dxa"/>
            <w:tcBorders>
              <w:bottom w:val="single" w:sz="6" w:space="0" w:color="BFBFBF"/>
            </w:tcBorders>
            <w:tcMar>
              <w:bottom w:w="28" w:type="dxa"/>
            </w:tcMar>
            <w:vAlign w:val="center"/>
          </w:tcPr>
          <w:p>
            <w:pPr>
              <w:pStyle w:val="TableContents"/>
              <w:bidi w:val="0"/>
              <w:spacing w:before="0" w:after="283"/>
              <w:jc w:val="right"/>
              <w:rPr/>
            </w:pPr>
            <w:r>
              <w:rPr/>
              <w:t>​</w:t>
            </w:r>
          </w:p>
        </w:tc>
        <w:tc>
          <w:tcPr>
            <w:tcW w:w="780" w:type="dxa"/>
            <w:tcBorders>
              <w:bottom w:val="single" w:sz="6" w:space="0" w:color="BFBFBF"/>
            </w:tcBorders>
            <w:tcMar>
              <w:bottom w:w="28" w:type="dxa"/>
            </w:tcMar>
            <w:vAlign w:val="center"/>
          </w:tcPr>
          <w:p>
            <w:pPr>
              <w:pStyle w:val="TableContents"/>
              <w:bidi w:val="0"/>
              <w:spacing w:before="0" w:after="283"/>
              <w:jc w:val="right"/>
              <w:rPr/>
            </w:pPr>
            <w:r>
              <w:rPr/>
              <w:t>77%</w:t>
            </w:r>
          </w:p>
        </w:tc>
        <w:tc>
          <w:tcPr>
            <w:tcW w:w="18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78" w:type="dxa"/>
            <w:tcBorders>
              <w:bottom w:val="single" w:sz="6" w:space="0" w:color="BFBFBF"/>
            </w:tcBorders>
            <w:tcMar>
              <w:bottom w:w="28" w:type="dxa"/>
            </w:tcMar>
            <w:vAlign w:val="center"/>
          </w:tcPr>
          <w:p>
            <w:pPr>
              <w:pStyle w:val="TableContents"/>
              <w:bidi w:val="0"/>
              <w:spacing w:before="0" w:after="283"/>
              <w:jc w:val="left"/>
              <w:rPr/>
            </w:pPr>
            <w:r>
              <w:rPr/>
              <w:t>​</w:t>
            </w:r>
          </w:p>
        </w:tc>
        <w:tc>
          <w:tcPr>
            <w:tcW w:w="178" w:type="dxa"/>
            <w:tcBorders>
              <w:bottom w:val="single" w:sz="6" w:space="0" w:color="BFBFBF"/>
            </w:tcBorders>
            <w:tcMar>
              <w:bottom w:w="28" w:type="dxa"/>
            </w:tcMar>
            <w:vAlign w:val="center"/>
          </w:tcPr>
          <w:p>
            <w:pPr>
              <w:pStyle w:val="TableContents"/>
              <w:bidi w:val="0"/>
              <w:spacing w:before="0" w:after="283"/>
              <w:jc w:val="right"/>
              <w:rPr/>
            </w:pPr>
            <w:r>
              <w:rPr/>
              <w:t>​</w:t>
            </w:r>
          </w:p>
        </w:tc>
        <w:tc>
          <w:tcPr>
            <w:tcW w:w="1055" w:type="dxa"/>
            <w:tcBorders>
              <w:bottom w:val="single" w:sz="6" w:space="0" w:color="BFBFBF"/>
            </w:tcBorders>
            <w:tcMar>
              <w:bottom w:w="28" w:type="dxa"/>
            </w:tcMar>
            <w:vAlign w:val="center"/>
          </w:tcPr>
          <w:p>
            <w:pPr>
              <w:pStyle w:val="TableContents"/>
              <w:bidi w:val="0"/>
              <w:spacing w:before="0" w:after="283"/>
              <w:jc w:val="right"/>
              <w:rPr/>
            </w:pPr>
            <w:r>
              <w:rPr/>
              <w:t>12.83</w:t>
            </w:r>
          </w:p>
        </w:tc>
        <w:tc>
          <w:tcPr>
            <w:tcW w:w="179" w:type="dxa"/>
            <w:tcBorders>
              <w:bottom w:val="single" w:sz="6" w:space="0" w:color="BFBFBF"/>
            </w:tcBorders>
            <w:tcMar>
              <w:bottom w:w="28" w:type="dxa"/>
            </w:tcMar>
            <w:vAlign w:val="center"/>
          </w:tcPr>
          <w:p>
            <w:pPr>
              <w:pStyle w:val="TableContents"/>
              <w:bidi w:val="0"/>
              <w:spacing w:before="0" w:after="283"/>
              <w:jc w:val="left"/>
              <w:rPr/>
            </w:pPr>
            <w:r>
              <w:rPr/>
              <w:t>​</w:t>
            </w:r>
          </w:p>
        </w:tc>
        <w:tc>
          <w:tcPr>
            <w:tcW w:w="160"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2F56"/>
            </w:tcBorders>
            <w:tcMar>
              <w:bottom w:w="28" w:type="dxa"/>
            </w:tcMar>
            <w:vAlign w:val="center"/>
          </w:tcPr>
          <w:p>
            <w:pPr>
              <w:pStyle w:val="TableContents"/>
              <w:bidi w:val="0"/>
              <w:spacing w:before="0" w:after="283"/>
              <w:jc w:val="left"/>
              <w:rPr/>
            </w:pPr>
            <w:r>
              <w:rPr/>
              <w:t>​</w:t>
            </w:r>
          </w:p>
        </w:tc>
        <w:tc>
          <w:tcPr>
            <w:tcW w:w="3746" w:type="dxa"/>
            <w:tcBorders>
              <w:bottom w:val="single" w:sz="6" w:space="0" w:color="002F56"/>
            </w:tcBorders>
            <w:tcMar>
              <w:bottom w:w="40" w:type="dxa"/>
            </w:tcMar>
            <w:vAlign w:val="center"/>
          </w:tcPr>
          <w:p>
            <w:pPr>
              <w:pStyle w:val="TableContents"/>
              <w:bidi w:val="0"/>
              <w:spacing w:before="0" w:after="283"/>
              <w:jc w:val="left"/>
              <w:rPr>
                <w:spacing w:val="-1"/>
              </w:rPr>
            </w:pPr>
            <w:r>
              <w:rPr>
                <w:spacing w:val="-1"/>
              </w:rPr>
              <w:t xml:space="preserve">2023-2025 Company TSR Performance as compared to Peer Company Index </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57" w:type="dxa"/>
            <w:tcBorders>
              <w:bottom w:val="single" w:sz="6" w:space="0" w:color="002F56"/>
            </w:tcBorders>
            <w:tcMar>
              <w:bottom w:w="28" w:type="dxa"/>
            </w:tcMar>
            <w:vAlign w:val="center"/>
          </w:tcPr>
          <w:p>
            <w:pPr>
              <w:pStyle w:val="TableContents"/>
              <w:bidi w:val="0"/>
              <w:spacing w:before="0" w:after="283"/>
              <w:jc w:val="left"/>
              <w:rPr/>
            </w:pPr>
            <w:r>
              <w:rPr/>
              <w:t>​</w:t>
            </w:r>
          </w:p>
        </w:tc>
        <w:tc>
          <w:tcPr>
            <w:tcW w:w="157" w:type="dxa"/>
            <w:tcBorders>
              <w:bottom w:val="single" w:sz="6" w:space="0" w:color="002F56"/>
            </w:tcBorders>
            <w:tcMar>
              <w:bottom w:w="28" w:type="dxa"/>
            </w:tcMar>
            <w:vAlign w:val="center"/>
          </w:tcPr>
          <w:p>
            <w:pPr>
              <w:pStyle w:val="TableContents"/>
              <w:bidi w:val="0"/>
              <w:spacing w:before="0" w:after="283"/>
              <w:jc w:val="right"/>
              <w:rPr/>
            </w:pPr>
            <w:r>
              <w:rPr/>
              <w:t>​</w:t>
            </w:r>
          </w:p>
        </w:tc>
        <w:tc>
          <w:tcPr>
            <w:tcW w:w="1111" w:type="dxa"/>
            <w:tcBorders>
              <w:bottom w:val="single" w:sz="6" w:space="0" w:color="002F56"/>
            </w:tcBorders>
            <w:tcMar>
              <w:bottom w:w="28" w:type="dxa"/>
            </w:tcMar>
            <w:vAlign w:val="center"/>
          </w:tcPr>
          <w:p>
            <w:pPr>
              <w:pStyle w:val="TableContents"/>
              <w:bidi w:val="0"/>
              <w:spacing w:before="0" w:after="283"/>
              <w:jc w:val="right"/>
              <w:rPr/>
            </w:pPr>
            <w:r>
              <w:rPr/>
              <w:t>33.33</w:t>
            </w:r>
          </w:p>
        </w:tc>
        <w:tc>
          <w:tcPr>
            <w:tcW w:w="158"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82" w:type="dxa"/>
            <w:tcBorders>
              <w:bottom w:val="single" w:sz="6" w:space="0" w:color="002F56"/>
            </w:tcBorders>
            <w:tcMar>
              <w:bottom w:w="28" w:type="dxa"/>
            </w:tcMar>
            <w:vAlign w:val="center"/>
          </w:tcPr>
          <w:p>
            <w:pPr>
              <w:pStyle w:val="TableContents"/>
              <w:bidi w:val="0"/>
              <w:spacing w:before="0" w:after="283"/>
              <w:jc w:val="left"/>
              <w:rPr/>
            </w:pPr>
            <w:r>
              <w:rPr/>
              <w:t>​</w:t>
            </w:r>
          </w:p>
        </w:tc>
        <w:tc>
          <w:tcPr>
            <w:tcW w:w="182" w:type="dxa"/>
            <w:tcBorders>
              <w:bottom w:val="single" w:sz="6" w:space="0" w:color="002F56"/>
            </w:tcBorders>
            <w:tcMar>
              <w:bottom w:w="28" w:type="dxa"/>
            </w:tcMar>
            <w:vAlign w:val="center"/>
          </w:tcPr>
          <w:p>
            <w:pPr>
              <w:pStyle w:val="TableContents"/>
              <w:bidi w:val="0"/>
              <w:spacing w:before="0" w:after="283"/>
              <w:jc w:val="right"/>
              <w:rPr/>
            </w:pPr>
            <w:r>
              <w:rPr/>
              <w:t>​</w:t>
            </w:r>
          </w:p>
        </w:tc>
        <w:tc>
          <w:tcPr>
            <w:tcW w:w="780" w:type="dxa"/>
            <w:tcBorders>
              <w:bottom w:val="single" w:sz="6" w:space="0" w:color="002F56"/>
            </w:tcBorders>
            <w:tcMar>
              <w:bottom w:w="28" w:type="dxa"/>
            </w:tcMar>
            <w:vAlign w:val="center"/>
          </w:tcPr>
          <w:p>
            <w:pPr>
              <w:pStyle w:val="TableContents"/>
              <w:bidi w:val="0"/>
              <w:spacing w:before="0" w:after="283"/>
              <w:jc w:val="right"/>
              <w:rPr/>
            </w:pPr>
            <w:r>
              <w:rPr/>
              <w:t>112%</w:t>
            </w:r>
          </w:p>
        </w:tc>
        <w:tc>
          <w:tcPr>
            <w:tcW w:w="184"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78" w:type="dxa"/>
            <w:tcBorders>
              <w:bottom w:val="single" w:sz="6" w:space="0" w:color="002F56"/>
            </w:tcBorders>
            <w:tcMar>
              <w:bottom w:w="28" w:type="dxa"/>
            </w:tcMar>
            <w:vAlign w:val="center"/>
          </w:tcPr>
          <w:p>
            <w:pPr>
              <w:pStyle w:val="TableContents"/>
              <w:bidi w:val="0"/>
              <w:spacing w:before="0" w:after="283"/>
              <w:jc w:val="left"/>
              <w:rPr/>
            </w:pPr>
            <w:r>
              <w:rPr/>
              <w:t>​</w:t>
            </w:r>
          </w:p>
        </w:tc>
        <w:tc>
          <w:tcPr>
            <w:tcW w:w="178" w:type="dxa"/>
            <w:tcBorders>
              <w:bottom w:val="single" w:sz="6" w:space="0" w:color="002F56"/>
            </w:tcBorders>
            <w:tcMar>
              <w:bottom w:w="28" w:type="dxa"/>
            </w:tcMar>
            <w:vAlign w:val="center"/>
          </w:tcPr>
          <w:p>
            <w:pPr>
              <w:pStyle w:val="TableContents"/>
              <w:bidi w:val="0"/>
              <w:spacing w:before="0" w:after="283"/>
              <w:jc w:val="right"/>
              <w:rPr/>
            </w:pPr>
            <w:r>
              <w:rPr/>
              <w:t>​</w:t>
            </w:r>
          </w:p>
        </w:tc>
        <w:tc>
          <w:tcPr>
            <w:tcW w:w="1055" w:type="dxa"/>
            <w:tcBorders>
              <w:bottom w:val="single" w:sz="6" w:space="0" w:color="002F56"/>
            </w:tcBorders>
            <w:tcMar>
              <w:bottom w:w="28" w:type="dxa"/>
            </w:tcMar>
            <w:vAlign w:val="center"/>
          </w:tcPr>
          <w:p>
            <w:pPr>
              <w:pStyle w:val="TableContents"/>
              <w:bidi w:val="0"/>
              <w:spacing w:before="0" w:after="283"/>
              <w:jc w:val="right"/>
              <w:rPr/>
            </w:pPr>
            <w:r>
              <w:rPr/>
              <w:t>40.00</w:t>
            </w:r>
          </w:p>
        </w:tc>
        <w:tc>
          <w:tcPr>
            <w:tcW w:w="179" w:type="dxa"/>
            <w:tcBorders>
              <w:bottom w:val="single" w:sz="6" w:space="0" w:color="002F56"/>
            </w:tcBorders>
            <w:tcMar>
              <w:bottom w:w="28" w:type="dxa"/>
            </w:tcMar>
            <w:vAlign w:val="center"/>
          </w:tcPr>
          <w:p>
            <w:pPr>
              <w:pStyle w:val="TableContents"/>
              <w:bidi w:val="0"/>
              <w:spacing w:before="0" w:after="283"/>
              <w:jc w:val="left"/>
              <w:rPr/>
            </w:pPr>
            <w:r>
              <w:rPr/>
              <w:t>​</w:t>
            </w:r>
          </w:p>
        </w:tc>
        <w:tc>
          <w:tcPr>
            <w:tcW w:w="160" w:type="dxa"/>
            <w:tcBorders>
              <w:bottom w:val="single" w:sz="6" w:space="0" w:color="002F56"/>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3746" w:type="dxa"/>
            <w:tcBorders>
              <w:bottom w:val="single" w:sz="12" w:space="0" w:color="71B1C8"/>
            </w:tcBorders>
            <w:tcMar>
              <w:bottom w:w="40" w:type="dxa"/>
            </w:tcMar>
            <w:vAlign w:val="center"/>
          </w:tcPr>
          <w:p>
            <w:pPr>
              <w:pStyle w:val="TableContents"/>
              <w:bidi w:val="0"/>
              <w:spacing w:lineRule="atLeast" w:line="189" w:before="0" w:after="0"/>
              <w:jc w:val="left"/>
              <w:rPr/>
            </w:pPr>
            <w:r>
              <w:rPr>
                <w:spacing w:val="0"/>
              </w:rPr>
              <w:t>Total</w:t>
            </w:r>
            <w:r>
              <w:rPr/>
              <w:t xml:space="preserv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7" w:type="dxa"/>
            <w:tcBorders>
              <w:bottom w:val="single" w:sz="12" w:space="0" w:color="71B1C8"/>
            </w:tcBorders>
            <w:tcMar>
              <w:bottom w:w="28" w:type="dxa"/>
            </w:tcMar>
            <w:vAlign w:val="center"/>
          </w:tcPr>
          <w:p>
            <w:pPr>
              <w:pStyle w:val="TableContents"/>
              <w:bidi w:val="0"/>
              <w:spacing w:before="0" w:after="283"/>
              <w:jc w:val="left"/>
              <w:rPr/>
            </w:pPr>
            <w:r>
              <w:rPr/>
              <w:t>​</w:t>
            </w:r>
          </w:p>
        </w:tc>
        <w:tc>
          <w:tcPr>
            <w:tcW w:w="157" w:type="dxa"/>
            <w:tcBorders>
              <w:bottom w:val="single" w:sz="12" w:space="0" w:color="71B1C8"/>
            </w:tcBorders>
            <w:tcMar>
              <w:bottom w:w="40" w:type="dxa"/>
            </w:tcMar>
            <w:vAlign w:val="center"/>
          </w:tcPr>
          <w:p>
            <w:pPr>
              <w:pStyle w:val="TableContents"/>
              <w:bidi w:val="0"/>
              <w:spacing w:before="0" w:after="283"/>
              <w:jc w:val="right"/>
              <w:rPr/>
            </w:pPr>
            <w:r>
              <w:rPr/>
              <w:t>​</w:t>
            </w:r>
          </w:p>
        </w:tc>
        <w:tc>
          <w:tcPr>
            <w:tcW w:w="1111" w:type="dxa"/>
            <w:tcBorders>
              <w:bottom w:val="single" w:sz="12" w:space="0" w:color="71B1C8"/>
            </w:tcBorders>
            <w:tcMar>
              <w:bottom w:w="40" w:type="dxa"/>
            </w:tcMar>
            <w:vAlign w:val="center"/>
          </w:tcPr>
          <w:p>
            <w:pPr>
              <w:pStyle w:val="TableContents"/>
              <w:bidi w:val="0"/>
              <w:spacing w:before="0" w:after="283"/>
              <w:jc w:val="right"/>
              <w:rPr/>
            </w:pPr>
            <w:r>
              <w:rPr/>
              <w:t>100.00</w:t>
            </w:r>
          </w:p>
        </w:tc>
        <w:tc>
          <w:tcPr>
            <w:tcW w:w="158"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82" w:type="dxa"/>
            <w:tcBorders>
              <w:bottom w:val="single" w:sz="12" w:space="0" w:color="71B1C8"/>
            </w:tcBorders>
            <w:tcMar>
              <w:bottom w:w="28" w:type="dxa"/>
            </w:tcMar>
            <w:vAlign w:val="center"/>
          </w:tcPr>
          <w:p>
            <w:pPr>
              <w:pStyle w:val="TableContents"/>
              <w:bidi w:val="0"/>
              <w:spacing w:before="0" w:after="283"/>
              <w:jc w:val="left"/>
              <w:rPr/>
            </w:pPr>
            <w:r>
              <w:rPr/>
              <w:t>​</w:t>
            </w:r>
          </w:p>
        </w:tc>
        <w:tc>
          <w:tcPr>
            <w:tcW w:w="182" w:type="dxa"/>
            <w:tcBorders>
              <w:bottom w:val="single" w:sz="12" w:space="0" w:color="71B1C8"/>
            </w:tcBorders>
            <w:tcMar>
              <w:bottom w:w="28" w:type="dxa"/>
            </w:tcMar>
            <w:vAlign w:val="center"/>
          </w:tcPr>
          <w:p>
            <w:pPr>
              <w:pStyle w:val="TableContents"/>
              <w:bidi w:val="0"/>
              <w:spacing w:before="0" w:after="283"/>
              <w:jc w:val="right"/>
              <w:rPr/>
            </w:pPr>
            <w:r>
              <w:rPr/>
              <w:t>​</w:t>
            </w:r>
          </w:p>
        </w:tc>
        <w:tc>
          <w:tcPr>
            <w:tcW w:w="780" w:type="dxa"/>
            <w:tcBorders>
              <w:bottom w:val="single" w:sz="12" w:space="0" w:color="71B1C8"/>
            </w:tcBorders>
            <w:tcMar>
              <w:bottom w:w="28" w:type="dxa"/>
            </w:tcMar>
            <w:vAlign w:val="center"/>
          </w:tcPr>
          <w:p>
            <w:pPr>
              <w:pStyle w:val="TableContents"/>
              <w:bidi w:val="0"/>
              <w:spacing w:before="0" w:after="283"/>
              <w:jc w:val="right"/>
              <w:rPr/>
            </w:pPr>
            <w:r>
              <w:rPr/>
              <w:t>​</w:t>
            </w:r>
          </w:p>
        </w:tc>
        <w:tc>
          <w:tcPr>
            <w:tcW w:w="184"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78" w:type="dxa"/>
            <w:tcBorders>
              <w:bottom w:val="single" w:sz="12" w:space="0" w:color="71B1C8"/>
            </w:tcBorders>
            <w:tcMar>
              <w:bottom w:w="28" w:type="dxa"/>
            </w:tcMar>
            <w:vAlign w:val="center"/>
          </w:tcPr>
          <w:p>
            <w:pPr>
              <w:pStyle w:val="TableContents"/>
              <w:bidi w:val="0"/>
              <w:spacing w:before="0" w:after="283"/>
              <w:jc w:val="left"/>
              <w:rPr/>
            </w:pPr>
            <w:r>
              <w:rPr/>
              <w:t>​</w:t>
            </w:r>
          </w:p>
        </w:tc>
        <w:tc>
          <w:tcPr>
            <w:tcW w:w="178" w:type="dxa"/>
            <w:tcBorders>
              <w:bottom w:val="single" w:sz="12" w:space="0" w:color="71B1C8"/>
            </w:tcBorders>
            <w:tcMar>
              <w:bottom w:w="40" w:type="dxa"/>
            </w:tcMar>
            <w:vAlign w:val="center"/>
          </w:tcPr>
          <w:p>
            <w:pPr>
              <w:pStyle w:val="TableContents"/>
              <w:bidi w:val="0"/>
              <w:spacing w:before="0" w:after="283"/>
              <w:jc w:val="right"/>
              <w:rPr/>
            </w:pPr>
            <w:r>
              <w:rPr/>
              <w:t>​</w:t>
            </w:r>
          </w:p>
        </w:tc>
        <w:tc>
          <w:tcPr>
            <w:tcW w:w="1055" w:type="dxa"/>
            <w:tcBorders>
              <w:bottom w:val="single" w:sz="12" w:space="0" w:color="71B1C8"/>
            </w:tcBorders>
            <w:tcMar>
              <w:bottom w:w="40" w:type="dxa"/>
            </w:tcMar>
            <w:vAlign w:val="center"/>
          </w:tcPr>
          <w:p>
            <w:pPr>
              <w:pStyle w:val="TableContents"/>
              <w:bidi w:val="0"/>
              <w:spacing w:before="0" w:after="283"/>
              <w:jc w:val="right"/>
              <w:rPr/>
            </w:pPr>
            <w:r>
              <w:rPr/>
              <w:t>79.91</w:t>
            </w:r>
          </w:p>
        </w:tc>
        <w:tc>
          <w:tcPr>
            <w:tcW w:w="179" w:type="dxa"/>
            <w:tcBorders>
              <w:bottom w:val="single" w:sz="12" w:space="0" w:color="71B1C8"/>
            </w:tcBorders>
            <w:tcMar>
              <w:bottom w:w="28" w:type="dxa"/>
            </w:tcMar>
            <w:vAlign w:val="center"/>
          </w:tcPr>
          <w:p>
            <w:pPr>
              <w:pStyle w:val="TableContents"/>
              <w:bidi w:val="0"/>
              <w:spacing w:before="0" w:after="283"/>
              <w:jc w:val="left"/>
              <w:rPr/>
            </w:pPr>
            <w:r>
              <w:rPr/>
              <w:t>​</w:t>
            </w:r>
          </w:p>
        </w:tc>
        <w:tc>
          <w:tcPr>
            <w:tcW w:w="160"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10" w:before="274"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Payments to the named executive officers on the Performance Units granted in 2023 were as follows: Mr. Dietrich, $1,762,016; Mr. Aldag, $291,672; Mr. Monagle, $557,372; Mr. Argirakis, $423,203; and Mr. Hastings, $483,376.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80" w:after="283"/>
        <w:jc w:val="left"/>
        <w:rPr>
          <w:rFonts w:ascii="Arial;Helvetica;sans-serif" w:hAnsi="Arial;Helvetica;sans-serif"/>
          <w:b/>
          <w:i w:val="false"/>
          <w:caps w:val="false"/>
          <w:smallCaps w:val="false"/>
          <w:color w:val="002F56"/>
          <w:sz w:val="21"/>
        </w:rPr>
      </w:pPr>
      <w:r>
        <w:rPr>
          <w:rFonts w:ascii="Arial;Helvetica;sans-serif" w:hAnsi="Arial;Helvetica;sans-serif"/>
          <w:b/>
          <w:i w:val="false"/>
          <w:caps w:val="false"/>
          <w:smallCaps w:val="false"/>
          <w:color w:val="002F56"/>
          <w:spacing w:val="0"/>
          <w:sz w:val="21"/>
        </w:rPr>
        <w:t>Relationship between Company Performance and Chief Executive Officer Compensation for 2025</w:t>
      </w:r>
      <w:r>
        <w:rPr>
          <w:rFonts w:ascii="Arial;Helvetica;sans-serif" w:hAnsi="Arial;Helvetica;sans-serif"/>
          <w:b/>
          <w:i w:val="false"/>
          <w:caps w:val="false"/>
          <w:smallCaps w:val="false"/>
          <w:color w:val="000000"/>
          <w:spacing w:val="4"/>
          <w:sz w:val="21"/>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structured our compensation program to strongly tie our executives’ pay to performance. This is reflected in the compensation that was awarded to Mr. Dietrich. Approximately 87% of Mr. Dietrich’s compensation was at-risk and variable depending on Company and individual performance. The Compensation Committee believed 2025 compensation appropriately reflected the Company’s financial and operational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283"/>
        <w:ind w:left="1020" w:right="0" w:hanging="0"/>
        <w:jc w:val="left"/>
        <w:rPr>
          <w:caps w:val="false"/>
          <w:smallCaps w:val="false"/>
          <w:color w:val="000000"/>
          <w:bdr w:val="single" w:sz="12" w:space="1" w:color="71B1C8"/>
        </w:rPr>
      </w:pPr>
      <w:r>
        <w:rPr>
          <w:caps w:val="false"/>
          <w:smallCaps w:val="false"/>
          <w:color w:val="000000"/>
          <w:bdr w:val="single" w:sz="12" w:space="1" w:color="71B1C8"/>
        </w:rPr>
        <w:t>​</w:t>
      </w:r>
    </w:p>
    <w:p>
      <w:pPr>
        <w:pStyle w:val="TextBody"/>
        <w:bidi w:val="0"/>
        <w:spacing w:lineRule="atLeast" w:line="240" w:before="21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7"/>
          <w:sz w:val="20"/>
        </w:rPr>
        <w:t>CASH-BASED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summarizes the performance measures underlying the two cash-based components of Mr. Dietrich’s variable compensation, the Annual Incentive Compensation and the Performance Units issued as part of our long-term incentive plan, and how their achievement was reflected in the payouts to Mr. Dietrich:</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834"/>
        <w:gridCol w:w="109"/>
        <w:gridCol w:w="109"/>
        <w:gridCol w:w="1997"/>
        <w:gridCol w:w="109"/>
        <w:gridCol w:w="109"/>
        <w:gridCol w:w="1404"/>
        <w:gridCol w:w="109"/>
        <w:gridCol w:w="109"/>
        <w:gridCol w:w="802"/>
        <w:gridCol w:w="109"/>
        <w:gridCol w:w="109"/>
        <w:gridCol w:w="1995"/>
        <w:gridCol w:w="157"/>
      </w:tblGrid>
      <w:tr>
        <w:trPr/>
        <w:tc>
          <w:tcPr>
            <w:tcW w:w="124" w:type="dxa"/>
            <w:vMerge w:val="restart"/>
            <w:tcBorders/>
            <w:shd w:fill="002F56" w:val="clear"/>
            <w:vAlign w:val="center"/>
          </w:tcPr>
          <w:p>
            <w:pPr>
              <w:pStyle w:val="TableContents"/>
              <w:bidi w:val="0"/>
              <w:spacing w:before="0" w:after="283"/>
              <w:jc w:val="left"/>
              <w:rPr/>
            </w:pPr>
            <w:r>
              <w:rPr/>
              <w:t>​</w:t>
            </w:r>
          </w:p>
        </w:tc>
        <w:tc>
          <w:tcPr>
            <w:tcW w:w="1834" w:type="dxa"/>
            <w:vMerge w:val="restart"/>
            <w:tcBorders/>
            <w:shd w:fill="002F56" w:val="clear"/>
            <w:vAlign w:val="center"/>
          </w:tcPr>
          <w:p>
            <w:pPr>
              <w:pStyle w:val="TableContents"/>
              <w:bidi w:val="0"/>
              <w:spacing w:lineRule="atLeast" w:line="191" w:before="0" w:after="0"/>
              <w:jc w:val="left"/>
              <w:rPr>
                <w:spacing w:val="0"/>
              </w:rPr>
            </w:pPr>
            <w:r>
              <w:rPr>
                <w:spacing w:val="0"/>
              </w:rPr>
              <w:t xml:space="preserve">Compensation </w:t>
              <w:br/>
              <w:t xml:space="preserve">Plan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997"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bottom w:val="single" w:sz="2" w:space="0" w:color="71B1C8"/>
            </w:tcBorders>
            <w:shd w:fill="002F56" w:val="clear"/>
            <w:tcMar>
              <w:bottom w:w="28" w:type="dxa"/>
            </w:tcMar>
            <w:vAlign w:val="center"/>
          </w:tcPr>
          <w:p>
            <w:pPr>
              <w:pStyle w:val="TableContents"/>
              <w:bidi w:val="0"/>
              <w:spacing w:before="0" w:after="283"/>
              <w:jc w:val="left"/>
              <w:rPr/>
            </w:pPr>
            <w:r>
              <w:rPr/>
              <w:t>​</w:t>
            </w:r>
          </w:p>
        </w:tc>
        <w:tc>
          <w:tcPr>
            <w:tcW w:w="4637" w:type="dxa"/>
            <w:gridSpan w:val="7"/>
            <w:tcBorders>
              <w:bottom w:val="single" w:sz="2" w:space="0" w:color="71B1C8"/>
            </w:tcBorders>
            <w:shd w:fill="002F56" w:val="clear"/>
            <w:tcMar>
              <w:bottom w:w="55" w:type="dxa"/>
            </w:tcMar>
            <w:vAlign w:val="center"/>
          </w:tcPr>
          <w:p>
            <w:pPr>
              <w:pStyle w:val="TableContents"/>
              <w:bidi w:val="0"/>
              <w:spacing w:before="0" w:after="0"/>
              <w:jc w:val="center"/>
              <w:rPr>
                <w:spacing w:val="0"/>
              </w:rPr>
            </w:pPr>
            <w:r>
              <w:rPr>
                <w:spacing w:val="0"/>
              </w:rPr>
              <w:t xml:space="preserve">2026 compensation Result </w:t>
            </w:r>
          </w:p>
        </w:tc>
        <w:tc>
          <w:tcPr>
            <w:tcW w:w="157" w:type="dxa"/>
            <w:tcBorders>
              <w:bottom w:val="single" w:sz="2" w:space="0" w:color="71B1C8"/>
            </w:tcBorders>
            <w:shd w:fill="002F56"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2F56" w:val="clear"/>
            <w:vAlign w:val="center"/>
          </w:tcPr>
          <w:p>
            <w:pPr>
              <w:pStyle w:val="Normal"/>
              <w:bidi w:val="0"/>
              <w:jc w:val="left"/>
              <w:rPr/>
            </w:pPr>
            <w:r>
              <w:rPr/>
            </w:r>
          </w:p>
        </w:tc>
        <w:tc>
          <w:tcPr>
            <w:tcW w:w="1834"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1997" w:type="dxa"/>
            <w:tcBorders/>
            <w:shd w:fill="002F56" w:val="clear"/>
            <w:vAlign w:val="center"/>
          </w:tcPr>
          <w:p>
            <w:pPr>
              <w:pStyle w:val="TableContents"/>
              <w:bidi w:val="0"/>
              <w:spacing w:before="0" w:after="0"/>
              <w:jc w:val="left"/>
              <w:rPr>
                <w:spacing w:val="0"/>
              </w:rPr>
            </w:pPr>
            <w:r>
              <w:rPr>
                <w:spacing w:val="0"/>
              </w:rPr>
              <w:t xml:space="preserve">Performance Measure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04" w:type="dxa"/>
            <w:tcBorders/>
            <w:shd w:fill="002F56" w:val="clear"/>
            <w:vAlign w:val="center"/>
          </w:tcPr>
          <w:p>
            <w:pPr>
              <w:pStyle w:val="TableContents"/>
              <w:bidi w:val="0"/>
              <w:spacing w:before="0" w:after="0"/>
              <w:jc w:val="center"/>
              <w:rPr>
                <w:spacing w:val="0"/>
              </w:rPr>
            </w:pPr>
            <w:r>
              <w:rPr>
                <w:spacing w:val="0"/>
              </w:rPr>
              <w:t xml:space="preserve">Achievement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802" w:type="dxa"/>
            <w:tcBorders/>
            <w:shd w:fill="002F56" w:val="clear"/>
            <w:vAlign w:val="center"/>
          </w:tcPr>
          <w:p>
            <w:pPr>
              <w:pStyle w:val="TableContents"/>
              <w:bidi w:val="0"/>
              <w:spacing w:before="0" w:after="0"/>
              <w:jc w:val="center"/>
              <w:rPr>
                <w:spacing w:val="0"/>
              </w:rPr>
            </w:pPr>
            <w:r>
              <w:rPr>
                <w:spacing w:val="0"/>
              </w:rPr>
              <w:t xml:space="preserve">Weight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995" w:type="dxa"/>
            <w:tcBorders/>
            <w:shd w:fill="002F56" w:val="clear"/>
            <w:vAlign w:val="center"/>
          </w:tcPr>
          <w:p>
            <w:pPr>
              <w:pStyle w:val="TableContents"/>
              <w:bidi w:val="0"/>
              <w:spacing w:before="0" w:after="0"/>
              <w:jc w:val="left"/>
              <w:rPr>
                <w:spacing w:val="0"/>
              </w:rPr>
            </w:pPr>
            <w:r>
              <w:rPr>
                <w:spacing w:val="0"/>
              </w:rPr>
              <w:t xml:space="preserve">Payout </w:t>
            </w:r>
          </w:p>
        </w:tc>
        <w:tc>
          <w:tcPr>
            <w:tcW w:w="157" w:type="dxa"/>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tcMar>
              <w:bottom w:w="28" w:type="dxa"/>
            </w:tcMar>
            <w:vAlign w:val="center"/>
          </w:tcPr>
          <w:p>
            <w:pPr>
              <w:pStyle w:val="TableContents"/>
              <w:bidi w:val="0"/>
              <w:spacing w:before="0" w:after="283"/>
              <w:jc w:val="left"/>
              <w:rPr/>
            </w:pPr>
            <w:r>
              <w:rPr/>
              <w:t>​</w:t>
            </w:r>
          </w:p>
        </w:tc>
        <w:tc>
          <w:tcPr>
            <w:tcW w:w="1834" w:type="dxa"/>
            <w:vMerge w:val="restart"/>
            <w:tcBorders>
              <w:bottom w:val="single" w:sz="2" w:space="0" w:color="002F56"/>
            </w:tcBorders>
            <w:tcMar>
              <w:bottom w:w="48" w:type="dxa"/>
            </w:tcMar>
            <w:vAlign w:val="center"/>
          </w:tcPr>
          <w:p>
            <w:pPr>
              <w:pStyle w:val="TableContents"/>
              <w:bidi w:val="0"/>
              <w:spacing w:lineRule="atLeast" w:line="189" w:before="0" w:after="0"/>
              <w:jc w:val="left"/>
              <w:rPr>
                <w:b/>
              </w:rPr>
            </w:pPr>
            <w:r>
              <w:rPr>
                <w:b/>
                <w:spacing w:val="0"/>
              </w:rPr>
              <w:t>2025 Annual Incentive Compensation</w:t>
            </w:r>
            <w:r>
              <w:rPr>
                <w:b/>
              </w:rPr>
              <w:t xml:space="preserve"> </w:t>
            </w:r>
          </w:p>
        </w:tc>
        <w:tc>
          <w:tcPr>
            <w:tcW w:w="109" w:type="dxa"/>
            <w:vMerge w:val="restart"/>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997" w:type="dxa"/>
            <w:tcBorders>
              <w:bottom w:val="single" w:sz="6" w:space="0" w:color="CCCCCC"/>
            </w:tcBorders>
            <w:tcMar>
              <w:bottom w:w="48" w:type="dxa"/>
            </w:tcMar>
            <w:vAlign w:val="center"/>
          </w:tcPr>
          <w:p>
            <w:pPr>
              <w:pStyle w:val="TableContents"/>
              <w:bidi w:val="0"/>
              <w:spacing w:lineRule="atLeast" w:line="189" w:before="0" w:after="0"/>
              <w:jc w:val="left"/>
              <w:rPr/>
            </w:pPr>
            <w:r>
              <w:rPr>
                <w:spacing w:val="-1"/>
              </w:rPr>
              <w:t>2025 Personal Performance</w:t>
            </w:r>
            <w:r>
              <w:rPr/>
              <w:t xml:space="preserve"> </w:t>
              <w:br/>
            </w:r>
            <w:r>
              <w:rPr>
                <w:i/>
              </w:rPr>
              <w:t>(see page 49)</w:t>
            </w:r>
            <w:r>
              <w:rPr/>
              <w:t xml:space="preserve">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04" w:type="dxa"/>
            <w:tcBorders>
              <w:bottom w:val="single" w:sz="6" w:space="0" w:color="CCCCCC"/>
            </w:tcBorders>
            <w:tcMar>
              <w:bottom w:w="48" w:type="dxa"/>
            </w:tcMar>
            <w:vAlign w:val="center"/>
          </w:tcPr>
          <w:p>
            <w:pPr>
              <w:pStyle w:val="TableContents"/>
              <w:bidi w:val="0"/>
              <w:spacing w:lineRule="atLeast" w:line="189" w:before="0" w:after="0"/>
              <w:jc w:val="center"/>
              <w:rPr>
                <w:spacing w:val="-1"/>
              </w:rPr>
            </w:pPr>
            <w:r>
              <w:rPr>
                <w:spacing w:val="-1"/>
              </w:rPr>
              <w:t xml:space="preserve">105.7% of target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02" w:type="dxa"/>
            <w:tcBorders>
              <w:bottom w:val="single" w:sz="6" w:space="0" w:color="CCCCCC"/>
            </w:tcBorders>
            <w:tcMar>
              <w:bottom w:w="48" w:type="dxa"/>
            </w:tcMar>
            <w:vAlign w:val="center"/>
          </w:tcPr>
          <w:p>
            <w:pPr>
              <w:pStyle w:val="TableContents"/>
              <w:bidi w:val="0"/>
              <w:spacing w:lineRule="atLeast" w:line="189" w:before="0" w:after="0"/>
              <w:jc w:val="center"/>
              <w:rPr>
                <w:spacing w:val="-1"/>
              </w:rPr>
            </w:pPr>
            <w:r>
              <w:rPr>
                <w:spacing w:val="-1"/>
              </w:rPr>
              <w:t xml:space="preserve">30%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002F56"/>
            </w:tcBorders>
            <w:tcMar>
              <w:bottom w:w="28" w:type="dxa"/>
            </w:tcMar>
            <w:vAlign w:val="center"/>
          </w:tcPr>
          <w:p>
            <w:pPr>
              <w:pStyle w:val="TableContents"/>
              <w:bidi w:val="0"/>
              <w:spacing w:before="0" w:after="283"/>
              <w:jc w:val="left"/>
              <w:rPr/>
            </w:pPr>
            <w:r>
              <w:rPr/>
              <w:t>​</w:t>
            </w:r>
          </w:p>
        </w:tc>
        <w:tc>
          <w:tcPr>
            <w:tcW w:w="1995" w:type="dxa"/>
            <w:vMerge w:val="restart"/>
            <w:tcBorders>
              <w:bottom w:val="single" w:sz="2" w:space="0" w:color="002F56"/>
            </w:tcBorders>
            <w:tcMar>
              <w:bottom w:w="28" w:type="dxa"/>
            </w:tcMar>
            <w:vAlign w:val="center"/>
          </w:tcPr>
          <w:p>
            <w:pPr>
              <w:pStyle w:val="TableContents"/>
              <w:bidi w:val="0"/>
              <w:spacing w:lineRule="atLeast" w:line="189" w:before="0" w:after="0"/>
              <w:jc w:val="left"/>
              <w:rPr>
                <w:spacing w:val="-1"/>
              </w:rPr>
            </w:pPr>
            <w:r>
              <w:rPr>
                <w:spacing w:val="-1"/>
              </w:rPr>
              <w:t xml:space="preserve">Overall payout to Mr. Dietrich of 86.0% of target </w:t>
            </w:r>
          </w:p>
        </w:tc>
        <w:tc>
          <w:tcPr>
            <w:tcW w:w="157" w:type="dxa"/>
            <w:vMerge w:val="restart"/>
            <w:tcBorders>
              <w:bottom w:val="single" w:sz="2" w:space="0" w:color="002F56"/>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2" w:space="0" w:color="002F56"/>
            </w:tcBorders>
            <w:tcMar>
              <w:bottom w:w="28" w:type="dxa"/>
            </w:tcMar>
            <w:vAlign w:val="center"/>
          </w:tcPr>
          <w:p>
            <w:pPr>
              <w:pStyle w:val="Normal"/>
              <w:bidi w:val="0"/>
              <w:jc w:val="left"/>
              <w:rPr/>
            </w:pPr>
            <w:r>
              <w:rPr/>
            </w:r>
          </w:p>
        </w:tc>
        <w:tc>
          <w:tcPr>
            <w:tcW w:w="1834" w:type="dxa"/>
            <w:vMerge w:val="continue"/>
            <w:tcBorders>
              <w:bottom w:val="single" w:sz="2" w:space="0" w:color="002F56"/>
            </w:tcBorders>
            <w:tcMar>
              <w:bottom w:w="48" w:type="dxa"/>
            </w:tcMar>
            <w:vAlign w:val="center"/>
          </w:tcPr>
          <w:p>
            <w:pPr>
              <w:pStyle w:val="Normal"/>
              <w:bidi w:val="0"/>
              <w:jc w:val="left"/>
              <w:rPr/>
            </w:pPr>
            <w:r>
              <w:rPr/>
            </w:r>
          </w:p>
        </w:tc>
        <w:tc>
          <w:tcPr>
            <w:tcW w:w="109" w:type="dxa"/>
            <w:vMerge w:val="continue"/>
            <w:tcBorders>
              <w:bottom w:val="single" w:sz="2" w:space="0" w:color="002F56"/>
            </w:tcBorders>
            <w:tcMar>
              <w:bottom w:w="28" w:type="dxa"/>
            </w:tcMar>
            <w:vAlign w:val="center"/>
          </w:tcPr>
          <w:p>
            <w:pPr>
              <w:pStyle w:val="Normal"/>
              <w:bidi w:val="0"/>
              <w:jc w:val="left"/>
              <w:rPr/>
            </w:pPr>
            <w:r>
              <w:rPr/>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997" w:type="dxa"/>
            <w:tcBorders>
              <w:bottom w:val="single" w:sz="2" w:space="0" w:color="002F56"/>
            </w:tcBorders>
            <w:tcMar>
              <w:bottom w:w="48" w:type="dxa"/>
            </w:tcMar>
            <w:vAlign w:val="center"/>
          </w:tcPr>
          <w:p>
            <w:pPr>
              <w:pStyle w:val="TableContents"/>
              <w:bidi w:val="0"/>
              <w:spacing w:before="0" w:after="283"/>
              <w:jc w:val="left"/>
              <w:rPr/>
            </w:pPr>
            <w:r>
              <w:rPr>
                <w:i w:val="false"/>
                <w:caps w:val="false"/>
                <w:smallCaps w:val="false"/>
                <w:spacing w:val="-1"/>
              </w:rPr>
              <w:t>2025 Company Financial Performance</w:t>
            </w:r>
            <w:r>
              <w:rPr/>
              <w:t xml:space="preserve"> </w:t>
              <w:br/>
              <w:t>(see pages 46 – 48)</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404" w:type="dxa"/>
            <w:tcBorders>
              <w:bottom w:val="single" w:sz="2" w:space="0" w:color="002F56"/>
            </w:tcBorders>
            <w:tcMar>
              <w:bottom w:w="48" w:type="dxa"/>
            </w:tcMar>
            <w:vAlign w:val="center"/>
          </w:tcPr>
          <w:p>
            <w:pPr>
              <w:pStyle w:val="TableContents"/>
              <w:bidi w:val="0"/>
              <w:spacing w:before="0" w:after="0"/>
              <w:jc w:val="center"/>
              <w:rPr>
                <w:i w:val="false"/>
                <w:caps w:val="false"/>
                <w:smallCaps w:val="false"/>
                <w:spacing w:val="-1"/>
              </w:rPr>
            </w:pPr>
            <w:r>
              <w:rPr>
                <w:i w:val="false"/>
                <w:caps w:val="false"/>
                <w:smallCaps w:val="false"/>
                <w:spacing w:val="-1"/>
              </w:rPr>
              <w:t xml:space="preserve">77.6% of target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802" w:type="dxa"/>
            <w:tcBorders>
              <w:bottom w:val="single" w:sz="2" w:space="0" w:color="002F56"/>
            </w:tcBorders>
            <w:tcMar>
              <w:bottom w:w="48" w:type="dxa"/>
            </w:tcMar>
            <w:vAlign w:val="center"/>
          </w:tcPr>
          <w:p>
            <w:pPr>
              <w:pStyle w:val="TableContents"/>
              <w:bidi w:val="0"/>
              <w:spacing w:before="0" w:after="0"/>
              <w:jc w:val="center"/>
              <w:rPr>
                <w:i w:val="false"/>
                <w:caps w:val="false"/>
                <w:smallCaps w:val="false"/>
                <w:spacing w:val="-1"/>
              </w:rPr>
            </w:pPr>
            <w:r>
              <w:rPr>
                <w:i w:val="false"/>
                <w:caps w:val="false"/>
                <w:smallCaps w:val="false"/>
                <w:spacing w:val="-1"/>
              </w:rPr>
              <w:t xml:space="preserve">70% </w:t>
            </w:r>
          </w:p>
        </w:tc>
        <w:tc>
          <w:tcPr>
            <w:tcW w:w="109" w:type="dxa"/>
            <w:tcBorders>
              <w:bottom w:val="single" w:sz="2" w:space="0" w:color="002F56"/>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002F56"/>
            </w:tcBorders>
            <w:tcMar>
              <w:bottom w:w="28" w:type="dxa"/>
            </w:tcMar>
            <w:vAlign w:val="center"/>
          </w:tcPr>
          <w:p>
            <w:pPr>
              <w:pStyle w:val="Normal"/>
              <w:bidi w:val="0"/>
              <w:jc w:val="left"/>
              <w:rPr/>
            </w:pPr>
            <w:r>
              <w:rPr/>
            </w:r>
          </w:p>
        </w:tc>
        <w:tc>
          <w:tcPr>
            <w:tcW w:w="1995" w:type="dxa"/>
            <w:vMerge w:val="continue"/>
            <w:tcBorders>
              <w:bottom w:val="single" w:sz="2" w:space="0" w:color="002F56"/>
            </w:tcBorders>
            <w:tcMar>
              <w:bottom w:w="28" w:type="dxa"/>
            </w:tcMar>
            <w:vAlign w:val="center"/>
          </w:tcPr>
          <w:p>
            <w:pPr>
              <w:pStyle w:val="Normal"/>
              <w:bidi w:val="0"/>
              <w:jc w:val="left"/>
              <w:rPr/>
            </w:pPr>
            <w:r>
              <w:rPr/>
            </w:r>
          </w:p>
        </w:tc>
        <w:tc>
          <w:tcPr>
            <w:tcW w:w="157" w:type="dxa"/>
            <w:vMerge w:val="continue"/>
            <w:tcBorders>
              <w:bottom w:val="single" w:sz="2" w:space="0" w:color="002F56"/>
            </w:tcBorders>
            <w:tcMar>
              <w:bottom w:w="28" w:type="dxa"/>
            </w:tcMar>
            <w:vAlign w:val="center"/>
          </w:tcPr>
          <w:p>
            <w:pPr>
              <w:pStyle w:val="Normal"/>
              <w:bidi w:val="0"/>
              <w:jc w:val="left"/>
              <w:rPr/>
            </w:pPr>
            <w:r>
              <w:rPr/>
            </w:r>
          </w:p>
        </w:tc>
      </w:tr>
      <w:tr>
        <w:trPr/>
        <w:tc>
          <w:tcPr>
            <w:tcW w:w="124" w:type="dxa"/>
            <w:vMerge w:val="restart"/>
            <w:tcBorders>
              <w:bottom w:val="single" w:sz="12" w:space="0" w:color="71B1C8"/>
            </w:tcBorders>
            <w:tcMar>
              <w:bottom w:w="28" w:type="dxa"/>
            </w:tcMar>
            <w:vAlign w:val="center"/>
          </w:tcPr>
          <w:p>
            <w:pPr>
              <w:pStyle w:val="TableContents"/>
              <w:bidi w:val="0"/>
              <w:spacing w:before="0" w:after="283"/>
              <w:jc w:val="left"/>
              <w:rPr/>
            </w:pPr>
            <w:r>
              <w:rPr/>
              <w:t>​</w:t>
            </w:r>
          </w:p>
        </w:tc>
        <w:tc>
          <w:tcPr>
            <w:tcW w:w="1834" w:type="dxa"/>
            <w:vMerge w:val="restart"/>
            <w:tcBorders>
              <w:bottom w:val="single" w:sz="12" w:space="0" w:color="71B1C8"/>
            </w:tcBorders>
            <w:tcMar>
              <w:bottom w:w="41" w:type="dxa"/>
            </w:tcMar>
            <w:vAlign w:val="center"/>
          </w:tcPr>
          <w:p>
            <w:pPr>
              <w:pStyle w:val="TableContents"/>
              <w:bidi w:val="0"/>
              <w:spacing w:lineRule="atLeast" w:line="189" w:before="0" w:after="0"/>
              <w:jc w:val="left"/>
              <w:rPr>
                <w:b/>
              </w:rPr>
            </w:pPr>
            <w:r>
              <w:rPr>
                <w:b/>
                <w:spacing w:val="-2"/>
              </w:rPr>
              <w:t xml:space="preserve">LTIP – 2023 </w:t>
            </w:r>
            <w:r>
              <w:rPr>
                <w:b/>
                <w:spacing w:val="0"/>
              </w:rPr>
              <w:t>Performance Units</w:t>
            </w:r>
            <w:r>
              <w:rPr>
                <w:b/>
              </w:rPr>
              <w:t xml:space="preserve"> </w:t>
            </w:r>
          </w:p>
        </w:tc>
        <w:tc>
          <w:tcPr>
            <w:tcW w:w="109" w:type="dxa"/>
            <w:vMerge w:val="restart"/>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997" w:type="dxa"/>
            <w:tcBorders>
              <w:bottom w:val="single" w:sz="6" w:space="0" w:color="CCCCCC"/>
            </w:tcBorders>
            <w:tcMar>
              <w:bottom w:w="47" w:type="dxa"/>
            </w:tcMar>
            <w:vAlign w:val="center"/>
          </w:tcPr>
          <w:p>
            <w:pPr>
              <w:pStyle w:val="TableContents"/>
              <w:bidi w:val="0"/>
              <w:spacing w:lineRule="atLeast" w:line="189" w:before="0" w:after="0"/>
              <w:jc w:val="left"/>
              <w:rPr>
                <w:spacing w:val="-1"/>
              </w:rPr>
            </w:pPr>
            <w:r>
              <w:rPr>
                <w:spacing w:val="-1"/>
              </w:rPr>
              <w:t xml:space="preserve">2023-2025 Return on Capital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04" w:type="dxa"/>
            <w:tcBorders>
              <w:bottom w:val="single" w:sz="6" w:space="0" w:color="CCCCCC"/>
            </w:tcBorders>
            <w:tcMar>
              <w:bottom w:w="47" w:type="dxa"/>
            </w:tcMar>
            <w:vAlign w:val="center"/>
          </w:tcPr>
          <w:p>
            <w:pPr>
              <w:pStyle w:val="TableContents"/>
              <w:bidi w:val="0"/>
              <w:spacing w:lineRule="atLeast" w:line="189" w:before="0" w:after="0"/>
              <w:jc w:val="center"/>
              <w:rPr>
                <w:spacing w:val="-1"/>
              </w:rPr>
            </w:pPr>
            <w:r>
              <w:rPr>
                <w:spacing w:val="-1"/>
              </w:rPr>
              <w:t xml:space="preserve">$27.08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02" w:type="dxa"/>
            <w:tcBorders>
              <w:bottom w:val="single" w:sz="6" w:space="0" w:color="CCCCCC"/>
            </w:tcBorders>
            <w:tcMar>
              <w:bottom w:w="28" w:type="dxa"/>
            </w:tcMar>
            <w:vAlign w:val="center"/>
          </w:tcPr>
          <w:p>
            <w:pPr>
              <w:pStyle w:val="TableContents"/>
              <w:bidi w:val="0"/>
              <w:spacing w:before="0" w:after="283"/>
              <w:jc w:val="center"/>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restart"/>
            <w:tcBorders>
              <w:bottom w:val="single" w:sz="12" w:space="0" w:color="71B1C8"/>
            </w:tcBorders>
            <w:tcMar>
              <w:bottom w:w="28" w:type="dxa"/>
            </w:tcMar>
            <w:vAlign w:val="center"/>
          </w:tcPr>
          <w:p>
            <w:pPr>
              <w:pStyle w:val="TableContents"/>
              <w:bidi w:val="0"/>
              <w:spacing w:before="0" w:after="283"/>
              <w:jc w:val="left"/>
              <w:rPr/>
            </w:pPr>
            <w:r>
              <w:rPr/>
              <w:t>​</w:t>
            </w:r>
          </w:p>
        </w:tc>
        <w:tc>
          <w:tcPr>
            <w:tcW w:w="1995" w:type="dxa"/>
            <w:vMerge w:val="restart"/>
            <w:tcBorders>
              <w:bottom w:val="single" w:sz="12" w:space="0" w:color="71B1C8"/>
            </w:tcBorders>
            <w:tcMar>
              <w:bottom w:w="28" w:type="dxa"/>
            </w:tcMar>
            <w:vAlign w:val="center"/>
          </w:tcPr>
          <w:p>
            <w:pPr>
              <w:pStyle w:val="TableContents"/>
              <w:bidi w:val="0"/>
              <w:spacing w:lineRule="atLeast" w:line="189" w:before="0" w:after="0"/>
              <w:jc w:val="left"/>
              <w:rPr>
                <w:spacing w:val="-1"/>
              </w:rPr>
            </w:pPr>
            <w:r>
              <w:rPr>
                <w:spacing w:val="-1"/>
              </w:rPr>
              <w:t xml:space="preserve">Overall payout of $79.91 on Performance Units issued in 2023 (79.91% of target) </w:t>
            </w:r>
          </w:p>
        </w:tc>
        <w:tc>
          <w:tcPr>
            <w:tcW w:w="157" w:type="dxa"/>
            <w:vMerge w:val="restart"/>
            <w:tcBorders>
              <w:bottom w:val="single" w:sz="12" w:space="0" w:color="71B1C8"/>
            </w:tcBorders>
            <w:tcMar>
              <w:bottom w:w="28" w:type="dxa"/>
            </w:tcMar>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tcMar>
              <w:bottom w:w="28" w:type="dxa"/>
            </w:tcMar>
            <w:vAlign w:val="center"/>
          </w:tcPr>
          <w:p>
            <w:pPr>
              <w:pStyle w:val="Normal"/>
              <w:bidi w:val="0"/>
              <w:jc w:val="left"/>
              <w:rPr/>
            </w:pPr>
            <w:r>
              <w:rPr/>
            </w:r>
          </w:p>
        </w:tc>
        <w:tc>
          <w:tcPr>
            <w:tcW w:w="1834" w:type="dxa"/>
            <w:vMerge w:val="continue"/>
            <w:tcBorders>
              <w:bottom w:val="single" w:sz="12" w:space="0" w:color="71B1C8"/>
            </w:tcBorders>
            <w:tcMar>
              <w:bottom w:w="41" w:type="dxa"/>
            </w:tcMar>
            <w:vAlign w:val="center"/>
          </w:tcPr>
          <w:p>
            <w:pPr>
              <w:pStyle w:val="Normal"/>
              <w:bidi w:val="0"/>
              <w:jc w:val="left"/>
              <w:rPr/>
            </w:pPr>
            <w:r>
              <w:rPr/>
            </w:r>
          </w:p>
        </w:tc>
        <w:tc>
          <w:tcPr>
            <w:tcW w:w="109" w:type="dxa"/>
            <w:vMerge w:val="continue"/>
            <w:tcBorders>
              <w:bottom w:val="single" w:sz="12" w:space="0" w:color="71B1C8"/>
            </w:tcBorders>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997" w:type="dxa"/>
            <w:tcBorders>
              <w:bottom w:val="single" w:sz="6" w:space="0" w:color="CCCCCC"/>
            </w:tcBorders>
            <w:tcMar>
              <w:bottom w:w="28" w:type="dxa"/>
            </w:tcMar>
            <w:vAlign w:val="center"/>
          </w:tcPr>
          <w:p>
            <w:pPr>
              <w:pStyle w:val="TableContents"/>
              <w:bidi w:val="0"/>
              <w:spacing w:before="0" w:after="283"/>
              <w:jc w:val="left"/>
              <w:rPr>
                <w:spacing w:val="-1"/>
              </w:rPr>
            </w:pPr>
            <w:r>
              <w:rPr>
                <w:spacing w:val="-1"/>
              </w:rPr>
              <w:t xml:space="preserve">2023-2025 Company TSR Performance as compared to Russell 2000 Index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04" w:type="dxa"/>
            <w:tcBorders>
              <w:bottom w:val="single" w:sz="6" w:space="0" w:color="CCCCCC"/>
            </w:tcBorders>
            <w:tcMar>
              <w:bottom w:w="28" w:type="dxa"/>
            </w:tcMar>
            <w:vAlign w:val="center"/>
          </w:tcPr>
          <w:p>
            <w:pPr>
              <w:pStyle w:val="TableContents"/>
              <w:bidi w:val="0"/>
              <w:spacing w:before="0" w:after="0"/>
              <w:jc w:val="center"/>
              <w:rPr>
                <w:spacing w:val="-1"/>
              </w:rPr>
            </w:pPr>
            <w:r>
              <w:rPr>
                <w:spacing w:val="-1"/>
              </w:rPr>
              <w:t xml:space="preserve">$0.00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02"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continue"/>
            <w:tcBorders>
              <w:bottom w:val="single" w:sz="12" w:space="0" w:color="71B1C8"/>
            </w:tcBorders>
            <w:tcMar>
              <w:bottom w:w="28" w:type="dxa"/>
            </w:tcMar>
            <w:vAlign w:val="center"/>
          </w:tcPr>
          <w:p>
            <w:pPr>
              <w:pStyle w:val="Normal"/>
              <w:bidi w:val="0"/>
              <w:jc w:val="left"/>
              <w:rPr/>
            </w:pPr>
            <w:r>
              <w:rPr/>
            </w:r>
          </w:p>
        </w:tc>
        <w:tc>
          <w:tcPr>
            <w:tcW w:w="1995" w:type="dxa"/>
            <w:vMerge w:val="continue"/>
            <w:tcBorders>
              <w:bottom w:val="single" w:sz="12" w:space="0" w:color="71B1C8"/>
            </w:tcBorders>
            <w:tcMar>
              <w:bottom w:w="28" w:type="dxa"/>
            </w:tcMar>
            <w:vAlign w:val="center"/>
          </w:tcPr>
          <w:p>
            <w:pPr>
              <w:pStyle w:val="Normal"/>
              <w:bidi w:val="0"/>
              <w:jc w:val="left"/>
              <w:rPr/>
            </w:pPr>
            <w:r>
              <w:rPr/>
            </w:r>
          </w:p>
        </w:tc>
        <w:tc>
          <w:tcPr>
            <w:tcW w:w="157" w:type="dxa"/>
            <w:vMerge w:val="continue"/>
            <w:tcBorders>
              <w:bottom w:val="single" w:sz="12" w:space="0" w:color="71B1C8"/>
            </w:tcBorders>
            <w:tcMar>
              <w:bottom w:w="28" w:type="dxa"/>
            </w:tcMar>
            <w:vAlign w:val="center"/>
          </w:tcPr>
          <w:p>
            <w:pPr>
              <w:pStyle w:val="Normal"/>
              <w:bidi w:val="0"/>
              <w:jc w:val="left"/>
              <w:rPr/>
            </w:pPr>
            <w:r>
              <w:rPr/>
            </w:r>
          </w:p>
        </w:tc>
      </w:tr>
      <w:tr>
        <w:trPr/>
        <w:tc>
          <w:tcPr>
            <w:tcW w:w="124" w:type="dxa"/>
            <w:vMerge w:val="continue"/>
            <w:tcBorders>
              <w:bottom w:val="single" w:sz="12" w:space="0" w:color="71B1C8"/>
            </w:tcBorders>
            <w:tcMar>
              <w:bottom w:w="28" w:type="dxa"/>
            </w:tcMar>
            <w:vAlign w:val="center"/>
          </w:tcPr>
          <w:p>
            <w:pPr>
              <w:pStyle w:val="Normal"/>
              <w:bidi w:val="0"/>
              <w:jc w:val="left"/>
              <w:rPr/>
            </w:pPr>
            <w:r>
              <w:rPr/>
            </w:r>
          </w:p>
        </w:tc>
        <w:tc>
          <w:tcPr>
            <w:tcW w:w="1834" w:type="dxa"/>
            <w:vMerge w:val="continue"/>
            <w:tcBorders>
              <w:bottom w:val="single" w:sz="12" w:space="0" w:color="71B1C8"/>
            </w:tcBorders>
            <w:tcMar>
              <w:bottom w:w="41" w:type="dxa"/>
            </w:tcMar>
            <w:vAlign w:val="center"/>
          </w:tcPr>
          <w:p>
            <w:pPr>
              <w:pStyle w:val="Normal"/>
              <w:bidi w:val="0"/>
              <w:jc w:val="left"/>
              <w:rPr/>
            </w:pPr>
            <w:r>
              <w:rPr/>
            </w:r>
          </w:p>
        </w:tc>
        <w:tc>
          <w:tcPr>
            <w:tcW w:w="109" w:type="dxa"/>
            <w:vMerge w:val="continue"/>
            <w:tcBorders>
              <w:bottom w:val="single" w:sz="12" w:space="0" w:color="71B1C8"/>
            </w:tcBorders>
            <w:tcMar>
              <w:bottom w:w="28" w:type="dxa"/>
            </w:tcMar>
            <w:vAlign w:val="center"/>
          </w:tcPr>
          <w:p>
            <w:pPr>
              <w:pStyle w:val="Normal"/>
              <w:bidi w:val="0"/>
              <w:jc w:val="left"/>
              <w:rPr/>
            </w:pPr>
            <w:r>
              <w:rPr/>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997" w:type="dxa"/>
            <w:tcBorders>
              <w:bottom w:val="single" w:sz="6" w:space="0" w:color="CCCCCC"/>
            </w:tcBorders>
            <w:tcMar>
              <w:bottom w:w="28" w:type="dxa"/>
            </w:tcMar>
            <w:vAlign w:val="center"/>
          </w:tcPr>
          <w:p>
            <w:pPr>
              <w:pStyle w:val="TableContents"/>
              <w:bidi w:val="0"/>
              <w:spacing w:lineRule="atLeast" w:line="189" w:before="0" w:after="0"/>
              <w:jc w:val="left"/>
              <w:rPr>
                <w:spacing w:val="-1"/>
              </w:rPr>
            </w:pPr>
            <w:r>
              <w:rPr>
                <w:spacing w:val="-1"/>
              </w:rPr>
              <w:t xml:space="preserve">2023-2025 Company TSR Performance as compared to S&amp;P MidCap 400 Index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404" w:type="dxa"/>
            <w:tcBorders>
              <w:bottom w:val="single" w:sz="6" w:space="0" w:color="CCCCCC"/>
            </w:tcBorders>
            <w:tcMar>
              <w:bottom w:w="28" w:type="dxa"/>
            </w:tcMar>
            <w:vAlign w:val="center"/>
          </w:tcPr>
          <w:p>
            <w:pPr>
              <w:pStyle w:val="TableContents"/>
              <w:bidi w:val="0"/>
              <w:spacing w:before="0" w:after="0"/>
              <w:jc w:val="center"/>
              <w:rPr>
                <w:spacing w:val="-1"/>
              </w:rPr>
            </w:pPr>
            <w:r>
              <w:rPr>
                <w:spacing w:val="-1"/>
              </w:rPr>
              <w:t xml:space="preserve">$12.83 </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802"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109" w:type="dxa"/>
            <w:vMerge w:val="continue"/>
            <w:tcBorders>
              <w:bottom w:val="single" w:sz="12" w:space="0" w:color="71B1C8"/>
            </w:tcBorders>
            <w:tcMar>
              <w:bottom w:w="28" w:type="dxa"/>
            </w:tcMar>
            <w:vAlign w:val="center"/>
          </w:tcPr>
          <w:p>
            <w:pPr>
              <w:pStyle w:val="Normal"/>
              <w:bidi w:val="0"/>
              <w:jc w:val="left"/>
              <w:rPr/>
            </w:pPr>
            <w:r>
              <w:rPr/>
            </w:r>
          </w:p>
        </w:tc>
        <w:tc>
          <w:tcPr>
            <w:tcW w:w="1995" w:type="dxa"/>
            <w:vMerge w:val="continue"/>
            <w:tcBorders>
              <w:bottom w:val="single" w:sz="12" w:space="0" w:color="71B1C8"/>
            </w:tcBorders>
            <w:tcMar>
              <w:bottom w:w="28" w:type="dxa"/>
            </w:tcMar>
            <w:vAlign w:val="center"/>
          </w:tcPr>
          <w:p>
            <w:pPr>
              <w:pStyle w:val="Normal"/>
              <w:bidi w:val="0"/>
              <w:jc w:val="left"/>
              <w:rPr/>
            </w:pPr>
            <w:r>
              <w:rPr/>
            </w:r>
          </w:p>
        </w:tc>
        <w:tc>
          <w:tcPr>
            <w:tcW w:w="157" w:type="dxa"/>
            <w:vMerge w:val="continue"/>
            <w:tcBorders>
              <w:bottom w:val="single" w:sz="12" w:space="0" w:color="71B1C8"/>
            </w:tcBorders>
            <w:tcMar>
              <w:bottom w:w="28" w:type="dxa"/>
            </w:tcMar>
            <w:vAlign w:val="center"/>
          </w:tcPr>
          <w:p>
            <w:pPr>
              <w:pStyle w:val="Normal"/>
              <w:bidi w:val="0"/>
              <w:jc w:val="left"/>
              <w:rPr/>
            </w:pPr>
            <w:r>
              <w:rPr/>
            </w:r>
          </w:p>
        </w:tc>
      </w:tr>
      <w:tr>
        <w:trPr/>
        <w:tc>
          <w:tcPr>
            <w:tcW w:w="124" w:type="dxa"/>
            <w:vMerge w:val="continue"/>
            <w:tcBorders>
              <w:bottom w:val="single" w:sz="12" w:space="0" w:color="71B1C8"/>
            </w:tcBorders>
            <w:tcMar>
              <w:bottom w:w="28" w:type="dxa"/>
            </w:tcMar>
            <w:vAlign w:val="center"/>
          </w:tcPr>
          <w:p>
            <w:pPr>
              <w:pStyle w:val="Normal"/>
              <w:bidi w:val="0"/>
              <w:jc w:val="left"/>
              <w:rPr/>
            </w:pPr>
            <w:r>
              <w:rPr/>
            </w:r>
          </w:p>
        </w:tc>
        <w:tc>
          <w:tcPr>
            <w:tcW w:w="1834" w:type="dxa"/>
            <w:vMerge w:val="continue"/>
            <w:tcBorders>
              <w:bottom w:val="single" w:sz="12" w:space="0" w:color="71B1C8"/>
            </w:tcBorders>
            <w:tcMar>
              <w:bottom w:w="41" w:type="dxa"/>
            </w:tcMar>
            <w:vAlign w:val="center"/>
          </w:tcPr>
          <w:p>
            <w:pPr>
              <w:pStyle w:val="Normal"/>
              <w:bidi w:val="0"/>
              <w:jc w:val="left"/>
              <w:rPr/>
            </w:pPr>
            <w:r>
              <w:rPr/>
            </w:r>
          </w:p>
        </w:tc>
        <w:tc>
          <w:tcPr>
            <w:tcW w:w="109" w:type="dxa"/>
            <w:vMerge w:val="continue"/>
            <w:tcBorders>
              <w:bottom w:val="single" w:sz="12" w:space="0" w:color="71B1C8"/>
            </w:tcBorders>
            <w:tcMar>
              <w:bottom w:w="28" w:type="dxa"/>
            </w:tcMar>
            <w:vAlign w:val="center"/>
          </w:tcPr>
          <w:p>
            <w:pPr>
              <w:pStyle w:val="Normal"/>
              <w:bidi w:val="0"/>
              <w:jc w:val="left"/>
              <w:rPr/>
            </w:pPr>
            <w:r>
              <w:rPr/>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997"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2023-2025 Company TSR Performance as compared to Peer Company Index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04" w:type="dxa"/>
            <w:tcBorders>
              <w:bottom w:val="single" w:sz="12" w:space="0" w:color="71B1C8"/>
            </w:tcBorders>
            <w:tcMar>
              <w:bottom w:w="28" w:type="dxa"/>
            </w:tcMar>
            <w:vAlign w:val="center"/>
          </w:tcPr>
          <w:p>
            <w:pPr>
              <w:pStyle w:val="TableContents"/>
              <w:bidi w:val="0"/>
              <w:spacing w:before="0" w:after="0"/>
              <w:jc w:val="center"/>
              <w:rPr>
                <w:spacing w:val="-1"/>
              </w:rPr>
            </w:pPr>
            <w:r>
              <w:rPr>
                <w:spacing w:val="-1"/>
              </w:rPr>
              <w:t xml:space="preserve">$40.00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802"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vMerge w:val="continue"/>
            <w:tcBorders>
              <w:bottom w:val="single" w:sz="12" w:space="0" w:color="71B1C8"/>
            </w:tcBorders>
            <w:tcMar>
              <w:bottom w:w="28" w:type="dxa"/>
            </w:tcMar>
            <w:vAlign w:val="center"/>
          </w:tcPr>
          <w:p>
            <w:pPr>
              <w:pStyle w:val="Normal"/>
              <w:bidi w:val="0"/>
              <w:jc w:val="left"/>
              <w:rPr/>
            </w:pPr>
            <w:r>
              <w:rPr/>
            </w:r>
          </w:p>
        </w:tc>
        <w:tc>
          <w:tcPr>
            <w:tcW w:w="1995" w:type="dxa"/>
            <w:vMerge w:val="continue"/>
            <w:tcBorders>
              <w:bottom w:val="single" w:sz="12" w:space="0" w:color="71B1C8"/>
            </w:tcBorders>
            <w:tcMar>
              <w:bottom w:w="28" w:type="dxa"/>
            </w:tcMar>
            <w:vAlign w:val="center"/>
          </w:tcPr>
          <w:p>
            <w:pPr>
              <w:pStyle w:val="Normal"/>
              <w:bidi w:val="0"/>
              <w:jc w:val="left"/>
              <w:rPr/>
            </w:pPr>
            <w:r>
              <w:rPr/>
            </w:r>
          </w:p>
        </w:tc>
        <w:tc>
          <w:tcPr>
            <w:tcW w:w="157" w:type="dxa"/>
            <w:vMerge w:val="continue"/>
            <w:tcBorders>
              <w:bottom w:val="single" w:sz="12" w:space="0" w:color="71B1C8"/>
            </w:tcBorders>
            <w:tcMar>
              <w:bottom w:w="28" w:type="dxa"/>
            </w:tcMar>
            <w:vAlign w:val="center"/>
          </w:tcPr>
          <w:p>
            <w:pPr>
              <w:pStyle w:val="Normal"/>
              <w:bidi w:val="0"/>
              <w:jc w:val="left"/>
              <w:rPr/>
            </w:pPr>
            <w:r>
              <w:rPr/>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53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HWMC"/>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sets forth the actual payouts on the Annual Incentive Compensation and the Performance Units over the past three years as compared to the target payouts:</w:t>
      </w:r>
      <w:r>
        <w:rPr>
          <w:rFonts w:ascii="Arial;Helvetica;sans-serif" w:hAnsi="Arial;Helvetica;sans-serif"/>
          <w:b w:val="false"/>
          <w:i w:val="false"/>
          <w:caps w:val="false"/>
          <w:smallCaps w:val="false"/>
          <w:color w:val="000000"/>
          <w:spacing w:val="4"/>
          <w:sz w:val="18"/>
        </w:rPr>
        <w:t xml:space="preserve"> </w:t>
      </w:r>
    </w:p>
    <w:tbl>
      <w:tblPr>
        <w:tblW w:w="15279" w:type="dxa"/>
        <w:jc w:val="left"/>
        <w:tblInd w:w="1020" w:type="dxa"/>
        <w:tblLayout w:type="fixed"/>
        <w:tblCellMar>
          <w:top w:w="0" w:type="dxa"/>
          <w:left w:w="0" w:type="dxa"/>
          <w:bottom w:w="0" w:type="dxa"/>
          <w:right w:w="0" w:type="dxa"/>
        </w:tblCellMar>
      </w:tblPr>
      <w:tblGrid>
        <w:gridCol w:w="124"/>
        <w:gridCol w:w="583"/>
        <w:gridCol w:w="109"/>
        <w:gridCol w:w="109"/>
        <w:gridCol w:w="109"/>
        <w:gridCol w:w="109"/>
        <w:gridCol w:w="1066"/>
        <w:gridCol w:w="109"/>
        <w:gridCol w:w="109"/>
        <w:gridCol w:w="109"/>
        <w:gridCol w:w="109"/>
        <w:gridCol w:w="109"/>
        <w:gridCol w:w="1066"/>
        <w:gridCol w:w="109"/>
        <w:gridCol w:w="109"/>
        <w:gridCol w:w="109"/>
        <w:gridCol w:w="153"/>
        <w:gridCol w:w="153"/>
        <w:gridCol w:w="906"/>
        <w:gridCol w:w="154"/>
        <w:gridCol w:w="109"/>
        <w:gridCol w:w="109"/>
        <w:gridCol w:w="109"/>
        <w:gridCol w:w="109"/>
        <w:gridCol w:w="1066"/>
        <w:gridCol w:w="109"/>
        <w:gridCol w:w="109"/>
        <w:gridCol w:w="109"/>
        <w:gridCol w:w="109"/>
        <w:gridCol w:w="109"/>
        <w:gridCol w:w="1066"/>
        <w:gridCol w:w="109"/>
        <w:gridCol w:w="109"/>
        <w:gridCol w:w="109"/>
        <w:gridCol w:w="153"/>
        <w:gridCol w:w="153"/>
        <w:gridCol w:w="906"/>
        <w:gridCol w:w="154"/>
        <w:gridCol w:w="109"/>
        <w:gridCol w:w="109"/>
        <w:gridCol w:w="109"/>
        <w:gridCol w:w="109"/>
        <w:gridCol w:w="1066"/>
        <w:gridCol w:w="109"/>
        <w:gridCol w:w="109"/>
        <w:gridCol w:w="109"/>
        <w:gridCol w:w="109"/>
        <w:gridCol w:w="109"/>
        <w:gridCol w:w="1066"/>
        <w:gridCol w:w="109"/>
        <w:gridCol w:w="109"/>
        <w:gridCol w:w="109"/>
        <w:gridCol w:w="153"/>
        <w:gridCol w:w="153"/>
        <w:gridCol w:w="906"/>
        <w:gridCol w:w="154"/>
        <w:gridCol w:w="154"/>
      </w:tblGrid>
      <w:tr>
        <w:trPr/>
        <w:tc>
          <w:tcPr>
            <w:tcW w:w="124" w:type="dxa"/>
            <w:vMerge w:val="restart"/>
            <w:tcBorders/>
            <w:shd w:fill="002F56" w:val="clear"/>
            <w:vAlign w:val="center"/>
          </w:tcPr>
          <w:p>
            <w:pPr>
              <w:pStyle w:val="TableContents"/>
              <w:bidi w:val="0"/>
              <w:spacing w:before="0" w:after="283"/>
              <w:jc w:val="left"/>
              <w:rPr/>
            </w:pPr>
            <w:r>
              <w:rPr/>
              <w:t>​</w:t>
            </w:r>
          </w:p>
        </w:tc>
        <w:tc>
          <w:tcPr>
            <w:tcW w:w="583" w:type="dxa"/>
            <w:vMerge w:val="restart"/>
            <w:tcBorders/>
            <w:shd w:fill="002F56" w:val="clear"/>
            <w:vAlign w:val="center"/>
          </w:tcPr>
          <w:p>
            <w:pPr>
              <w:pStyle w:val="TableContents"/>
              <w:bidi w:val="0"/>
              <w:spacing w:lineRule="atLeast" w:line="179" w:before="0" w:after="0"/>
              <w:jc w:val="left"/>
              <w:rPr/>
            </w:pPr>
            <w:r>
              <w:rPr>
                <w:spacing w:val="0"/>
              </w:rPr>
              <w:t>Year</w:t>
            </w:r>
            <w:r>
              <w:rPr/>
              <w:t xml:space="preserve"> </w:t>
            </w:r>
          </w:p>
        </w:tc>
        <w:tc>
          <w:tcPr>
            <w:tcW w:w="109" w:type="dxa"/>
            <w:vMerge w:val="restart"/>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c>
          <w:tcPr>
            <w:tcW w:w="4588" w:type="dxa"/>
            <w:gridSpan w:val="16"/>
            <w:tcBorders>
              <w:bottom w:val="single" w:sz="6" w:space="0" w:color="71B1C8"/>
            </w:tcBorders>
            <w:shd w:fill="002F56" w:val="clear"/>
            <w:tcMar>
              <w:bottom w:w="56" w:type="dxa"/>
            </w:tcMar>
            <w:vAlign w:val="center"/>
          </w:tcPr>
          <w:p>
            <w:pPr>
              <w:pStyle w:val="TableContents"/>
              <w:bidi w:val="0"/>
              <w:spacing w:before="0" w:after="0"/>
              <w:jc w:val="center"/>
              <w:rPr>
                <w:spacing w:val="0"/>
              </w:rPr>
            </w:pPr>
            <w:r>
              <w:rPr>
                <w:spacing w:val="0"/>
              </w:rPr>
              <w:t xml:space="preserve">Annual Incentive Bonus </w:t>
            </w:r>
          </w:p>
        </w:tc>
        <w:tc>
          <w:tcPr>
            <w:tcW w:w="109"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4588" w:type="dxa"/>
            <w:gridSpan w:val="16"/>
            <w:tcBorders>
              <w:bottom w:val="single" w:sz="6" w:space="0" w:color="71B1C8"/>
            </w:tcBorders>
            <w:shd w:fill="002F56" w:val="clear"/>
            <w:tcMar>
              <w:bottom w:w="56" w:type="dxa"/>
            </w:tcMar>
            <w:vAlign w:val="center"/>
          </w:tcPr>
          <w:p>
            <w:pPr>
              <w:pStyle w:val="TableContents"/>
              <w:bidi w:val="0"/>
              <w:spacing w:before="0" w:after="0"/>
              <w:jc w:val="center"/>
              <w:rPr>
                <w:spacing w:val="0"/>
              </w:rPr>
            </w:pPr>
            <w:r>
              <w:rPr>
                <w:spacing w:val="0"/>
              </w:rPr>
              <w:t xml:space="preserve">Long-Term Incentive Payout </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c>
          <w:tcPr>
            <w:tcW w:w="4588" w:type="dxa"/>
            <w:gridSpan w:val="16"/>
            <w:tcBorders>
              <w:bottom w:val="single" w:sz="6" w:space="0" w:color="71B1C8"/>
            </w:tcBorders>
            <w:shd w:fill="002F56" w:val="clear"/>
            <w:tcMar>
              <w:bottom w:w="56" w:type="dxa"/>
            </w:tcMar>
            <w:vAlign w:val="center"/>
          </w:tcPr>
          <w:p>
            <w:pPr>
              <w:pStyle w:val="TableContents"/>
              <w:bidi w:val="0"/>
              <w:spacing w:before="0" w:after="0"/>
              <w:jc w:val="center"/>
              <w:rPr>
                <w:spacing w:val="0"/>
              </w:rPr>
            </w:pPr>
            <w:r>
              <w:rPr>
                <w:spacing w:val="0"/>
              </w:rPr>
              <w:t xml:space="preserve">Total </w:t>
            </w:r>
          </w:p>
        </w:tc>
        <w:tc>
          <w:tcPr>
            <w:tcW w:w="154" w:type="dxa"/>
            <w:tcBorders>
              <w:bottom w:val="single" w:sz="6" w:space="0" w:color="71B1C8"/>
            </w:tcBorders>
            <w:shd w:fill="002F56"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2F56" w:val="clear"/>
            <w:vAlign w:val="center"/>
          </w:tcPr>
          <w:p>
            <w:pPr>
              <w:pStyle w:val="Normal"/>
              <w:bidi w:val="0"/>
              <w:jc w:val="left"/>
              <w:rPr/>
            </w:pPr>
            <w:r>
              <w:rPr/>
            </w:r>
          </w:p>
        </w:tc>
        <w:tc>
          <w:tcPr>
            <w:tcW w:w="583" w:type="dxa"/>
            <w:vMerge w:val="continue"/>
            <w:tcBorders/>
            <w:shd w:fill="002F56" w:val="clear"/>
            <w:vAlign w:val="center"/>
          </w:tcPr>
          <w:p>
            <w:pPr>
              <w:pStyle w:val="Normal"/>
              <w:bidi w:val="0"/>
              <w:jc w:val="left"/>
              <w:rPr/>
            </w:pPr>
            <w:r>
              <w:rPr/>
            </w:r>
          </w:p>
        </w:tc>
        <w:tc>
          <w:tcPr>
            <w:tcW w:w="109" w:type="dxa"/>
            <w:vMerge w:val="continue"/>
            <w:tcBorders/>
            <w:shd w:fill="002F56" w:val="clear"/>
            <w:vAlign w:val="center"/>
          </w:tcPr>
          <w:p>
            <w:pPr>
              <w:pStyle w:val="Normal"/>
              <w:bidi w:val="0"/>
              <w:jc w:val="left"/>
              <w:rPr/>
            </w:pPr>
            <w:r>
              <w:rPr/>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Payout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spacing w:val="0"/>
              </w:rPr>
            </w:pPr>
            <w:r>
              <w:rPr>
                <w:spacing w:val="0"/>
              </w:rPr>
              <w:t xml:space="preserve">Percent </w:t>
              <w:br/>
              <w:t xml:space="preserve">Achievement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Payout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spacing w:val="0"/>
              </w:rPr>
            </w:pPr>
            <w:r>
              <w:rPr>
                <w:spacing w:val="0"/>
              </w:rPr>
              <w:t xml:space="preserve">Percent </w:t>
              <w:br/>
              <w:t xml:space="preserve">Achievement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Payout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spacing w:val="0"/>
              </w:rPr>
            </w:pPr>
            <w:r>
              <w:rPr>
                <w:spacing w:val="0"/>
              </w:rPr>
              <w:t xml:space="preserve">Percent </w:t>
              <w:br/>
              <w:t xml:space="preserve">Achievement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83"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1,312,500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1,129,144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7" w:type="dxa"/>
            </w:tcMar>
            <w:vAlign w:val="center"/>
          </w:tcPr>
          <w:p>
            <w:pPr>
              <w:pStyle w:val="TableContents"/>
              <w:bidi w:val="0"/>
              <w:spacing w:before="0" w:after="283"/>
              <w:jc w:val="right"/>
              <w:rPr/>
            </w:pPr>
            <w:r>
              <w:rPr/>
              <w:t>​</w:t>
            </w:r>
          </w:p>
        </w:tc>
        <w:tc>
          <w:tcPr>
            <w:tcW w:w="906" w:type="dxa"/>
            <w:tcBorders>
              <w:bottom w:val="single" w:sz="6" w:space="0" w:color="BFBFBF"/>
            </w:tcBorders>
            <w:tcMar>
              <w:bottom w:w="47" w:type="dxa"/>
            </w:tcMar>
            <w:vAlign w:val="center"/>
          </w:tcPr>
          <w:p>
            <w:pPr>
              <w:pStyle w:val="TableContents"/>
              <w:bidi w:val="0"/>
              <w:spacing w:before="0" w:after="283"/>
              <w:jc w:val="right"/>
              <w:rPr/>
            </w:pPr>
            <w:r>
              <w:rPr/>
              <w:t>86.0%</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2,205,000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1,762,016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7" w:type="dxa"/>
            </w:tcMar>
            <w:vAlign w:val="center"/>
          </w:tcPr>
          <w:p>
            <w:pPr>
              <w:pStyle w:val="TableContents"/>
              <w:bidi w:val="0"/>
              <w:spacing w:before="0" w:after="283"/>
              <w:jc w:val="right"/>
              <w:rPr/>
            </w:pPr>
            <w:r>
              <w:rPr/>
              <w:t>​</w:t>
            </w:r>
          </w:p>
        </w:tc>
        <w:tc>
          <w:tcPr>
            <w:tcW w:w="906" w:type="dxa"/>
            <w:tcBorders>
              <w:bottom w:val="single" w:sz="6" w:space="0" w:color="BFBFBF"/>
            </w:tcBorders>
            <w:tcMar>
              <w:bottom w:w="47" w:type="dxa"/>
            </w:tcMar>
            <w:vAlign w:val="center"/>
          </w:tcPr>
          <w:p>
            <w:pPr>
              <w:pStyle w:val="TableContents"/>
              <w:bidi w:val="0"/>
              <w:spacing w:before="0" w:after="283"/>
              <w:jc w:val="right"/>
              <w:rPr/>
            </w:pPr>
            <w:r>
              <w:rPr/>
              <w:t>79.9%</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0"/>
              <w:jc w:val="right"/>
              <w:rPr/>
            </w:pPr>
            <w:r>
              <w:rPr/>
              <w:t>​</w:t>
            </w:r>
          </w:p>
        </w:tc>
        <w:tc>
          <w:tcPr>
            <w:tcW w:w="1066" w:type="dxa"/>
            <w:tcBorders>
              <w:bottom w:val="single" w:sz="6" w:space="0" w:color="BFBFBF"/>
            </w:tcBorders>
            <w:tcMar>
              <w:bottom w:w="47" w:type="dxa"/>
            </w:tcMar>
            <w:vAlign w:val="center"/>
          </w:tcPr>
          <w:p>
            <w:pPr>
              <w:pStyle w:val="TableContents"/>
              <w:bidi w:val="0"/>
              <w:spacing w:before="0" w:after="0"/>
              <w:jc w:val="right"/>
              <w:rPr>
                <w:b/>
              </w:rPr>
            </w:pPr>
            <w:r>
              <w:rPr>
                <w:b/>
              </w:rPr>
              <w:t>3,517,500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0"/>
              <w:jc w:val="right"/>
              <w:rPr/>
            </w:pPr>
            <w:r>
              <w:rPr/>
              <w:t>​</w:t>
            </w:r>
          </w:p>
        </w:tc>
        <w:tc>
          <w:tcPr>
            <w:tcW w:w="1066" w:type="dxa"/>
            <w:tcBorders>
              <w:bottom w:val="single" w:sz="6" w:space="0" w:color="BFBFBF"/>
            </w:tcBorders>
            <w:tcMar>
              <w:bottom w:w="47" w:type="dxa"/>
            </w:tcMar>
            <w:vAlign w:val="center"/>
          </w:tcPr>
          <w:p>
            <w:pPr>
              <w:pStyle w:val="TableContents"/>
              <w:bidi w:val="0"/>
              <w:spacing w:before="0" w:after="0"/>
              <w:jc w:val="right"/>
              <w:rPr>
                <w:b/>
              </w:rPr>
            </w:pPr>
            <w:r>
              <w:rPr>
                <w:b/>
              </w:rPr>
              <w:t>2,891,160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7" w:type="dxa"/>
            </w:tcMar>
            <w:vAlign w:val="center"/>
          </w:tcPr>
          <w:p>
            <w:pPr>
              <w:pStyle w:val="TableContents"/>
              <w:bidi w:val="0"/>
              <w:spacing w:before="0" w:after="0"/>
              <w:jc w:val="right"/>
              <w:rPr/>
            </w:pPr>
            <w:r>
              <w:rPr/>
              <w:t>​</w:t>
            </w:r>
          </w:p>
        </w:tc>
        <w:tc>
          <w:tcPr>
            <w:tcW w:w="906" w:type="dxa"/>
            <w:tcBorders>
              <w:bottom w:val="single" w:sz="6" w:space="0" w:color="BFBFBF"/>
            </w:tcBorders>
            <w:tcMar>
              <w:bottom w:w="47" w:type="dxa"/>
            </w:tcMar>
            <w:vAlign w:val="center"/>
          </w:tcPr>
          <w:p>
            <w:pPr>
              <w:pStyle w:val="TableContents"/>
              <w:bidi w:val="0"/>
              <w:spacing w:before="0" w:after="0"/>
              <w:jc w:val="right"/>
              <w:rPr>
                <w:b/>
              </w:rPr>
            </w:pPr>
            <w:r>
              <w:rPr>
                <w:b/>
              </w:rPr>
              <w:t>82.2%</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83"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1,312,500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1,891,008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7" w:type="dxa"/>
            </w:tcMar>
            <w:vAlign w:val="center"/>
          </w:tcPr>
          <w:p>
            <w:pPr>
              <w:pStyle w:val="TableContents"/>
              <w:bidi w:val="0"/>
              <w:spacing w:before="0" w:after="283"/>
              <w:jc w:val="right"/>
              <w:rPr/>
            </w:pPr>
            <w:r>
              <w:rPr/>
              <w:t>​</w:t>
            </w:r>
          </w:p>
        </w:tc>
        <w:tc>
          <w:tcPr>
            <w:tcW w:w="906" w:type="dxa"/>
            <w:tcBorders>
              <w:bottom w:val="single" w:sz="6" w:space="0" w:color="BFBFBF"/>
            </w:tcBorders>
            <w:tcMar>
              <w:bottom w:w="47" w:type="dxa"/>
            </w:tcMar>
            <w:vAlign w:val="center"/>
          </w:tcPr>
          <w:p>
            <w:pPr>
              <w:pStyle w:val="TableContents"/>
              <w:bidi w:val="0"/>
              <w:spacing w:before="0" w:after="283"/>
              <w:jc w:val="right"/>
              <w:rPr/>
            </w:pPr>
            <w:r>
              <w:rPr/>
              <w:t>144.1%</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2,000,000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2,165,400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7" w:type="dxa"/>
            </w:tcMar>
            <w:vAlign w:val="center"/>
          </w:tcPr>
          <w:p>
            <w:pPr>
              <w:pStyle w:val="TableContents"/>
              <w:bidi w:val="0"/>
              <w:spacing w:before="0" w:after="283"/>
              <w:jc w:val="right"/>
              <w:rPr/>
            </w:pPr>
            <w:r>
              <w:rPr/>
              <w:t>​</w:t>
            </w:r>
          </w:p>
        </w:tc>
        <w:tc>
          <w:tcPr>
            <w:tcW w:w="906" w:type="dxa"/>
            <w:tcBorders>
              <w:bottom w:val="single" w:sz="6" w:space="0" w:color="BFBFBF"/>
            </w:tcBorders>
            <w:tcMar>
              <w:bottom w:w="47" w:type="dxa"/>
            </w:tcMar>
            <w:vAlign w:val="center"/>
          </w:tcPr>
          <w:p>
            <w:pPr>
              <w:pStyle w:val="TableContents"/>
              <w:bidi w:val="0"/>
              <w:spacing w:before="0" w:after="283"/>
              <w:jc w:val="right"/>
              <w:rPr/>
            </w:pPr>
            <w:r>
              <w:rPr/>
              <w:t>108.3%</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0"/>
              <w:jc w:val="right"/>
              <w:rPr/>
            </w:pPr>
            <w:r>
              <w:rPr/>
              <w:t>​</w:t>
            </w:r>
          </w:p>
        </w:tc>
        <w:tc>
          <w:tcPr>
            <w:tcW w:w="1066" w:type="dxa"/>
            <w:tcBorders>
              <w:bottom w:val="single" w:sz="6" w:space="0" w:color="BFBFBF"/>
            </w:tcBorders>
            <w:tcMar>
              <w:bottom w:w="47" w:type="dxa"/>
            </w:tcMar>
            <w:vAlign w:val="center"/>
          </w:tcPr>
          <w:p>
            <w:pPr>
              <w:pStyle w:val="TableContents"/>
              <w:bidi w:val="0"/>
              <w:spacing w:before="0" w:after="0"/>
              <w:jc w:val="right"/>
              <w:rPr>
                <w:b/>
              </w:rPr>
            </w:pPr>
            <w:r>
              <w:rPr>
                <w:b/>
              </w:rPr>
              <w:t>3,312,500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0"/>
              <w:jc w:val="right"/>
              <w:rPr/>
            </w:pPr>
            <w:r>
              <w:rPr/>
              <w:t>​</w:t>
            </w:r>
          </w:p>
        </w:tc>
        <w:tc>
          <w:tcPr>
            <w:tcW w:w="1066" w:type="dxa"/>
            <w:tcBorders>
              <w:bottom w:val="single" w:sz="6" w:space="0" w:color="BFBFBF"/>
            </w:tcBorders>
            <w:tcMar>
              <w:bottom w:w="47" w:type="dxa"/>
            </w:tcMar>
            <w:vAlign w:val="center"/>
          </w:tcPr>
          <w:p>
            <w:pPr>
              <w:pStyle w:val="TableContents"/>
              <w:bidi w:val="0"/>
              <w:spacing w:before="0" w:after="0"/>
              <w:jc w:val="right"/>
              <w:rPr>
                <w:b/>
              </w:rPr>
            </w:pPr>
            <w:r>
              <w:rPr>
                <w:b/>
              </w:rPr>
              <w:t>4,056,408</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28" w:type="dxa"/>
            </w:tcMar>
            <w:vAlign w:val="center"/>
          </w:tcPr>
          <w:p>
            <w:pPr>
              <w:pStyle w:val="TableContents"/>
              <w:bidi w:val="0"/>
              <w:spacing w:before="0" w:after="283"/>
              <w:jc w:val="left"/>
              <w:rPr/>
            </w:pPr>
            <w:r>
              <w:rPr/>
              <w:t>​</w:t>
            </w:r>
          </w:p>
        </w:tc>
        <w:tc>
          <w:tcPr>
            <w:tcW w:w="153" w:type="dxa"/>
            <w:tcBorders>
              <w:bottom w:val="single" w:sz="6" w:space="0" w:color="BFBFBF"/>
            </w:tcBorders>
            <w:tcMar>
              <w:bottom w:w="47" w:type="dxa"/>
            </w:tcMar>
            <w:vAlign w:val="center"/>
          </w:tcPr>
          <w:p>
            <w:pPr>
              <w:pStyle w:val="TableContents"/>
              <w:bidi w:val="0"/>
              <w:spacing w:before="0" w:after="0"/>
              <w:jc w:val="right"/>
              <w:rPr/>
            </w:pPr>
            <w:r>
              <w:rPr/>
              <w:t>​</w:t>
            </w:r>
          </w:p>
        </w:tc>
        <w:tc>
          <w:tcPr>
            <w:tcW w:w="906" w:type="dxa"/>
            <w:tcBorders>
              <w:bottom w:val="single" w:sz="6" w:space="0" w:color="BFBFBF"/>
            </w:tcBorders>
            <w:tcMar>
              <w:bottom w:w="47" w:type="dxa"/>
            </w:tcMar>
            <w:vAlign w:val="center"/>
          </w:tcPr>
          <w:p>
            <w:pPr>
              <w:pStyle w:val="TableContents"/>
              <w:bidi w:val="0"/>
              <w:spacing w:before="0" w:after="0"/>
              <w:jc w:val="right"/>
              <w:rPr>
                <w:b/>
              </w:rPr>
            </w:pPr>
            <w:r>
              <w:rPr>
                <w:b/>
              </w:rPr>
              <w:t>122.5%</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583"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1,312,500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1,583,842</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right"/>
              <w:rPr/>
            </w:pPr>
            <w:r>
              <w:rPr/>
              <w:t>​</w:t>
            </w:r>
          </w:p>
        </w:tc>
        <w:tc>
          <w:tcPr>
            <w:tcW w:w="906" w:type="dxa"/>
            <w:tcBorders>
              <w:bottom w:val="single" w:sz="12" w:space="0" w:color="71B1C8"/>
            </w:tcBorders>
            <w:tcMar>
              <w:bottom w:w="28" w:type="dxa"/>
            </w:tcMar>
            <w:vAlign w:val="center"/>
          </w:tcPr>
          <w:p>
            <w:pPr>
              <w:pStyle w:val="TableContents"/>
              <w:bidi w:val="0"/>
              <w:spacing w:before="0" w:after="283"/>
              <w:jc w:val="right"/>
              <w:rPr/>
            </w:pPr>
            <w:r>
              <w:rPr/>
              <w:t>120.7%</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1,920,000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1,611,840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right"/>
              <w:rPr/>
            </w:pPr>
            <w:r>
              <w:rPr/>
              <w:t>​</w:t>
            </w:r>
          </w:p>
        </w:tc>
        <w:tc>
          <w:tcPr>
            <w:tcW w:w="906" w:type="dxa"/>
            <w:tcBorders>
              <w:bottom w:val="single" w:sz="12" w:space="0" w:color="71B1C8"/>
            </w:tcBorders>
            <w:tcMar>
              <w:bottom w:w="28" w:type="dxa"/>
            </w:tcMar>
            <w:vAlign w:val="center"/>
          </w:tcPr>
          <w:p>
            <w:pPr>
              <w:pStyle w:val="TableContents"/>
              <w:bidi w:val="0"/>
              <w:spacing w:before="0" w:after="283"/>
              <w:jc w:val="right"/>
              <w:rPr/>
            </w:pPr>
            <w:r>
              <w:rPr/>
              <w:t>84.0%</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0"/>
              <w:jc w:val="right"/>
              <w:rPr/>
            </w:pPr>
            <w:r>
              <w:rPr/>
              <w:t>​</w:t>
            </w:r>
          </w:p>
        </w:tc>
        <w:tc>
          <w:tcPr>
            <w:tcW w:w="1066" w:type="dxa"/>
            <w:tcBorders>
              <w:bottom w:val="single" w:sz="12" w:space="0" w:color="71B1C8"/>
            </w:tcBorders>
            <w:tcMar>
              <w:bottom w:w="28" w:type="dxa"/>
            </w:tcMar>
            <w:vAlign w:val="center"/>
          </w:tcPr>
          <w:p>
            <w:pPr>
              <w:pStyle w:val="TableContents"/>
              <w:bidi w:val="0"/>
              <w:spacing w:before="0" w:after="0"/>
              <w:jc w:val="right"/>
              <w:rPr>
                <w:b/>
              </w:rPr>
            </w:pPr>
            <w:r>
              <w:rPr>
                <w:b/>
              </w:rPr>
              <w:t>3,232,500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0"/>
              <w:jc w:val="right"/>
              <w:rPr/>
            </w:pPr>
            <w:r>
              <w:rPr/>
              <w:t>​</w:t>
            </w:r>
          </w:p>
        </w:tc>
        <w:tc>
          <w:tcPr>
            <w:tcW w:w="1066" w:type="dxa"/>
            <w:tcBorders>
              <w:bottom w:val="single" w:sz="12" w:space="0" w:color="71B1C8"/>
            </w:tcBorders>
            <w:tcMar>
              <w:bottom w:w="28" w:type="dxa"/>
            </w:tcMar>
            <w:vAlign w:val="center"/>
          </w:tcPr>
          <w:p>
            <w:pPr>
              <w:pStyle w:val="TableContents"/>
              <w:bidi w:val="0"/>
              <w:spacing w:before="0" w:after="0"/>
              <w:jc w:val="right"/>
              <w:rPr>
                <w:b/>
              </w:rPr>
            </w:pPr>
            <w:r>
              <w:rPr>
                <w:b/>
              </w:rPr>
              <w:t>3,195,682</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283"/>
              <w:jc w:val="left"/>
              <w:rPr/>
            </w:pPr>
            <w:r>
              <w:rPr/>
              <w:t>​</w:t>
            </w:r>
          </w:p>
        </w:tc>
        <w:tc>
          <w:tcPr>
            <w:tcW w:w="153" w:type="dxa"/>
            <w:tcBorders>
              <w:bottom w:val="single" w:sz="12" w:space="0" w:color="71B1C8"/>
            </w:tcBorders>
            <w:tcMar>
              <w:bottom w:w="28" w:type="dxa"/>
            </w:tcMar>
            <w:vAlign w:val="center"/>
          </w:tcPr>
          <w:p>
            <w:pPr>
              <w:pStyle w:val="TableContents"/>
              <w:bidi w:val="0"/>
              <w:spacing w:before="0" w:after="0"/>
              <w:jc w:val="right"/>
              <w:rPr/>
            </w:pPr>
            <w:r>
              <w:rPr/>
              <w:t>​</w:t>
            </w:r>
          </w:p>
        </w:tc>
        <w:tc>
          <w:tcPr>
            <w:tcW w:w="906" w:type="dxa"/>
            <w:tcBorders>
              <w:bottom w:val="single" w:sz="12" w:space="0" w:color="71B1C8"/>
            </w:tcBorders>
            <w:tcMar>
              <w:bottom w:w="28" w:type="dxa"/>
            </w:tcMar>
            <w:vAlign w:val="center"/>
          </w:tcPr>
          <w:p>
            <w:pPr>
              <w:pStyle w:val="TableContents"/>
              <w:bidi w:val="0"/>
              <w:spacing w:before="0" w:after="0"/>
              <w:jc w:val="right"/>
              <w:rPr>
                <w:b/>
              </w:rPr>
            </w:pPr>
            <w:r>
              <w:rPr>
                <w:b/>
              </w:rPr>
              <w:t>98.9%</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283"/>
        <w:ind w:left="1020" w:right="0" w:hanging="0"/>
        <w:jc w:val="left"/>
        <w:rPr>
          <w:caps w:val="false"/>
          <w:smallCaps w:val="false"/>
          <w:color w:val="000000"/>
          <w:bdr w:val="single" w:sz="12" w:space="1" w:color="71B1C8"/>
        </w:rPr>
      </w:pPr>
      <w:r>
        <w:rPr>
          <w:caps w:val="false"/>
          <w:smallCaps w:val="false"/>
          <w:color w:val="000000"/>
          <w:bdr w:val="single" w:sz="12" w:space="1" w:color="71B1C8"/>
        </w:rPr>
        <w:t>​</w:t>
      </w:r>
    </w:p>
    <w:p>
      <w:pPr>
        <w:pStyle w:val="TextBody"/>
        <w:bidi w:val="0"/>
        <w:spacing w:lineRule="atLeast" w:line="24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7"/>
          <w:sz w:val="20"/>
        </w:rPr>
        <w:t>EQUITY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majority of our long-term incentives are equity-based awards (stock options and DRSUs), which we believe provides a direct link between pay and stockholder interests. Realizable value is the value of an award subsequent to the grant date and is influenced by the Company’s stock price. The focus on realizable value shifts the view of compensation from the future value on the date of grant to the current value of awards based on actual performance and the current stock price.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the total realizable compensation for Mr. Dietrich, for the years 2023-2025, along with Mr. Dietrich’s total compensation as reported in the Summary Compensation Table for that time frame. When calculating the values of DRSUs (stock awards) and option awards, the Summary Compensation Table reflects the grant-date values of the awards without consideration of the ultimate value (if any) that may be realized by the executive from these awards. For example, if the value of a DRSU on the date of grant was $50, we report its value in the Summary Compensation Table at $50, but its realizable value today could be higher or lower depending upon the stock’s performance subsequent to the date of grant. Realizable value of a stock option is the option’s “in-the-money” value that an executive officer could realize upon exercising the option. When calculating total realizable compensation, the value of each year’s equity award was determined using the value of the award based on the Company’s December 31, 2025 stock price for vested awards or, for awards outstanding and not vested, the expected value at vesting based on the December 31, 2025 stock price.</w:t>
      </w:r>
      <w:r>
        <w:rPr>
          <w:rFonts w:ascii="Arial;Helvetica;sans-serif" w:hAnsi="Arial;Helvetica;sans-serif"/>
          <w:b w:val="false"/>
          <w:i w:val="false"/>
          <w:caps w:val="false"/>
          <w:smallCaps w:val="false"/>
          <w:color w:val="000000"/>
          <w:spacing w:val="4"/>
          <w:sz w:val="18"/>
        </w:rPr>
        <w:t xml:space="preserve"> </w:t>
      </w:r>
    </w:p>
    <w:tbl>
      <w:tblPr>
        <w:tblW w:w="14076" w:type="dxa"/>
        <w:jc w:val="left"/>
        <w:tblInd w:w="1020" w:type="dxa"/>
        <w:tblLayout w:type="fixed"/>
        <w:tblCellMar>
          <w:top w:w="0" w:type="dxa"/>
          <w:left w:w="0" w:type="dxa"/>
          <w:bottom w:w="0" w:type="dxa"/>
          <w:right w:w="0" w:type="dxa"/>
        </w:tblCellMar>
      </w:tblPr>
      <w:tblGrid>
        <w:gridCol w:w="124"/>
        <w:gridCol w:w="583"/>
        <w:gridCol w:w="109"/>
        <w:gridCol w:w="109"/>
        <w:gridCol w:w="1471"/>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15"/>
        <w:gridCol w:w="115"/>
        <w:gridCol w:w="1125"/>
        <w:gridCol w:w="116"/>
        <w:gridCol w:w="109"/>
        <w:gridCol w:w="109"/>
        <w:gridCol w:w="125"/>
        <w:gridCol w:w="125"/>
        <w:gridCol w:w="1108"/>
        <w:gridCol w:w="128"/>
        <w:gridCol w:w="109"/>
        <w:gridCol w:w="109"/>
        <w:gridCol w:w="146"/>
        <w:gridCol w:w="146"/>
        <w:gridCol w:w="1030"/>
        <w:gridCol w:w="149"/>
        <w:gridCol w:w="109"/>
        <w:gridCol w:w="109"/>
        <w:gridCol w:w="109"/>
        <w:gridCol w:w="109"/>
        <w:gridCol w:w="1066"/>
        <w:gridCol w:w="109"/>
        <w:gridCol w:w="154"/>
      </w:tblGrid>
      <w:tr>
        <w:trPr/>
        <w:tc>
          <w:tcPr>
            <w:tcW w:w="124" w:type="dxa"/>
            <w:tcBorders/>
            <w:shd w:fill="002F56" w:val="clear"/>
            <w:vAlign w:val="center"/>
          </w:tcPr>
          <w:p>
            <w:pPr>
              <w:pStyle w:val="TableContents"/>
              <w:bidi w:val="0"/>
              <w:spacing w:before="0" w:after="283"/>
              <w:jc w:val="left"/>
              <w:rPr/>
            </w:pPr>
            <w:r>
              <w:rPr/>
              <w:t>​</w:t>
            </w:r>
          </w:p>
        </w:tc>
        <w:tc>
          <w:tcPr>
            <w:tcW w:w="583" w:type="dxa"/>
            <w:tcBorders/>
            <w:shd w:fill="002F56" w:val="clear"/>
            <w:vAlign w:val="center"/>
          </w:tcPr>
          <w:p>
            <w:pPr>
              <w:pStyle w:val="TableContents"/>
              <w:bidi w:val="0"/>
              <w:spacing w:before="0" w:after="0"/>
              <w:jc w:val="left"/>
              <w:rPr>
                <w:spacing w:val="0"/>
              </w:rPr>
            </w:pPr>
            <w:r>
              <w:rPr>
                <w:spacing w:val="0"/>
              </w:rPr>
              <w:t xml:space="preserve">Year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1" w:type="dxa"/>
            <w:tcBorders/>
            <w:shd w:fill="002F56" w:val="clear"/>
            <w:vAlign w:val="center"/>
          </w:tcPr>
          <w:p>
            <w:pPr>
              <w:pStyle w:val="TableContents"/>
              <w:bidi w:val="0"/>
              <w:spacing w:before="0" w:after="0"/>
              <w:jc w:val="center"/>
              <w:rPr>
                <w:spacing w:val="0"/>
              </w:rPr>
            </w:pPr>
            <w:r>
              <w:rPr>
                <w:spacing w:val="0"/>
              </w:rPr>
              <w:t xml:space="preserve">Compensation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Salary</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 xml:space="preserve">Stock </w:t>
              <w:br/>
              <w:t>Awards</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 xml:space="preserve">Option </w:t>
              <w:br/>
              <w:t>Awards</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1" w:type="dxa"/>
            <w:gridSpan w:val="4"/>
            <w:tcBorders/>
            <w:shd w:fill="002F56" w:val="clear"/>
            <w:vAlign w:val="center"/>
          </w:tcPr>
          <w:p>
            <w:pPr>
              <w:pStyle w:val="TableContents"/>
              <w:bidi w:val="0"/>
              <w:spacing w:lineRule="atLeast" w:line="179" w:before="0" w:after="0"/>
              <w:jc w:val="center"/>
              <w:rPr/>
            </w:pPr>
            <w:r>
              <w:rPr>
                <w:spacing w:val="0"/>
              </w:rPr>
              <w:t xml:space="preserve">Non-Equity </w:t>
              <w:br/>
              <w:t xml:space="preserve">Incentive Plan </w:t>
              <w:br/>
              <w:t>Compensation</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86" w:type="dxa"/>
            <w:gridSpan w:val="4"/>
            <w:tcBorders/>
            <w:shd w:fill="002F56" w:val="clear"/>
            <w:vAlign w:val="center"/>
          </w:tcPr>
          <w:p>
            <w:pPr>
              <w:pStyle w:val="TableContents"/>
              <w:bidi w:val="0"/>
              <w:spacing w:lineRule="atLeast" w:line="179" w:before="0" w:after="0"/>
              <w:jc w:val="center"/>
              <w:rPr/>
            </w:pPr>
            <w:r>
              <w:rPr>
                <w:spacing w:val="0"/>
              </w:rPr>
              <w:t xml:space="preserve">Change in Pension </w:t>
              <w:br/>
              <w:t xml:space="preserve">Value and </w:t>
              <w:br/>
              <w:t xml:space="preserve">Non-Qualified Deferred </w:t>
              <w:br/>
              <w:t xml:space="preserve">Compensation </w:t>
              <w:br/>
              <w:t>Earnings</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71" w:type="dxa"/>
            <w:gridSpan w:val="4"/>
            <w:tcBorders/>
            <w:shd w:fill="002F56" w:val="clear"/>
            <w:vAlign w:val="center"/>
          </w:tcPr>
          <w:p>
            <w:pPr>
              <w:pStyle w:val="TableContents"/>
              <w:bidi w:val="0"/>
              <w:spacing w:before="0" w:after="0"/>
              <w:jc w:val="center"/>
              <w:rPr/>
            </w:pPr>
            <w:r>
              <w:rPr>
                <w:spacing w:val="0"/>
              </w:rPr>
              <w:t xml:space="preserve">All Other </w:t>
              <w:br/>
              <w:t>Compensation</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83"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2025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71" w:type="dxa"/>
            <w:tcBorders>
              <w:bottom w:val="single" w:sz="6" w:space="0" w:color="BFBFBF"/>
            </w:tcBorders>
            <w:tcMar>
              <w:bottom w:w="47" w:type="dxa"/>
            </w:tcMar>
            <w:vAlign w:val="center"/>
          </w:tcPr>
          <w:p>
            <w:pPr>
              <w:pStyle w:val="TableContents"/>
              <w:bidi w:val="0"/>
              <w:spacing w:before="0" w:after="0"/>
              <w:jc w:val="left"/>
              <w:rPr>
                <w:spacing w:val="-1"/>
              </w:rPr>
            </w:pPr>
            <w:r>
              <w:rPr>
                <w:spacing w:val="-1"/>
              </w:rPr>
              <w:t xml:space="preserve">Reported Value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1,050,000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2,310,022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768,803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7" w:type="dxa"/>
            </w:tcMar>
            <w:vAlign w:val="center"/>
          </w:tcPr>
          <w:p>
            <w:pPr>
              <w:pStyle w:val="TableContents"/>
              <w:bidi w:val="0"/>
              <w:spacing w:before="0" w:after="283"/>
              <w:jc w:val="right"/>
              <w:rPr/>
            </w:pPr>
            <w:r>
              <w:rPr/>
              <w:t>​</w:t>
            </w:r>
          </w:p>
        </w:tc>
        <w:tc>
          <w:tcPr>
            <w:tcW w:w="1125" w:type="dxa"/>
            <w:tcBorders>
              <w:bottom w:val="single" w:sz="6" w:space="0" w:color="BFBFBF"/>
            </w:tcBorders>
            <w:tcMar>
              <w:bottom w:w="47" w:type="dxa"/>
            </w:tcMar>
            <w:vAlign w:val="center"/>
          </w:tcPr>
          <w:p>
            <w:pPr>
              <w:pStyle w:val="TableContents"/>
              <w:bidi w:val="0"/>
              <w:spacing w:before="0" w:after="283"/>
              <w:jc w:val="right"/>
              <w:rPr/>
            </w:pPr>
            <w:r>
              <w:rPr/>
              <w:t>2,891,160</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7" w:type="dxa"/>
            </w:tcMar>
            <w:vAlign w:val="center"/>
          </w:tcPr>
          <w:p>
            <w:pPr>
              <w:pStyle w:val="TableContents"/>
              <w:bidi w:val="0"/>
              <w:spacing w:before="0" w:after="283"/>
              <w:jc w:val="right"/>
              <w:rPr/>
            </w:pPr>
            <w:r>
              <w:rPr/>
              <w:t>​</w:t>
            </w:r>
          </w:p>
        </w:tc>
        <w:tc>
          <w:tcPr>
            <w:tcW w:w="1108" w:type="dxa"/>
            <w:tcBorders>
              <w:bottom w:val="single" w:sz="6" w:space="0" w:color="BFBFBF"/>
            </w:tcBorders>
            <w:tcMar>
              <w:bottom w:w="47" w:type="dxa"/>
            </w:tcMar>
            <w:vAlign w:val="center"/>
          </w:tcPr>
          <w:p>
            <w:pPr>
              <w:pStyle w:val="TableContents"/>
              <w:bidi w:val="0"/>
              <w:spacing w:before="0" w:after="283"/>
              <w:jc w:val="right"/>
              <w:rPr/>
            </w:pPr>
            <w:r>
              <w:rPr/>
              <w:t>319,549</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6" w:type="dxa"/>
            <w:tcBorders>
              <w:bottom w:val="single" w:sz="6" w:space="0" w:color="BFBFBF"/>
            </w:tcBorders>
            <w:tcMar>
              <w:bottom w:w="28" w:type="dxa"/>
            </w:tcMar>
            <w:vAlign w:val="center"/>
          </w:tcPr>
          <w:p>
            <w:pPr>
              <w:pStyle w:val="TableContents"/>
              <w:bidi w:val="0"/>
              <w:spacing w:before="0" w:after="283"/>
              <w:jc w:val="left"/>
              <w:rPr/>
            </w:pPr>
            <w:r>
              <w:rPr/>
              <w:t>​</w:t>
            </w:r>
          </w:p>
        </w:tc>
        <w:tc>
          <w:tcPr>
            <w:tcW w:w="146" w:type="dxa"/>
            <w:tcBorders>
              <w:bottom w:val="single" w:sz="6" w:space="0" w:color="BFBFBF"/>
            </w:tcBorders>
            <w:tcMar>
              <w:bottom w:w="47" w:type="dxa"/>
            </w:tcMar>
            <w:vAlign w:val="center"/>
          </w:tcPr>
          <w:p>
            <w:pPr>
              <w:pStyle w:val="TableContents"/>
              <w:bidi w:val="0"/>
              <w:spacing w:before="0" w:after="283"/>
              <w:jc w:val="right"/>
              <w:rPr/>
            </w:pPr>
            <w:r>
              <w:rPr/>
              <w:t>​</w:t>
            </w:r>
          </w:p>
        </w:tc>
        <w:tc>
          <w:tcPr>
            <w:tcW w:w="1030" w:type="dxa"/>
            <w:tcBorders>
              <w:bottom w:val="single" w:sz="6" w:space="0" w:color="BFBFBF"/>
            </w:tcBorders>
            <w:tcMar>
              <w:bottom w:w="47" w:type="dxa"/>
            </w:tcMar>
            <w:vAlign w:val="center"/>
          </w:tcPr>
          <w:p>
            <w:pPr>
              <w:pStyle w:val="TableContents"/>
              <w:bidi w:val="0"/>
              <w:spacing w:before="0" w:after="283"/>
              <w:jc w:val="right"/>
              <w:rPr/>
            </w:pPr>
            <w:r>
              <w:rPr/>
              <w:t>66,159</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7,405,693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2F56"/>
            </w:tcBorders>
            <w:tcMar>
              <w:bottom w:w="28" w:type="dxa"/>
            </w:tcMar>
            <w:vAlign w:val="center"/>
          </w:tcPr>
          <w:p>
            <w:pPr>
              <w:pStyle w:val="TableContents"/>
              <w:bidi w:val="0"/>
              <w:spacing w:before="0" w:after="283"/>
              <w:jc w:val="left"/>
              <w:rPr/>
            </w:pPr>
            <w:r>
              <w:rPr/>
              <w:t>​</w:t>
            </w:r>
          </w:p>
        </w:tc>
        <w:tc>
          <w:tcPr>
            <w:tcW w:w="583" w:type="dxa"/>
            <w:tcBorders>
              <w:bottom w:val="single" w:sz="6" w:space="0" w:color="002F56"/>
            </w:tcBorders>
            <w:tcMar>
              <w:bottom w:w="55"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471" w:type="dxa"/>
            <w:tcBorders>
              <w:bottom w:val="single" w:sz="6" w:space="0" w:color="002F56"/>
            </w:tcBorders>
            <w:tcMar>
              <w:bottom w:w="55" w:type="dxa"/>
            </w:tcMar>
            <w:vAlign w:val="center"/>
          </w:tcPr>
          <w:p>
            <w:pPr>
              <w:pStyle w:val="TableContents"/>
              <w:bidi w:val="0"/>
              <w:spacing w:before="0" w:after="0"/>
              <w:jc w:val="left"/>
              <w:rPr>
                <w:spacing w:val="-1"/>
              </w:rPr>
            </w:pPr>
            <w:r>
              <w:rPr>
                <w:spacing w:val="-1"/>
              </w:rPr>
              <w:t xml:space="preserve">Realizable Value </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1,050,000</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1,834,473</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0</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15" w:type="dxa"/>
            <w:tcBorders>
              <w:bottom w:val="single" w:sz="6" w:space="0" w:color="002F56"/>
            </w:tcBorders>
            <w:tcMar>
              <w:bottom w:w="28" w:type="dxa"/>
            </w:tcMar>
            <w:vAlign w:val="center"/>
          </w:tcPr>
          <w:p>
            <w:pPr>
              <w:pStyle w:val="TableContents"/>
              <w:bidi w:val="0"/>
              <w:spacing w:before="0" w:after="283"/>
              <w:jc w:val="left"/>
              <w:rPr/>
            </w:pPr>
            <w:r>
              <w:rPr/>
              <w:t>​</w:t>
            </w:r>
          </w:p>
        </w:tc>
        <w:tc>
          <w:tcPr>
            <w:tcW w:w="115" w:type="dxa"/>
            <w:tcBorders>
              <w:bottom w:val="single" w:sz="6" w:space="0" w:color="002F56"/>
            </w:tcBorders>
            <w:tcMar>
              <w:bottom w:w="55" w:type="dxa"/>
            </w:tcMar>
            <w:vAlign w:val="center"/>
          </w:tcPr>
          <w:p>
            <w:pPr>
              <w:pStyle w:val="TableContents"/>
              <w:bidi w:val="0"/>
              <w:spacing w:before="0" w:after="283"/>
              <w:jc w:val="right"/>
              <w:rPr/>
            </w:pPr>
            <w:r>
              <w:rPr/>
              <w:t>​</w:t>
            </w:r>
          </w:p>
        </w:tc>
        <w:tc>
          <w:tcPr>
            <w:tcW w:w="1125" w:type="dxa"/>
            <w:tcBorders>
              <w:bottom w:val="single" w:sz="6" w:space="0" w:color="002F56"/>
            </w:tcBorders>
            <w:tcMar>
              <w:bottom w:w="55" w:type="dxa"/>
            </w:tcMar>
            <w:vAlign w:val="center"/>
          </w:tcPr>
          <w:p>
            <w:pPr>
              <w:pStyle w:val="TableContents"/>
              <w:bidi w:val="0"/>
              <w:spacing w:before="0" w:after="283"/>
              <w:jc w:val="right"/>
              <w:rPr/>
            </w:pPr>
            <w:r>
              <w:rPr/>
              <w:t>2,891,160</w:t>
            </w:r>
          </w:p>
        </w:tc>
        <w:tc>
          <w:tcPr>
            <w:tcW w:w="116"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25" w:type="dxa"/>
            <w:tcBorders>
              <w:bottom w:val="single" w:sz="6" w:space="0" w:color="002F56"/>
            </w:tcBorders>
            <w:tcMar>
              <w:bottom w:w="28" w:type="dxa"/>
            </w:tcMar>
            <w:vAlign w:val="center"/>
          </w:tcPr>
          <w:p>
            <w:pPr>
              <w:pStyle w:val="TableContents"/>
              <w:bidi w:val="0"/>
              <w:spacing w:before="0" w:after="283"/>
              <w:jc w:val="left"/>
              <w:rPr/>
            </w:pPr>
            <w:r>
              <w:rPr/>
              <w:t>​</w:t>
            </w:r>
          </w:p>
        </w:tc>
        <w:tc>
          <w:tcPr>
            <w:tcW w:w="125" w:type="dxa"/>
            <w:tcBorders>
              <w:bottom w:val="single" w:sz="6" w:space="0" w:color="002F56"/>
            </w:tcBorders>
            <w:tcMar>
              <w:bottom w:w="55" w:type="dxa"/>
            </w:tcMar>
            <w:vAlign w:val="center"/>
          </w:tcPr>
          <w:p>
            <w:pPr>
              <w:pStyle w:val="TableContents"/>
              <w:bidi w:val="0"/>
              <w:spacing w:before="0" w:after="283"/>
              <w:jc w:val="right"/>
              <w:rPr/>
            </w:pPr>
            <w:r>
              <w:rPr/>
              <w:t>​</w:t>
            </w:r>
          </w:p>
        </w:tc>
        <w:tc>
          <w:tcPr>
            <w:tcW w:w="1108" w:type="dxa"/>
            <w:tcBorders>
              <w:bottom w:val="single" w:sz="6" w:space="0" w:color="002F56"/>
            </w:tcBorders>
            <w:tcMar>
              <w:bottom w:w="55" w:type="dxa"/>
            </w:tcMar>
            <w:vAlign w:val="center"/>
          </w:tcPr>
          <w:p>
            <w:pPr>
              <w:pStyle w:val="TableContents"/>
              <w:bidi w:val="0"/>
              <w:spacing w:before="0" w:after="283"/>
              <w:jc w:val="right"/>
              <w:rPr/>
            </w:pPr>
            <w:r>
              <w:rPr/>
              <w:t>319,549</w:t>
            </w:r>
          </w:p>
        </w:tc>
        <w:tc>
          <w:tcPr>
            <w:tcW w:w="128"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46" w:type="dxa"/>
            <w:tcBorders>
              <w:bottom w:val="single" w:sz="6" w:space="0" w:color="002F56"/>
            </w:tcBorders>
            <w:tcMar>
              <w:bottom w:w="28" w:type="dxa"/>
            </w:tcMar>
            <w:vAlign w:val="center"/>
          </w:tcPr>
          <w:p>
            <w:pPr>
              <w:pStyle w:val="TableContents"/>
              <w:bidi w:val="0"/>
              <w:spacing w:before="0" w:after="283"/>
              <w:jc w:val="left"/>
              <w:rPr/>
            </w:pPr>
            <w:r>
              <w:rPr/>
              <w:t>​</w:t>
            </w:r>
          </w:p>
        </w:tc>
        <w:tc>
          <w:tcPr>
            <w:tcW w:w="146" w:type="dxa"/>
            <w:tcBorders>
              <w:bottom w:val="single" w:sz="6" w:space="0" w:color="002F56"/>
            </w:tcBorders>
            <w:tcMar>
              <w:bottom w:w="55" w:type="dxa"/>
            </w:tcMar>
            <w:vAlign w:val="center"/>
          </w:tcPr>
          <w:p>
            <w:pPr>
              <w:pStyle w:val="TableContents"/>
              <w:bidi w:val="0"/>
              <w:spacing w:before="0" w:after="283"/>
              <w:jc w:val="right"/>
              <w:rPr/>
            </w:pPr>
            <w:r>
              <w:rPr/>
              <w:t>​</w:t>
            </w:r>
          </w:p>
        </w:tc>
        <w:tc>
          <w:tcPr>
            <w:tcW w:w="1030" w:type="dxa"/>
            <w:tcBorders>
              <w:bottom w:val="single" w:sz="6" w:space="0" w:color="002F56"/>
            </w:tcBorders>
            <w:tcMar>
              <w:bottom w:w="55" w:type="dxa"/>
            </w:tcMar>
            <w:vAlign w:val="center"/>
          </w:tcPr>
          <w:p>
            <w:pPr>
              <w:pStyle w:val="TableContents"/>
              <w:bidi w:val="0"/>
              <w:spacing w:before="0" w:after="283"/>
              <w:jc w:val="right"/>
              <w:rPr/>
            </w:pPr>
            <w:r>
              <w:rPr/>
              <w:t xml:space="preserve">66,159 </w:t>
            </w:r>
          </w:p>
        </w:tc>
        <w:tc>
          <w:tcPr>
            <w:tcW w:w="14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 xml:space="preserve">6,161,341 </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54" w:type="dxa"/>
            <w:tcBorders>
              <w:bottom w:val="single" w:sz="6" w:space="0" w:color="002F56"/>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83"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71" w:type="dxa"/>
            <w:tcBorders>
              <w:bottom w:val="single" w:sz="6" w:space="0" w:color="BFBFBF"/>
            </w:tcBorders>
            <w:tcMar>
              <w:bottom w:w="47" w:type="dxa"/>
            </w:tcMar>
            <w:vAlign w:val="center"/>
          </w:tcPr>
          <w:p>
            <w:pPr>
              <w:pStyle w:val="TableContents"/>
              <w:bidi w:val="0"/>
              <w:spacing w:before="0" w:after="0"/>
              <w:jc w:val="left"/>
              <w:rPr>
                <w:spacing w:val="-1"/>
              </w:rPr>
            </w:pPr>
            <w:r>
              <w:rPr>
                <w:spacing w:val="-1"/>
              </w:rPr>
              <w:t xml:space="preserve">Reported Value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1,050,000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2,205,029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718,839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7" w:type="dxa"/>
            </w:tcMar>
            <w:vAlign w:val="center"/>
          </w:tcPr>
          <w:p>
            <w:pPr>
              <w:pStyle w:val="TableContents"/>
              <w:bidi w:val="0"/>
              <w:spacing w:before="0" w:after="283"/>
              <w:jc w:val="right"/>
              <w:rPr/>
            </w:pPr>
            <w:r>
              <w:rPr/>
              <w:t>​</w:t>
            </w:r>
          </w:p>
        </w:tc>
        <w:tc>
          <w:tcPr>
            <w:tcW w:w="1125" w:type="dxa"/>
            <w:tcBorders>
              <w:bottom w:val="single" w:sz="6" w:space="0" w:color="BFBFBF"/>
            </w:tcBorders>
            <w:tcMar>
              <w:bottom w:w="47" w:type="dxa"/>
            </w:tcMar>
            <w:vAlign w:val="center"/>
          </w:tcPr>
          <w:p>
            <w:pPr>
              <w:pStyle w:val="TableContents"/>
              <w:bidi w:val="0"/>
              <w:spacing w:before="0" w:after="283"/>
              <w:jc w:val="right"/>
              <w:rPr/>
            </w:pPr>
            <w:r>
              <w:rPr/>
              <w:t>4,056,408</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7" w:type="dxa"/>
            </w:tcMar>
            <w:vAlign w:val="center"/>
          </w:tcPr>
          <w:p>
            <w:pPr>
              <w:pStyle w:val="TableContents"/>
              <w:bidi w:val="0"/>
              <w:spacing w:before="0" w:after="283"/>
              <w:jc w:val="right"/>
              <w:rPr/>
            </w:pPr>
            <w:r>
              <w:rPr/>
              <w:t>​</w:t>
            </w:r>
          </w:p>
        </w:tc>
        <w:tc>
          <w:tcPr>
            <w:tcW w:w="1108" w:type="dxa"/>
            <w:tcBorders>
              <w:bottom w:val="single" w:sz="6" w:space="0" w:color="BFBFBF"/>
            </w:tcBorders>
            <w:tcMar>
              <w:bottom w:w="47" w:type="dxa"/>
            </w:tcMar>
            <w:vAlign w:val="center"/>
          </w:tcPr>
          <w:p>
            <w:pPr>
              <w:pStyle w:val="TableContents"/>
              <w:bidi w:val="0"/>
              <w:spacing w:before="0" w:after="283"/>
              <w:jc w:val="right"/>
              <w:rPr/>
            </w:pPr>
            <w:r>
              <w:rPr/>
              <w:t>(180,815)</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6" w:type="dxa"/>
            <w:tcBorders>
              <w:bottom w:val="single" w:sz="6" w:space="0" w:color="BFBFBF"/>
            </w:tcBorders>
            <w:tcMar>
              <w:bottom w:w="28" w:type="dxa"/>
            </w:tcMar>
            <w:vAlign w:val="center"/>
          </w:tcPr>
          <w:p>
            <w:pPr>
              <w:pStyle w:val="TableContents"/>
              <w:bidi w:val="0"/>
              <w:spacing w:before="0" w:after="283"/>
              <w:jc w:val="left"/>
              <w:rPr/>
            </w:pPr>
            <w:r>
              <w:rPr/>
              <w:t>​</w:t>
            </w:r>
          </w:p>
        </w:tc>
        <w:tc>
          <w:tcPr>
            <w:tcW w:w="146" w:type="dxa"/>
            <w:tcBorders>
              <w:bottom w:val="single" w:sz="6" w:space="0" w:color="BFBFBF"/>
            </w:tcBorders>
            <w:tcMar>
              <w:bottom w:w="47" w:type="dxa"/>
            </w:tcMar>
            <w:vAlign w:val="center"/>
          </w:tcPr>
          <w:p>
            <w:pPr>
              <w:pStyle w:val="TableContents"/>
              <w:bidi w:val="0"/>
              <w:spacing w:before="0" w:after="283"/>
              <w:jc w:val="right"/>
              <w:rPr/>
            </w:pPr>
            <w:r>
              <w:rPr/>
              <w:t>​</w:t>
            </w:r>
          </w:p>
        </w:tc>
        <w:tc>
          <w:tcPr>
            <w:tcW w:w="1030" w:type="dxa"/>
            <w:tcBorders>
              <w:bottom w:val="single" w:sz="6" w:space="0" w:color="BFBFBF"/>
            </w:tcBorders>
            <w:tcMar>
              <w:bottom w:w="47" w:type="dxa"/>
            </w:tcMar>
            <w:vAlign w:val="center"/>
          </w:tcPr>
          <w:p>
            <w:pPr>
              <w:pStyle w:val="TableContents"/>
              <w:bidi w:val="0"/>
              <w:spacing w:before="0" w:after="283"/>
              <w:jc w:val="right"/>
              <w:rPr/>
            </w:pPr>
            <w:r>
              <w:rPr/>
              <w:t>57,569</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7,907,030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002F56"/>
            </w:tcBorders>
            <w:tcMar>
              <w:bottom w:w="28" w:type="dxa"/>
            </w:tcMar>
            <w:vAlign w:val="center"/>
          </w:tcPr>
          <w:p>
            <w:pPr>
              <w:pStyle w:val="TableContents"/>
              <w:bidi w:val="0"/>
              <w:spacing w:before="0" w:after="283"/>
              <w:jc w:val="left"/>
              <w:rPr/>
            </w:pPr>
            <w:r>
              <w:rPr/>
              <w:t>​</w:t>
            </w:r>
          </w:p>
        </w:tc>
        <w:tc>
          <w:tcPr>
            <w:tcW w:w="583" w:type="dxa"/>
            <w:tcBorders>
              <w:bottom w:val="single" w:sz="6" w:space="0" w:color="002F56"/>
            </w:tcBorders>
            <w:tcMar>
              <w:bottom w:w="55"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471" w:type="dxa"/>
            <w:tcBorders>
              <w:bottom w:val="single" w:sz="6" w:space="0" w:color="002F56"/>
            </w:tcBorders>
            <w:tcMar>
              <w:bottom w:w="55" w:type="dxa"/>
            </w:tcMar>
            <w:vAlign w:val="center"/>
          </w:tcPr>
          <w:p>
            <w:pPr>
              <w:pStyle w:val="TableContents"/>
              <w:bidi w:val="0"/>
              <w:spacing w:before="0" w:after="0"/>
              <w:jc w:val="left"/>
              <w:rPr>
                <w:spacing w:val="-1"/>
              </w:rPr>
            </w:pPr>
            <w:r>
              <w:rPr>
                <w:spacing w:val="-1"/>
              </w:rPr>
              <w:t xml:space="preserve">Realizable Value </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1,050,000</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2,014,337</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0</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15" w:type="dxa"/>
            <w:tcBorders>
              <w:bottom w:val="single" w:sz="6" w:space="0" w:color="002F56"/>
            </w:tcBorders>
            <w:tcMar>
              <w:bottom w:w="28" w:type="dxa"/>
            </w:tcMar>
            <w:vAlign w:val="center"/>
          </w:tcPr>
          <w:p>
            <w:pPr>
              <w:pStyle w:val="TableContents"/>
              <w:bidi w:val="0"/>
              <w:spacing w:before="0" w:after="283"/>
              <w:jc w:val="left"/>
              <w:rPr/>
            </w:pPr>
            <w:r>
              <w:rPr/>
              <w:t>​</w:t>
            </w:r>
          </w:p>
        </w:tc>
        <w:tc>
          <w:tcPr>
            <w:tcW w:w="115" w:type="dxa"/>
            <w:tcBorders>
              <w:bottom w:val="single" w:sz="6" w:space="0" w:color="002F56"/>
            </w:tcBorders>
            <w:tcMar>
              <w:bottom w:w="55" w:type="dxa"/>
            </w:tcMar>
            <w:vAlign w:val="center"/>
          </w:tcPr>
          <w:p>
            <w:pPr>
              <w:pStyle w:val="TableContents"/>
              <w:bidi w:val="0"/>
              <w:spacing w:before="0" w:after="283"/>
              <w:jc w:val="right"/>
              <w:rPr/>
            </w:pPr>
            <w:r>
              <w:rPr/>
              <w:t>​</w:t>
            </w:r>
          </w:p>
        </w:tc>
        <w:tc>
          <w:tcPr>
            <w:tcW w:w="1125" w:type="dxa"/>
            <w:tcBorders>
              <w:bottom w:val="single" w:sz="6" w:space="0" w:color="002F56"/>
            </w:tcBorders>
            <w:tcMar>
              <w:bottom w:w="55" w:type="dxa"/>
            </w:tcMar>
            <w:vAlign w:val="center"/>
          </w:tcPr>
          <w:p>
            <w:pPr>
              <w:pStyle w:val="TableContents"/>
              <w:bidi w:val="0"/>
              <w:spacing w:before="0" w:after="283"/>
              <w:jc w:val="right"/>
              <w:rPr/>
            </w:pPr>
            <w:r>
              <w:rPr/>
              <w:t>4,056,408</w:t>
            </w:r>
          </w:p>
        </w:tc>
        <w:tc>
          <w:tcPr>
            <w:tcW w:w="116"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25" w:type="dxa"/>
            <w:tcBorders>
              <w:bottom w:val="single" w:sz="6" w:space="0" w:color="002F56"/>
            </w:tcBorders>
            <w:tcMar>
              <w:bottom w:w="28" w:type="dxa"/>
            </w:tcMar>
            <w:vAlign w:val="center"/>
          </w:tcPr>
          <w:p>
            <w:pPr>
              <w:pStyle w:val="TableContents"/>
              <w:bidi w:val="0"/>
              <w:spacing w:before="0" w:after="283"/>
              <w:jc w:val="left"/>
              <w:rPr/>
            </w:pPr>
            <w:r>
              <w:rPr/>
              <w:t>​</w:t>
            </w:r>
          </w:p>
        </w:tc>
        <w:tc>
          <w:tcPr>
            <w:tcW w:w="125" w:type="dxa"/>
            <w:tcBorders>
              <w:bottom w:val="single" w:sz="6" w:space="0" w:color="002F56"/>
            </w:tcBorders>
            <w:tcMar>
              <w:bottom w:w="55" w:type="dxa"/>
            </w:tcMar>
            <w:vAlign w:val="center"/>
          </w:tcPr>
          <w:p>
            <w:pPr>
              <w:pStyle w:val="TableContents"/>
              <w:bidi w:val="0"/>
              <w:spacing w:before="0" w:after="283"/>
              <w:jc w:val="right"/>
              <w:rPr/>
            </w:pPr>
            <w:r>
              <w:rPr/>
              <w:t>​</w:t>
            </w:r>
          </w:p>
        </w:tc>
        <w:tc>
          <w:tcPr>
            <w:tcW w:w="1108" w:type="dxa"/>
            <w:tcBorders>
              <w:bottom w:val="single" w:sz="6" w:space="0" w:color="002F56"/>
            </w:tcBorders>
            <w:tcMar>
              <w:bottom w:w="55" w:type="dxa"/>
            </w:tcMar>
            <w:vAlign w:val="center"/>
          </w:tcPr>
          <w:p>
            <w:pPr>
              <w:pStyle w:val="TableContents"/>
              <w:bidi w:val="0"/>
              <w:spacing w:before="0" w:after="283"/>
              <w:jc w:val="right"/>
              <w:rPr/>
            </w:pPr>
            <w:r>
              <w:rPr/>
              <w:t>(180,815)</w:t>
            </w:r>
          </w:p>
        </w:tc>
        <w:tc>
          <w:tcPr>
            <w:tcW w:w="128"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46" w:type="dxa"/>
            <w:tcBorders>
              <w:bottom w:val="single" w:sz="6" w:space="0" w:color="002F56"/>
            </w:tcBorders>
            <w:tcMar>
              <w:bottom w:w="28" w:type="dxa"/>
            </w:tcMar>
            <w:vAlign w:val="center"/>
          </w:tcPr>
          <w:p>
            <w:pPr>
              <w:pStyle w:val="TableContents"/>
              <w:bidi w:val="0"/>
              <w:spacing w:before="0" w:after="283"/>
              <w:jc w:val="left"/>
              <w:rPr/>
            </w:pPr>
            <w:r>
              <w:rPr/>
              <w:t>​</w:t>
            </w:r>
          </w:p>
        </w:tc>
        <w:tc>
          <w:tcPr>
            <w:tcW w:w="146" w:type="dxa"/>
            <w:tcBorders>
              <w:bottom w:val="single" w:sz="6" w:space="0" w:color="002F56"/>
            </w:tcBorders>
            <w:tcMar>
              <w:bottom w:w="55" w:type="dxa"/>
            </w:tcMar>
            <w:vAlign w:val="center"/>
          </w:tcPr>
          <w:p>
            <w:pPr>
              <w:pStyle w:val="TableContents"/>
              <w:bidi w:val="0"/>
              <w:spacing w:before="0" w:after="283"/>
              <w:jc w:val="right"/>
              <w:rPr/>
            </w:pPr>
            <w:r>
              <w:rPr/>
              <w:t>​</w:t>
            </w:r>
          </w:p>
        </w:tc>
        <w:tc>
          <w:tcPr>
            <w:tcW w:w="1030" w:type="dxa"/>
            <w:tcBorders>
              <w:bottom w:val="single" w:sz="6" w:space="0" w:color="002F56"/>
            </w:tcBorders>
            <w:tcMar>
              <w:bottom w:w="55" w:type="dxa"/>
            </w:tcMar>
            <w:vAlign w:val="center"/>
          </w:tcPr>
          <w:p>
            <w:pPr>
              <w:pStyle w:val="TableContents"/>
              <w:bidi w:val="0"/>
              <w:spacing w:before="0" w:after="283"/>
              <w:jc w:val="right"/>
              <w:rPr/>
            </w:pPr>
            <w:r>
              <w:rPr/>
              <w:t>57,569</w:t>
            </w:r>
          </w:p>
        </w:tc>
        <w:tc>
          <w:tcPr>
            <w:tcW w:w="14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09" w:type="dxa"/>
            <w:tcBorders>
              <w:bottom w:val="single" w:sz="6" w:space="0" w:color="002F56"/>
            </w:tcBorders>
            <w:tcMar>
              <w:bottom w:w="55" w:type="dxa"/>
            </w:tcMar>
            <w:vAlign w:val="center"/>
          </w:tcPr>
          <w:p>
            <w:pPr>
              <w:pStyle w:val="TableContents"/>
              <w:bidi w:val="0"/>
              <w:spacing w:before="0" w:after="283"/>
              <w:jc w:val="right"/>
              <w:rPr/>
            </w:pPr>
            <w:r>
              <w:rPr/>
              <w:t>​</w:t>
            </w:r>
          </w:p>
        </w:tc>
        <w:tc>
          <w:tcPr>
            <w:tcW w:w="1066" w:type="dxa"/>
            <w:tcBorders>
              <w:bottom w:val="single" w:sz="6" w:space="0" w:color="002F56"/>
            </w:tcBorders>
            <w:tcMar>
              <w:bottom w:w="55" w:type="dxa"/>
            </w:tcMar>
            <w:vAlign w:val="center"/>
          </w:tcPr>
          <w:p>
            <w:pPr>
              <w:pStyle w:val="TableContents"/>
              <w:bidi w:val="0"/>
              <w:spacing w:before="0" w:after="283"/>
              <w:jc w:val="right"/>
              <w:rPr/>
            </w:pPr>
            <w:r>
              <w:rPr/>
              <w:t xml:space="preserve">6,997,499 </w:t>
            </w:r>
          </w:p>
        </w:tc>
        <w:tc>
          <w:tcPr>
            <w:tcW w:w="109" w:type="dxa"/>
            <w:tcBorders>
              <w:bottom w:val="single" w:sz="6" w:space="0" w:color="002F56"/>
            </w:tcBorders>
            <w:tcMar>
              <w:bottom w:w="28" w:type="dxa"/>
            </w:tcMar>
            <w:vAlign w:val="center"/>
          </w:tcPr>
          <w:p>
            <w:pPr>
              <w:pStyle w:val="TableContents"/>
              <w:bidi w:val="0"/>
              <w:spacing w:before="0" w:after="283"/>
              <w:jc w:val="left"/>
              <w:rPr/>
            </w:pPr>
            <w:r>
              <w:rPr/>
              <w:t>​</w:t>
            </w:r>
          </w:p>
        </w:tc>
        <w:tc>
          <w:tcPr>
            <w:tcW w:w="154" w:type="dxa"/>
            <w:tcBorders>
              <w:bottom w:val="single" w:sz="6" w:space="0" w:color="002F56"/>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583" w:type="dxa"/>
            <w:tcBorders>
              <w:bottom w:val="single" w:sz="6" w:space="0" w:color="BFBFBF"/>
            </w:tcBorders>
            <w:tcMar>
              <w:bottom w:w="47"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71" w:type="dxa"/>
            <w:tcBorders>
              <w:bottom w:val="single" w:sz="6" w:space="0" w:color="BFBFBF"/>
            </w:tcBorders>
            <w:tcMar>
              <w:bottom w:w="47" w:type="dxa"/>
            </w:tcMar>
            <w:vAlign w:val="center"/>
          </w:tcPr>
          <w:p>
            <w:pPr>
              <w:pStyle w:val="TableContents"/>
              <w:bidi w:val="0"/>
              <w:spacing w:before="0" w:after="0"/>
              <w:jc w:val="left"/>
              <w:rPr>
                <w:spacing w:val="-1"/>
              </w:rPr>
            </w:pPr>
            <w:r>
              <w:rPr>
                <w:spacing w:val="-1"/>
              </w:rPr>
              <w:t xml:space="preserve">Reported Value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1,046,154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2,204,989</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1,439,445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28" w:type="dxa"/>
            </w:tcMar>
            <w:vAlign w:val="center"/>
          </w:tcPr>
          <w:p>
            <w:pPr>
              <w:pStyle w:val="TableContents"/>
              <w:bidi w:val="0"/>
              <w:spacing w:before="0" w:after="283"/>
              <w:jc w:val="left"/>
              <w:rPr/>
            </w:pPr>
            <w:r>
              <w:rPr/>
              <w:t>​</w:t>
            </w:r>
          </w:p>
        </w:tc>
        <w:tc>
          <w:tcPr>
            <w:tcW w:w="115" w:type="dxa"/>
            <w:tcBorders>
              <w:bottom w:val="single" w:sz="6" w:space="0" w:color="BFBFBF"/>
            </w:tcBorders>
            <w:tcMar>
              <w:bottom w:w="47" w:type="dxa"/>
            </w:tcMar>
            <w:vAlign w:val="center"/>
          </w:tcPr>
          <w:p>
            <w:pPr>
              <w:pStyle w:val="TableContents"/>
              <w:bidi w:val="0"/>
              <w:spacing w:before="0" w:after="283"/>
              <w:jc w:val="right"/>
              <w:rPr/>
            </w:pPr>
            <w:r>
              <w:rPr/>
              <w:t>​</w:t>
            </w:r>
          </w:p>
        </w:tc>
        <w:tc>
          <w:tcPr>
            <w:tcW w:w="1125" w:type="dxa"/>
            <w:tcBorders>
              <w:bottom w:val="single" w:sz="6" w:space="0" w:color="BFBFBF"/>
            </w:tcBorders>
            <w:tcMar>
              <w:bottom w:w="47" w:type="dxa"/>
            </w:tcMar>
            <w:vAlign w:val="center"/>
          </w:tcPr>
          <w:p>
            <w:pPr>
              <w:pStyle w:val="TableContents"/>
              <w:bidi w:val="0"/>
              <w:spacing w:before="0" w:after="283"/>
              <w:jc w:val="right"/>
              <w:rPr/>
            </w:pPr>
            <w:r>
              <w:rPr/>
              <w:t>3,195,682</w:t>
            </w:r>
          </w:p>
        </w:tc>
        <w:tc>
          <w:tcPr>
            <w:tcW w:w="11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7" w:type="dxa"/>
            </w:tcMar>
            <w:vAlign w:val="center"/>
          </w:tcPr>
          <w:p>
            <w:pPr>
              <w:pStyle w:val="TableContents"/>
              <w:bidi w:val="0"/>
              <w:spacing w:before="0" w:after="283"/>
              <w:jc w:val="right"/>
              <w:rPr/>
            </w:pPr>
            <w:r>
              <w:rPr/>
              <w:t>​</w:t>
            </w:r>
          </w:p>
        </w:tc>
        <w:tc>
          <w:tcPr>
            <w:tcW w:w="1108" w:type="dxa"/>
            <w:tcBorders>
              <w:bottom w:val="single" w:sz="6" w:space="0" w:color="BFBFBF"/>
            </w:tcBorders>
            <w:tcMar>
              <w:bottom w:w="47" w:type="dxa"/>
            </w:tcMar>
            <w:vAlign w:val="center"/>
          </w:tcPr>
          <w:p>
            <w:pPr>
              <w:pStyle w:val="TableContents"/>
              <w:bidi w:val="0"/>
              <w:spacing w:before="0" w:after="283"/>
              <w:jc w:val="right"/>
              <w:rPr/>
            </w:pPr>
            <w:r>
              <w:rPr/>
              <w:t>413,206</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6" w:type="dxa"/>
            <w:tcBorders>
              <w:bottom w:val="single" w:sz="6" w:space="0" w:color="BFBFBF"/>
            </w:tcBorders>
            <w:tcMar>
              <w:bottom w:w="28" w:type="dxa"/>
            </w:tcMar>
            <w:vAlign w:val="center"/>
          </w:tcPr>
          <w:p>
            <w:pPr>
              <w:pStyle w:val="TableContents"/>
              <w:bidi w:val="0"/>
              <w:spacing w:before="0" w:after="283"/>
              <w:jc w:val="left"/>
              <w:rPr/>
            </w:pPr>
            <w:r>
              <w:rPr/>
              <w:t>​</w:t>
            </w:r>
          </w:p>
        </w:tc>
        <w:tc>
          <w:tcPr>
            <w:tcW w:w="146" w:type="dxa"/>
            <w:tcBorders>
              <w:bottom w:val="single" w:sz="6" w:space="0" w:color="BFBFBF"/>
            </w:tcBorders>
            <w:tcMar>
              <w:bottom w:w="47" w:type="dxa"/>
            </w:tcMar>
            <w:vAlign w:val="center"/>
          </w:tcPr>
          <w:p>
            <w:pPr>
              <w:pStyle w:val="TableContents"/>
              <w:bidi w:val="0"/>
              <w:spacing w:before="0" w:after="283"/>
              <w:jc w:val="right"/>
              <w:rPr/>
            </w:pPr>
            <w:r>
              <w:rPr/>
              <w:t>​</w:t>
            </w:r>
          </w:p>
        </w:tc>
        <w:tc>
          <w:tcPr>
            <w:tcW w:w="1030" w:type="dxa"/>
            <w:tcBorders>
              <w:bottom w:val="single" w:sz="6" w:space="0" w:color="BFBFBF"/>
            </w:tcBorders>
            <w:tcMar>
              <w:bottom w:w="47" w:type="dxa"/>
            </w:tcMar>
            <w:vAlign w:val="center"/>
          </w:tcPr>
          <w:p>
            <w:pPr>
              <w:pStyle w:val="TableContents"/>
              <w:bidi w:val="0"/>
              <w:spacing w:before="0" w:after="283"/>
              <w:jc w:val="right"/>
              <w:rPr/>
            </w:pPr>
            <w:r>
              <w:rPr/>
              <w:t>55,776</w:t>
            </w:r>
          </w:p>
        </w:tc>
        <w:tc>
          <w:tcPr>
            <w:tcW w:w="14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7" w:type="dxa"/>
            </w:tcMar>
            <w:vAlign w:val="center"/>
          </w:tcPr>
          <w:p>
            <w:pPr>
              <w:pStyle w:val="TableContents"/>
              <w:bidi w:val="0"/>
              <w:spacing w:before="0" w:after="283"/>
              <w:jc w:val="right"/>
              <w:rPr/>
            </w:pPr>
            <w:r>
              <w:rPr/>
              <w:t>​</w:t>
            </w:r>
          </w:p>
        </w:tc>
        <w:tc>
          <w:tcPr>
            <w:tcW w:w="1066" w:type="dxa"/>
            <w:tcBorders>
              <w:bottom w:val="single" w:sz="6" w:space="0" w:color="BFBFBF"/>
            </w:tcBorders>
            <w:tcMar>
              <w:bottom w:w="47" w:type="dxa"/>
            </w:tcMar>
            <w:vAlign w:val="center"/>
          </w:tcPr>
          <w:p>
            <w:pPr>
              <w:pStyle w:val="TableContents"/>
              <w:bidi w:val="0"/>
              <w:spacing w:before="0" w:after="283"/>
              <w:jc w:val="right"/>
              <w:rPr/>
            </w:pPr>
            <w:r>
              <w:rPr/>
              <w:t>8,355,252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4"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583"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71" w:type="dxa"/>
            <w:tcBorders>
              <w:bottom w:val="single" w:sz="12" w:space="0" w:color="71B1C8"/>
            </w:tcBorders>
            <w:tcMar>
              <w:bottom w:w="28" w:type="dxa"/>
            </w:tcMar>
            <w:vAlign w:val="center"/>
          </w:tcPr>
          <w:p>
            <w:pPr>
              <w:pStyle w:val="TableContents"/>
              <w:bidi w:val="0"/>
              <w:spacing w:before="0" w:after="0"/>
              <w:jc w:val="left"/>
              <w:rPr>
                <w:spacing w:val="-1"/>
              </w:rPr>
            </w:pPr>
            <w:r>
              <w:rPr>
                <w:spacing w:val="-1"/>
              </w:rPr>
              <w:t xml:space="preserve">Realizable Value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1,046,154</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2,033,962</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15" w:type="dxa"/>
            <w:tcBorders>
              <w:bottom w:val="single" w:sz="12" w:space="0" w:color="71B1C8"/>
            </w:tcBorders>
            <w:tcMar>
              <w:bottom w:w="28" w:type="dxa"/>
            </w:tcMar>
            <w:vAlign w:val="center"/>
          </w:tcPr>
          <w:p>
            <w:pPr>
              <w:pStyle w:val="TableContents"/>
              <w:bidi w:val="0"/>
              <w:spacing w:before="0" w:after="283"/>
              <w:jc w:val="left"/>
              <w:rPr/>
            </w:pPr>
            <w:r>
              <w:rPr/>
              <w:t>​</w:t>
            </w:r>
          </w:p>
        </w:tc>
        <w:tc>
          <w:tcPr>
            <w:tcW w:w="115" w:type="dxa"/>
            <w:tcBorders>
              <w:bottom w:val="single" w:sz="12" w:space="0" w:color="71B1C8"/>
            </w:tcBorders>
            <w:tcMar>
              <w:bottom w:w="28" w:type="dxa"/>
            </w:tcMar>
            <w:vAlign w:val="center"/>
          </w:tcPr>
          <w:p>
            <w:pPr>
              <w:pStyle w:val="TableContents"/>
              <w:bidi w:val="0"/>
              <w:spacing w:before="0" w:after="283"/>
              <w:jc w:val="right"/>
              <w:rPr/>
            </w:pPr>
            <w:r>
              <w:rPr/>
              <w:t>​</w:t>
            </w:r>
          </w:p>
        </w:tc>
        <w:tc>
          <w:tcPr>
            <w:tcW w:w="1125" w:type="dxa"/>
            <w:tcBorders>
              <w:bottom w:val="single" w:sz="12" w:space="0" w:color="71B1C8"/>
            </w:tcBorders>
            <w:tcMar>
              <w:bottom w:w="28" w:type="dxa"/>
            </w:tcMar>
            <w:vAlign w:val="center"/>
          </w:tcPr>
          <w:p>
            <w:pPr>
              <w:pStyle w:val="TableContents"/>
              <w:bidi w:val="0"/>
              <w:spacing w:before="0" w:after="283"/>
              <w:jc w:val="right"/>
              <w:rPr/>
            </w:pPr>
            <w:r>
              <w:rPr/>
              <w:t>3,195,682</w:t>
            </w:r>
          </w:p>
        </w:tc>
        <w:tc>
          <w:tcPr>
            <w:tcW w:w="116"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25" w:type="dxa"/>
            <w:tcBorders>
              <w:bottom w:val="single" w:sz="12" w:space="0" w:color="71B1C8"/>
            </w:tcBorders>
            <w:tcMar>
              <w:bottom w:w="28" w:type="dxa"/>
            </w:tcMar>
            <w:vAlign w:val="center"/>
          </w:tcPr>
          <w:p>
            <w:pPr>
              <w:pStyle w:val="TableContents"/>
              <w:bidi w:val="0"/>
              <w:spacing w:before="0" w:after="283"/>
              <w:jc w:val="left"/>
              <w:rPr/>
            </w:pPr>
            <w:r>
              <w:rPr/>
              <w:t>​</w:t>
            </w:r>
          </w:p>
        </w:tc>
        <w:tc>
          <w:tcPr>
            <w:tcW w:w="125" w:type="dxa"/>
            <w:tcBorders>
              <w:bottom w:val="single" w:sz="12" w:space="0" w:color="71B1C8"/>
            </w:tcBorders>
            <w:tcMar>
              <w:bottom w:w="28" w:type="dxa"/>
            </w:tcMar>
            <w:vAlign w:val="center"/>
          </w:tcPr>
          <w:p>
            <w:pPr>
              <w:pStyle w:val="TableContents"/>
              <w:bidi w:val="0"/>
              <w:spacing w:before="0" w:after="283"/>
              <w:jc w:val="right"/>
              <w:rPr/>
            </w:pPr>
            <w:r>
              <w:rPr/>
              <w:t>​</w:t>
            </w:r>
          </w:p>
        </w:tc>
        <w:tc>
          <w:tcPr>
            <w:tcW w:w="1108" w:type="dxa"/>
            <w:tcBorders>
              <w:bottom w:val="single" w:sz="12" w:space="0" w:color="71B1C8"/>
            </w:tcBorders>
            <w:tcMar>
              <w:bottom w:w="28" w:type="dxa"/>
            </w:tcMar>
            <w:vAlign w:val="center"/>
          </w:tcPr>
          <w:p>
            <w:pPr>
              <w:pStyle w:val="TableContents"/>
              <w:bidi w:val="0"/>
              <w:spacing w:before="0" w:after="283"/>
              <w:jc w:val="right"/>
              <w:rPr/>
            </w:pPr>
            <w:r>
              <w:rPr/>
              <w:t>413,206</w:t>
            </w:r>
          </w:p>
        </w:tc>
        <w:tc>
          <w:tcPr>
            <w:tcW w:w="128"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6" w:type="dxa"/>
            <w:tcBorders>
              <w:bottom w:val="single" w:sz="12" w:space="0" w:color="71B1C8"/>
            </w:tcBorders>
            <w:tcMar>
              <w:bottom w:w="28" w:type="dxa"/>
            </w:tcMar>
            <w:vAlign w:val="center"/>
          </w:tcPr>
          <w:p>
            <w:pPr>
              <w:pStyle w:val="TableContents"/>
              <w:bidi w:val="0"/>
              <w:spacing w:before="0" w:after="283"/>
              <w:jc w:val="left"/>
              <w:rPr/>
            </w:pPr>
            <w:r>
              <w:rPr/>
              <w:t>​</w:t>
            </w:r>
          </w:p>
        </w:tc>
        <w:tc>
          <w:tcPr>
            <w:tcW w:w="146" w:type="dxa"/>
            <w:tcBorders>
              <w:bottom w:val="single" w:sz="12" w:space="0" w:color="71B1C8"/>
            </w:tcBorders>
            <w:tcMar>
              <w:bottom w:w="28" w:type="dxa"/>
            </w:tcMar>
            <w:vAlign w:val="center"/>
          </w:tcPr>
          <w:p>
            <w:pPr>
              <w:pStyle w:val="TableContents"/>
              <w:bidi w:val="0"/>
              <w:spacing w:before="0" w:after="283"/>
              <w:jc w:val="right"/>
              <w:rPr/>
            </w:pPr>
            <w:r>
              <w:rPr/>
              <w:t>​</w:t>
            </w:r>
          </w:p>
        </w:tc>
        <w:tc>
          <w:tcPr>
            <w:tcW w:w="1030" w:type="dxa"/>
            <w:tcBorders>
              <w:bottom w:val="single" w:sz="12" w:space="0" w:color="71B1C8"/>
            </w:tcBorders>
            <w:tcMar>
              <w:bottom w:w="28" w:type="dxa"/>
            </w:tcMar>
            <w:vAlign w:val="center"/>
          </w:tcPr>
          <w:p>
            <w:pPr>
              <w:pStyle w:val="TableContents"/>
              <w:bidi w:val="0"/>
              <w:spacing w:before="0" w:after="283"/>
              <w:jc w:val="right"/>
              <w:rPr/>
            </w:pPr>
            <w:r>
              <w:rPr/>
              <w:t>55,776</w:t>
            </w:r>
          </w:p>
        </w:tc>
        <w:tc>
          <w:tcPr>
            <w:tcW w:w="14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6,744,780</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4"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320" w:before="33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HOW WE MAKE COMPENSATION DECISIONS</w:t>
      </w:r>
      <w:r>
        <w:rPr>
          <w:rFonts w:ascii="Arial;Helvetica;sans-serif" w:hAnsi="Arial;Helvetica;sans-serif"/>
          <w:b w:val="false"/>
          <w:i w:val="false"/>
          <w:caps w:val="false"/>
          <w:smallCaps w:val="false"/>
          <w:color w:val="000000"/>
          <w:spacing w:val="6"/>
          <w:sz w:val="28"/>
        </w:rPr>
        <w:t xml:space="preserve"> </w:t>
      </w:r>
    </w:p>
    <w:tbl>
      <w:tblPr>
        <w:tblW w:w="11887" w:type="dxa"/>
        <w:jc w:val="left"/>
        <w:tblInd w:w="1020" w:type="dxa"/>
        <w:tblLayout w:type="fixed"/>
        <w:tblCellMar>
          <w:top w:w="0" w:type="dxa"/>
          <w:left w:w="0" w:type="dxa"/>
          <w:bottom w:w="28" w:type="dxa"/>
          <w:right w:w="0" w:type="dxa"/>
        </w:tblCellMar>
      </w:tblPr>
      <w:tblGrid>
        <w:gridCol w:w="124"/>
        <w:gridCol w:w="1861"/>
        <w:gridCol w:w="109"/>
        <w:gridCol w:w="109"/>
        <w:gridCol w:w="109"/>
        <w:gridCol w:w="2512"/>
        <w:gridCol w:w="109"/>
        <w:gridCol w:w="109"/>
        <w:gridCol w:w="109"/>
        <w:gridCol w:w="1378"/>
        <w:gridCol w:w="109"/>
        <w:gridCol w:w="109"/>
        <w:gridCol w:w="109"/>
        <w:gridCol w:w="1612"/>
        <w:gridCol w:w="109"/>
        <w:gridCol w:w="109"/>
        <w:gridCol w:w="109"/>
        <w:gridCol w:w="2938"/>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11609" w:type="dxa"/>
            <w:gridSpan w:val="17"/>
            <w:tcBorders>
              <w:bottom w:val="single" w:sz="24" w:space="0" w:color="FEFEFE"/>
            </w:tcBorders>
            <w:shd w:fill="002F56" w:val="clear"/>
            <w:tcMar>
              <w:bottom w:w="70" w:type="dxa"/>
            </w:tcMar>
            <w:vAlign w:val="center"/>
          </w:tcPr>
          <w:p>
            <w:pPr>
              <w:pStyle w:val="TableContents"/>
              <w:bidi w:val="0"/>
              <w:spacing w:before="0" w:after="0"/>
              <w:jc w:val="center"/>
              <w:rPr>
                <w:spacing w:val="-7"/>
              </w:rPr>
            </w:pPr>
            <w:r>
              <w:rPr>
                <w:spacing w:val="-7"/>
              </w:rPr>
              <w:t xml:space="preserve">COMPENSATION DECISIONS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1861" w:type="dxa"/>
            <w:tcBorders/>
            <w:shd w:fill="002F56" w:val="clear"/>
            <w:tcMar>
              <w:bottom w:w="0" w:type="dxa"/>
            </w:tcMar>
            <w:vAlign w:val="center"/>
          </w:tcPr>
          <w:p>
            <w:pPr>
              <w:pStyle w:val="TableContents"/>
              <w:bidi w:val="0"/>
              <w:spacing w:before="0" w:after="0"/>
              <w:jc w:val="center"/>
              <w:rPr/>
            </w:pPr>
            <w:r>
              <w:rPr/>
              <w:drawing>
                <wp:inline distT="0" distB="0" distL="0" distR="0">
                  <wp:extent cx="495300" cy="409575"/>
                  <wp:effectExtent l="0" t="0" r="0" b="0"/>
                  <wp:docPr id="77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266" descr=""/>
                          <pic:cNvPicPr>
                            <a:picLocks noChangeAspect="1" noChangeArrowheads="1"/>
                          </pic:cNvPicPr>
                        </pic:nvPicPr>
                        <pic:blipFill>
                          <a:blip r:embed="rId278"/>
                          <a:stretch>
                            <a:fillRect/>
                          </a:stretch>
                        </pic:blipFill>
                        <pic:spPr bwMode="auto">
                          <a:xfrm>
                            <a:off x="0" y="0"/>
                            <a:ext cx="495300" cy="409575"/>
                          </a:xfrm>
                          <a:prstGeom prst="rect">
                            <a:avLst/>
                          </a:prstGeom>
                        </pic:spPr>
                      </pic:pic>
                    </a:graphicData>
                  </a:graphic>
                </wp:inline>
              </w:drawing>
            </w:r>
            <w:r>
              <w:rPr/>
              <w:t xml:space="preserve"> </w:t>
            </w:r>
          </w:p>
          <w:p>
            <w:pPr>
              <w:pStyle w:val="TableContents"/>
              <w:bidi w:val="0"/>
              <w:spacing w:lineRule="atLeast" w:line="200" w:before="119" w:after="283"/>
              <w:jc w:val="center"/>
              <w:rPr>
                <w:spacing w:val="-6"/>
              </w:rPr>
            </w:pPr>
            <w:r>
              <w:rPr>
                <w:spacing w:val="-6"/>
              </w:rPr>
              <w:t xml:space="preserve">SHAREHOLDER </w:t>
              <w:br/>
              <w:t xml:space="preserve">FEEDBACK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2512" w:type="dxa"/>
            <w:tcBorders/>
            <w:shd w:fill="71B1C8" w:val="clear"/>
            <w:tcMar>
              <w:bottom w:w="0" w:type="dxa"/>
            </w:tcMar>
            <w:vAlign w:val="center"/>
          </w:tcPr>
          <w:p>
            <w:pPr>
              <w:pStyle w:val="TableContents"/>
              <w:bidi w:val="0"/>
              <w:spacing w:before="0" w:after="0"/>
              <w:jc w:val="center"/>
              <w:rPr/>
            </w:pPr>
            <w:r>
              <w:rPr/>
              <w:drawing>
                <wp:inline distT="0" distB="0" distL="0" distR="0">
                  <wp:extent cx="381000" cy="428625"/>
                  <wp:effectExtent l="0" t="0" r="0" b="0"/>
                  <wp:docPr id="77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267" descr=""/>
                          <pic:cNvPicPr>
                            <a:picLocks noChangeAspect="1" noChangeArrowheads="1"/>
                          </pic:cNvPicPr>
                        </pic:nvPicPr>
                        <pic:blipFill>
                          <a:blip r:embed="rId279"/>
                          <a:stretch>
                            <a:fillRect/>
                          </a:stretch>
                        </pic:blipFill>
                        <pic:spPr bwMode="auto">
                          <a:xfrm>
                            <a:off x="0" y="0"/>
                            <a:ext cx="381000" cy="428625"/>
                          </a:xfrm>
                          <a:prstGeom prst="rect">
                            <a:avLst/>
                          </a:prstGeom>
                        </pic:spPr>
                      </pic:pic>
                    </a:graphicData>
                  </a:graphic>
                </wp:inline>
              </w:drawing>
            </w:r>
            <w:r>
              <w:rPr/>
              <w:t xml:space="preserve"> </w:t>
            </w:r>
          </w:p>
          <w:p>
            <w:pPr>
              <w:pStyle w:val="TableContents"/>
              <w:bidi w:val="0"/>
              <w:spacing w:lineRule="atLeast" w:line="200" w:before="200" w:after="283"/>
              <w:jc w:val="center"/>
              <w:rPr>
                <w:spacing w:val="-6"/>
              </w:rPr>
            </w:pPr>
            <w:r>
              <w:rPr>
                <w:spacing w:val="-6"/>
              </w:rPr>
              <w:t xml:space="preserve">RECOMMENDATIONS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BFBFBF" w:val="clear"/>
            <w:tcMar>
              <w:bottom w:w="0" w:type="dxa"/>
            </w:tcMar>
            <w:vAlign w:val="center"/>
          </w:tcPr>
          <w:p>
            <w:pPr>
              <w:pStyle w:val="TableContents"/>
              <w:bidi w:val="0"/>
              <w:spacing w:before="0" w:after="283"/>
              <w:jc w:val="left"/>
              <w:rPr/>
            </w:pPr>
            <w:r>
              <w:rPr/>
              <w:t>​</w:t>
            </w:r>
          </w:p>
        </w:tc>
        <w:tc>
          <w:tcPr>
            <w:tcW w:w="1378" w:type="dxa"/>
            <w:tcBorders/>
            <w:shd w:fill="BFBFBF" w:val="clear"/>
            <w:tcMar>
              <w:bottom w:w="0" w:type="dxa"/>
            </w:tcMar>
            <w:vAlign w:val="center"/>
          </w:tcPr>
          <w:p>
            <w:pPr>
              <w:pStyle w:val="TableContents"/>
              <w:bidi w:val="0"/>
              <w:spacing w:before="0" w:after="0"/>
              <w:jc w:val="center"/>
              <w:rPr/>
            </w:pPr>
            <w:r>
              <w:rPr/>
              <w:drawing>
                <wp:inline distT="0" distB="0" distL="0" distR="0">
                  <wp:extent cx="409575" cy="419100"/>
                  <wp:effectExtent l="0" t="0" r="0" b="0"/>
                  <wp:docPr id="77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268" descr=""/>
                          <pic:cNvPicPr>
                            <a:picLocks noChangeAspect="1" noChangeArrowheads="1"/>
                          </pic:cNvPicPr>
                        </pic:nvPicPr>
                        <pic:blipFill>
                          <a:blip r:embed="rId280"/>
                          <a:stretch>
                            <a:fillRect/>
                          </a:stretch>
                        </pic:blipFill>
                        <pic:spPr bwMode="auto">
                          <a:xfrm>
                            <a:off x="0" y="0"/>
                            <a:ext cx="409575" cy="419100"/>
                          </a:xfrm>
                          <a:prstGeom prst="rect">
                            <a:avLst/>
                          </a:prstGeom>
                        </pic:spPr>
                      </pic:pic>
                    </a:graphicData>
                  </a:graphic>
                </wp:inline>
              </w:drawing>
            </w:r>
            <w:r>
              <w:rPr/>
              <w:t xml:space="preserve"> </w:t>
            </w:r>
          </w:p>
          <w:p>
            <w:pPr>
              <w:pStyle w:val="TableContents"/>
              <w:bidi w:val="0"/>
              <w:spacing w:lineRule="atLeast" w:line="200" w:before="119" w:after="283"/>
              <w:jc w:val="center"/>
              <w:rPr>
                <w:spacing w:val="-6"/>
              </w:rPr>
            </w:pPr>
            <w:r>
              <w:rPr>
                <w:spacing w:val="-6"/>
              </w:rPr>
              <w:t xml:space="preserve">SET FINANCIAL TARGETS </w:t>
            </w:r>
          </w:p>
        </w:tc>
        <w:tc>
          <w:tcPr>
            <w:tcW w:w="109" w:type="dxa"/>
            <w:tcBorders/>
            <w:shd w:fill="BFBFBF"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7F7F7F" w:val="clear"/>
            <w:tcMar>
              <w:bottom w:w="0" w:type="dxa"/>
            </w:tcMar>
            <w:vAlign w:val="center"/>
          </w:tcPr>
          <w:p>
            <w:pPr>
              <w:pStyle w:val="TableContents"/>
              <w:bidi w:val="0"/>
              <w:spacing w:before="0" w:after="283"/>
              <w:jc w:val="left"/>
              <w:rPr/>
            </w:pPr>
            <w:r>
              <w:rPr/>
              <w:t>​</w:t>
            </w:r>
          </w:p>
        </w:tc>
        <w:tc>
          <w:tcPr>
            <w:tcW w:w="1612" w:type="dxa"/>
            <w:tcBorders/>
            <w:shd w:fill="7F7F7F" w:val="clear"/>
            <w:tcMar>
              <w:bottom w:w="0" w:type="dxa"/>
            </w:tcMar>
            <w:vAlign w:val="center"/>
          </w:tcPr>
          <w:p>
            <w:pPr>
              <w:pStyle w:val="TableContents"/>
              <w:bidi w:val="0"/>
              <w:spacing w:before="0" w:after="0"/>
              <w:jc w:val="center"/>
              <w:rPr/>
            </w:pPr>
            <w:r>
              <w:rPr/>
              <w:drawing>
                <wp:inline distT="0" distB="0" distL="0" distR="0">
                  <wp:extent cx="409575" cy="409575"/>
                  <wp:effectExtent l="0" t="0" r="0" b="0"/>
                  <wp:docPr id="77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269" descr=""/>
                          <pic:cNvPicPr>
                            <a:picLocks noChangeAspect="1" noChangeArrowheads="1"/>
                          </pic:cNvPicPr>
                        </pic:nvPicPr>
                        <pic:blipFill>
                          <a:blip r:embed="rId281"/>
                          <a:stretch>
                            <a:fillRect/>
                          </a:stretch>
                        </pic:blipFill>
                        <pic:spPr bwMode="auto">
                          <a:xfrm>
                            <a:off x="0" y="0"/>
                            <a:ext cx="409575" cy="409575"/>
                          </a:xfrm>
                          <a:prstGeom prst="rect">
                            <a:avLst/>
                          </a:prstGeom>
                        </pic:spPr>
                      </pic:pic>
                    </a:graphicData>
                  </a:graphic>
                </wp:inline>
              </w:drawing>
            </w:r>
            <w:r>
              <w:rPr/>
              <w:t xml:space="preserve"> </w:t>
            </w:r>
          </w:p>
          <w:p>
            <w:pPr>
              <w:pStyle w:val="TableContents"/>
              <w:bidi w:val="0"/>
              <w:spacing w:lineRule="atLeast" w:line="200" w:before="200" w:after="283"/>
              <w:jc w:val="center"/>
              <w:rPr>
                <w:spacing w:val="-6"/>
              </w:rPr>
            </w:pPr>
            <w:r>
              <w:rPr>
                <w:spacing w:val="-6"/>
              </w:rPr>
              <w:t xml:space="preserve">ASSESSMENT </w:t>
            </w:r>
          </w:p>
        </w:tc>
        <w:tc>
          <w:tcPr>
            <w:tcW w:w="109" w:type="dxa"/>
            <w:tcBorders/>
            <w:shd w:fill="7F7F7F"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3F3F3F" w:val="clear"/>
            <w:tcMar>
              <w:bottom w:w="0" w:type="dxa"/>
            </w:tcMar>
            <w:vAlign w:val="center"/>
          </w:tcPr>
          <w:p>
            <w:pPr>
              <w:pStyle w:val="TableContents"/>
              <w:bidi w:val="0"/>
              <w:spacing w:before="0" w:after="283"/>
              <w:jc w:val="left"/>
              <w:rPr/>
            </w:pPr>
            <w:r>
              <w:rPr/>
              <w:t>​</w:t>
            </w:r>
          </w:p>
        </w:tc>
        <w:tc>
          <w:tcPr>
            <w:tcW w:w="2938" w:type="dxa"/>
            <w:tcBorders/>
            <w:shd w:fill="3F3F3F" w:val="clear"/>
            <w:tcMar>
              <w:bottom w:w="0" w:type="dxa"/>
            </w:tcMar>
            <w:vAlign w:val="center"/>
          </w:tcPr>
          <w:p>
            <w:pPr>
              <w:pStyle w:val="TableContents"/>
              <w:bidi w:val="0"/>
              <w:spacing w:before="0" w:after="0"/>
              <w:jc w:val="center"/>
              <w:rPr/>
            </w:pPr>
            <w:r>
              <w:rPr/>
              <w:drawing>
                <wp:inline distT="0" distB="0" distL="0" distR="0">
                  <wp:extent cx="457200" cy="409575"/>
                  <wp:effectExtent l="0" t="0" r="0" b="0"/>
                  <wp:docPr id="77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270" descr=""/>
                          <pic:cNvPicPr>
                            <a:picLocks noChangeAspect="1" noChangeArrowheads="1"/>
                          </pic:cNvPicPr>
                        </pic:nvPicPr>
                        <pic:blipFill>
                          <a:blip r:embed="rId282"/>
                          <a:stretch>
                            <a:fillRect/>
                          </a:stretch>
                        </pic:blipFill>
                        <pic:spPr bwMode="auto">
                          <a:xfrm>
                            <a:off x="0" y="0"/>
                            <a:ext cx="457200" cy="409575"/>
                          </a:xfrm>
                          <a:prstGeom prst="rect">
                            <a:avLst/>
                          </a:prstGeom>
                        </pic:spPr>
                      </pic:pic>
                    </a:graphicData>
                  </a:graphic>
                </wp:inline>
              </w:drawing>
            </w:r>
            <w:r>
              <w:rPr/>
              <w:t xml:space="preserve"> </w:t>
            </w:r>
          </w:p>
          <w:p>
            <w:pPr>
              <w:pStyle w:val="TableContents"/>
              <w:bidi w:val="0"/>
              <w:spacing w:lineRule="atLeast" w:line="200" w:before="119" w:after="283"/>
              <w:jc w:val="center"/>
              <w:rPr>
                <w:spacing w:val="-6"/>
              </w:rPr>
            </w:pPr>
            <w:r>
              <w:rPr>
                <w:spacing w:val="-6"/>
              </w:rPr>
              <w:t xml:space="preserve">PAY-FOR-PERFORMANCE </w:t>
            </w:r>
          </w:p>
        </w:tc>
        <w:tc>
          <w:tcPr>
            <w:tcW w:w="154" w:type="dxa"/>
            <w:tcBorders/>
            <w:shd w:fill="3F3F3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61" w:type="dxa"/>
            <w:tcBorders/>
            <w:tcMar>
              <w:bottom w:w="0" w:type="dxa"/>
            </w:tcMar>
            <w:vAlign w:val="center"/>
          </w:tcPr>
          <w:p>
            <w:pPr>
              <w:pStyle w:val="TableContents"/>
              <w:bidi w:val="0"/>
              <w:spacing w:before="0" w:after="283"/>
              <w:jc w:val="left"/>
              <w:rPr>
                <w:spacing w:val="-1"/>
              </w:rPr>
            </w:pPr>
            <w:r>
              <w:rPr>
                <w:spacing w:val="-1"/>
              </w:rPr>
              <w:t xml:space="preserve">Year-long, active engagement to help </w:t>
              <w:br/>
              <w:t xml:space="preserve">us understand and respond to the priorities of our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2" w:type="dxa"/>
            <w:tcBorders/>
            <w:tcMar>
              <w:bottom w:w="0" w:type="dxa"/>
            </w:tcMar>
            <w:vAlign w:val="center"/>
          </w:tcPr>
          <w:p>
            <w:pPr>
              <w:pStyle w:val="TableContents"/>
              <w:bidi w:val="0"/>
              <w:spacing w:before="0" w:after="283"/>
              <w:jc w:val="left"/>
              <w:rPr>
                <w:spacing w:val="-1"/>
              </w:rPr>
            </w:pPr>
            <w:r>
              <w:rPr>
                <w:spacing w:val="-1"/>
              </w:rPr>
              <w:t xml:space="preserve">Recommendations from benchmark studies and market data from independent compensation consultant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spacing w:val="-1"/>
              </w:rPr>
            </w:pPr>
            <w:r>
              <w:rPr>
                <w:spacing w:val="-1"/>
              </w:rPr>
              <w:t xml:space="preserve">Set challenging, appropriate, and measurable financial targets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2" w:type="dxa"/>
            <w:tcBorders/>
            <w:tcMar>
              <w:bottom w:w="0" w:type="dxa"/>
            </w:tcMar>
            <w:vAlign w:val="center"/>
          </w:tcPr>
          <w:p>
            <w:pPr>
              <w:pStyle w:val="TableContents"/>
              <w:bidi w:val="0"/>
              <w:spacing w:before="0" w:after="283"/>
              <w:jc w:val="left"/>
              <w:rPr>
                <w:spacing w:val="-1"/>
              </w:rPr>
            </w:pPr>
            <w:r>
              <w:rPr>
                <w:spacing w:val="-1"/>
              </w:rPr>
              <w:t xml:space="preserve">Assessment of NEO performance and achievement of personal goals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before="0" w:after="283"/>
              <w:jc w:val="left"/>
              <w:rPr/>
            </w:pPr>
            <w:r>
              <w:rPr>
                <w:spacing w:val="-1"/>
              </w:rPr>
              <w:t>Clearly articulated compensation philosophy with strong pay-for-performance alignment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54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OOOC"/>
      <w:bookmarkEnd w:id="65"/>
      <w:r>
        <w:rPr>
          <w:rFonts w:ascii="calibri;arial;sans-serif" w:hAnsi="calibri;arial;sans-serif"/>
          <w:b w:val="false"/>
          <w:i w:val="false"/>
          <w:caps w:val="false"/>
          <w:smallCaps w:val="false"/>
          <w:color w:val="000000"/>
          <w:sz w:val="16"/>
        </w:rPr>
        <w:t>​</w:t>
      </w:r>
      <w:bookmarkStart w:id="66" w:name="tDERE"/>
      <w:bookmarkEnd w:id="66"/>
      <w:r>
        <w:rPr>
          <w:rFonts w:ascii="calibri;arial;sans-serif" w:hAnsi="calibri;arial;sans-serif"/>
          <w:b w:val="false"/>
          <w:i w:val="false"/>
          <w:caps w:val="false"/>
          <w:smallCaps w:val="false"/>
          <w:color w:val="000000"/>
          <w:sz w:val="16"/>
        </w:rPr>
        <w:t>​</w:t>
      </w:r>
      <w:bookmarkStart w:id="67" w:name="tCGC"/>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1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OBJECTIVES OF OUR COMPENSATION PROGRAM FOR NAMED EXECUTIVE OFFICERS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objectives serve as guiding principles for the Compensation Committee:</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2760"/>
        <w:gridCol w:w="109"/>
        <w:gridCol w:w="109"/>
        <w:gridCol w:w="109"/>
        <w:gridCol w:w="3146"/>
        <w:gridCol w:w="109"/>
        <w:gridCol w:w="109"/>
        <w:gridCol w:w="109"/>
        <w:gridCol w:w="2345"/>
        <w:gridCol w:w="156"/>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5" w:type="dxa"/>
            <w:gridSpan w:val="9"/>
            <w:tcBorders>
              <w:bottom w:val="single" w:sz="24" w:space="0" w:color="FEFEFE"/>
            </w:tcBorders>
            <w:shd w:fill="002F56" w:val="clear"/>
            <w:tcMar>
              <w:bottom w:w="70" w:type="dxa"/>
            </w:tcMar>
            <w:vAlign w:val="center"/>
          </w:tcPr>
          <w:p>
            <w:pPr>
              <w:pStyle w:val="TableContents"/>
              <w:bidi w:val="0"/>
              <w:spacing w:before="0" w:after="0"/>
              <w:jc w:val="center"/>
              <w:rPr>
                <w:spacing w:val="-7"/>
              </w:rPr>
            </w:pPr>
            <w:r>
              <w:rPr>
                <w:spacing w:val="-7"/>
              </w:rPr>
              <w:t xml:space="preserve">COMPENSATION PLAN DESIGN OBJECTIVES </w:t>
            </w:r>
          </w:p>
        </w:tc>
        <w:tc>
          <w:tcPr>
            <w:tcW w:w="156"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2760" w:type="dxa"/>
            <w:tcBorders/>
            <w:shd w:fill="71B1C8" w:val="clear"/>
            <w:tcMar>
              <w:bottom w:w="0" w:type="dxa"/>
            </w:tcMar>
            <w:vAlign w:val="center"/>
          </w:tcPr>
          <w:p>
            <w:pPr>
              <w:pStyle w:val="TableContents"/>
              <w:bidi w:val="0"/>
              <w:spacing w:before="0" w:after="0"/>
              <w:jc w:val="center"/>
              <w:rPr/>
            </w:pPr>
            <w:r>
              <w:rPr/>
              <w:drawing>
                <wp:inline distT="0" distB="0" distL="0" distR="0">
                  <wp:extent cx="409575" cy="409575"/>
                  <wp:effectExtent l="0" t="0" r="0" b="0"/>
                  <wp:docPr id="77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271" descr=""/>
                          <pic:cNvPicPr>
                            <a:picLocks noChangeAspect="1" noChangeArrowheads="1"/>
                          </pic:cNvPicPr>
                        </pic:nvPicPr>
                        <pic:blipFill>
                          <a:blip r:embed="rId283"/>
                          <a:stretch>
                            <a:fillRect/>
                          </a:stretch>
                        </pic:blipFill>
                        <pic:spPr bwMode="auto">
                          <a:xfrm>
                            <a:off x="0" y="0"/>
                            <a:ext cx="409575" cy="409575"/>
                          </a:xfrm>
                          <a:prstGeom prst="rect">
                            <a:avLst/>
                          </a:prstGeom>
                        </pic:spPr>
                      </pic:pic>
                    </a:graphicData>
                  </a:graphic>
                </wp:inline>
              </w:drawing>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3146" w:type="dxa"/>
            <w:tcBorders/>
            <w:shd w:fill="002F56" w:val="clear"/>
            <w:tcMar>
              <w:bottom w:w="0" w:type="dxa"/>
            </w:tcMar>
            <w:vAlign w:val="center"/>
          </w:tcPr>
          <w:p>
            <w:pPr>
              <w:pStyle w:val="TableContents"/>
              <w:bidi w:val="0"/>
              <w:spacing w:before="0" w:after="0"/>
              <w:jc w:val="center"/>
              <w:rPr/>
            </w:pPr>
            <w:r>
              <w:rPr/>
              <w:drawing>
                <wp:inline distT="0" distB="0" distL="0" distR="0">
                  <wp:extent cx="457200" cy="409575"/>
                  <wp:effectExtent l="0" t="0" r="0" b="0"/>
                  <wp:docPr id="77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272" descr=""/>
                          <pic:cNvPicPr>
                            <a:picLocks noChangeAspect="1" noChangeArrowheads="1"/>
                          </pic:cNvPicPr>
                        </pic:nvPicPr>
                        <pic:blipFill>
                          <a:blip r:embed="rId284"/>
                          <a:stretch>
                            <a:fillRect/>
                          </a:stretch>
                        </pic:blipFill>
                        <pic:spPr bwMode="auto">
                          <a:xfrm>
                            <a:off x="0" y="0"/>
                            <a:ext cx="457200" cy="409575"/>
                          </a:xfrm>
                          <a:prstGeom prst="rect">
                            <a:avLst/>
                          </a:prstGeom>
                        </pic:spPr>
                      </pic:pic>
                    </a:graphicData>
                  </a:graphic>
                </wp:inline>
              </w:drawing>
            </w:r>
            <w:r>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shd w:fill="3F3F3F" w:val="clear"/>
            <w:tcMar>
              <w:bottom w:w="0" w:type="dxa"/>
            </w:tcMar>
            <w:vAlign w:val="center"/>
          </w:tcPr>
          <w:p>
            <w:pPr>
              <w:pStyle w:val="TableContents"/>
              <w:bidi w:val="0"/>
              <w:spacing w:before="0" w:after="283"/>
              <w:jc w:val="left"/>
              <w:rPr/>
            </w:pPr>
            <w:r>
              <w:rPr/>
              <w:t>​</w:t>
            </w:r>
          </w:p>
        </w:tc>
        <w:tc>
          <w:tcPr>
            <w:tcW w:w="2345" w:type="dxa"/>
            <w:tcBorders/>
            <w:shd w:fill="3F3F3F" w:val="clear"/>
            <w:tcMar>
              <w:bottom w:w="0" w:type="dxa"/>
            </w:tcMar>
            <w:vAlign w:val="center"/>
          </w:tcPr>
          <w:p>
            <w:pPr>
              <w:pStyle w:val="TableContents"/>
              <w:bidi w:val="0"/>
              <w:spacing w:before="0" w:after="0"/>
              <w:jc w:val="center"/>
              <w:rPr/>
            </w:pPr>
            <w:r>
              <w:rPr/>
              <w:drawing>
                <wp:inline distT="0" distB="0" distL="0" distR="0">
                  <wp:extent cx="428625" cy="419100"/>
                  <wp:effectExtent l="0" t="0" r="0" b="0"/>
                  <wp:docPr id="77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273" descr=""/>
                          <pic:cNvPicPr>
                            <a:picLocks noChangeAspect="1" noChangeArrowheads="1"/>
                          </pic:cNvPicPr>
                        </pic:nvPicPr>
                        <pic:blipFill>
                          <a:blip r:embed="rId285"/>
                          <a:stretch>
                            <a:fillRect/>
                          </a:stretch>
                        </pic:blipFill>
                        <pic:spPr bwMode="auto">
                          <a:xfrm>
                            <a:off x="0" y="0"/>
                            <a:ext cx="428625" cy="419100"/>
                          </a:xfrm>
                          <a:prstGeom prst="rect">
                            <a:avLst/>
                          </a:prstGeom>
                        </pic:spPr>
                      </pic:pic>
                    </a:graphicData>
                  </a:graphic>
                </wp:inline>
              </w:drawing>
            </w:r>
            <w:r>
              <w:rPr/>
              <w:t xml:space="preserve"> </w:t>
            </w:r>
          </w:p>
        </w:tc>
        <w:tc>
          <w:tcPr>
            <w:tcW w:w="156" w:type="dxa"/>
            <w:tcBorders/>
            <w:shd w:fill="3F3F3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60" w:type="dxa"/>
            <w:tcBorders/>
            <w:tcMar>
              <w:bottom w:w="0" w:type="dxa"/>
            </w:tcMar>
            <w:vAlign w:val="center"/>
          </w:tcPr>
          <w:p>
            <w:pPr>
              <w:pStyle w:val="TableContents"/>
              <w:bidi w:val="0"/>
              <w:spacing w:lineRule="atLeast" w:line="220" w:before="0" w:after="0"/>
              <w:ind w:left="180" w:right="0" w:hanging="0"/>
              <w:jc w:val="left"/>
              <w:rPr>
                <w:spacing w:val="-1"/>
              </w:rPr>
            </w:pPr>
            <w:r>
              <w:rPr>
                <w:spacing w:val="-1"/>
              </w:rPr>
              <w:t xml:space="preserve">Provide a market-based, competitive total compensation opportunity that allows the Company to attract, retain, motivate, and reward highly skilled executives </w:t>
            </w:r>
            <w:r>
              <mc:AlternateContent>
                <mc:Choice Requires="wps">
                  <w:drawing>
                    <wp:anchor behindDoc="0" distT="0" distB="0" distL="0" distR="0" simplePos="0" locked="0" layoutInCell="1" allowOverlap="1" relativeHeight="799">
                      <wp:simplePos x="0" y="0"/>
                      <wp:positionH relativeFrom="column">
                        <wp:align>left</wp:align>
                      </wp:positionH>
                      <wp:positionV relativeFrom="line">
                        <wp:posOffset>635</wp:posOffset>
                      </wp:positionV>
                      <wp:extent cx="114300" cy="350520"/>
                      <wp:effectExtent l="0" t="0" r="0" b="0"/>
                      <wp:wrapSquare wrapText="right"/>
                      <wp:docPr id="778" name="Frame4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6" w:type="dxa"/>
            <w:tcBorders/>
            <w:tcMar>
              <w:bottom w:w="0" w:type="dxa"/>
            </w:tcMar>
            <w:vAlign w:val="center"/>
          </w:tcPr>
          <w:p>
            <w:pPr>
              <w:pStyle w:val="TableContents"/>
              <w:bidi w:val="0"/>
              <w:spacing w:lineRule="atLeast" w:line="220" w:before="0" w:after="0"/>
              <w:ind w:left="180" w:right="0" w:hanging="0"/>
              <w:jc w:val="left"/>
              <w:rPr>
                <w:spacing w:val="-1"/>
              </w:rPr>
            </w:pPr>
            <w:r>
              <w:rPr>
                <w:spacing w:val="-1"/>
              </w:rPr>
              <w:t xml:space="preserve">Establish a strong pay-for-performance culture based on the achievement of key business objectives and reinforced by incentive-based pay </w:t>
            </w:r>
            <w:r>
              <mc:AlternateContent>
                <mc:Choice Requires="wps">
                  <w:drawing>
                    <wp:anchor behindDoc="0" distT="0" distB="0" distL="0" distR="0" simplePos="0" locked="0" layoutInCell="1" allowOverlap="1" relativeHeight="800">
                      <wp:simplePos x="0" y="0"/>
                      <wp:positionH relativeFrom="column">
                        <wp:align>left</wp:align>
                      </wp:positionH>
                      <wp:positionV relativeFrom="line">
                        <wp:posOffset>635</wp:posOffset>
                      </wp:positionV>
                      <wp:extent cx="114300" cy="350520"/>
                      <wp:effectExtent l="0" t="0" r="0" b="0"/>
                      <wp:wrapSquare wrapText="right"/>
                      <wp:docPr id="779" name="Frame4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EFEFE"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5" w:type="dxa"/>
            <w:tcBorders/>
            <w:tcMar>
              <w:bottom w:w="0" w:type="dxa"/>
            </w:tcMar>
            <w:vAlign w:val="center"/>
          </w:tcPr>
          <w:p>
            <w:pPr>
              <w:pStyle w:val="TableContents"/>
              <w:bidi w:val="0"/>
              <w:spacing w:lineRule="atLeast" w:line="220" w:before="0" w:after="0"/>
              <w:ind w:left="180" w:right="0" w:hanging="0"/>
              <w:jc w:val="left"/>
              <w:rPr/>
            </w:pPr>
            <w:r>
              <w:rPr>
                <w:spacing w:val="-1"/>
              </w:rPr>
              <w:t>Strengthen the linkage between executive and shareholder interests through the usage of equity awards and executive stock ownership</w:t>
            </w:r>
            <w:r>
              <w:rPr/>
              <w:t xml:space="preserve"> </w:t>
            </w:r>
            <w:r>
              <mc:AlternateContent>
                <mc:Choice Requires="wps">
                  <w:drawing>
                    <wp:anchor behindDoc="0" distT="0" distB="0" distL="0" distR="0" simplePos="0" locked="0" layoutInCell="1" allowOverlap="1" relativeHeight="801">
                      <wp:simplePos x="0" y="0"/>
                      <wp:positionH relativeFrom="column">
                        <wp:align>left</wp:align>
                      </wp:positionH>
                      <wp:positionV relativeFrom="line">
                        <wp:posOffset>635</wp:posOffset>
                      </wp:positionV>
                      <wp:extent cx="114300" cy="350520"/>
                      <wp:effectExtent l="0" t="0" r="0" b="0"/>
                      <wp:wrapSquare wrapText="right"/>
                      <wp:docPr id="780" name="Frame4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320" w:before="333"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DECISION-MAKING RESPONSIBILITY</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0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Governance of our compensation program is the responsibility of the Compensation Committee, which consists solely of independent (non-management) directors. The Compensation Committee works with management, in particular the Chief Executive Officer and the executive responsible for Human Resources, in making decisions regarding our compensation program. The Chief Executive Officer has the ability to call Compensation Committee meetings for this purpose. The Compensation Committee retained Frederic W. Cook &amp; Co., Inc. (“FW Cook”), a nationally known compensation consulting firm, as its independent compensation consultant for purposes of executive compensation matters in 2025. FW Cook assists in: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gathering and analyzing market data,</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6510" distB="0" distL="0" distR="0" simplePos="0" locked="0" layoutInCell="1" allowOverlap="1" relativeHeight="802">
                <wp:simplePos x="0" y="0"/>
                <wp:positionH relativeFrom="column">
                  <wp:align>left</wp:align>
                </wp:positionH>
                <wp:positionV relativeFrom="line">
                  <wp:align>top</wp:align>
                </wp:positionV>
                <wp:extent cx="127000" cy="350520"/>
                <wp:effectExtent l="0" t="0" r="0" b="0"/>
                <wp:wrapSquare wrapText="right"/>
                <wp:docPr id="781"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advising the Compensation Committee on compensation standards and trends,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2860" distB="0" distL="0" distR="0" simplePos="0" locked="0" layoutInCell="1" allowOverlap="1" relativeHeight="803">
                <wp:simplePos x="0" y="0"/>
                <wp:positionH relativeFrom="column">
                  <wp:align>left</wp:align>
                </wp:positionH>
                <wp:positionV relativeFrom="line">
                  <wp:align>top</wp:align>
                </wp:positionV>
                <wp:extent cx="127000" cy="350520"/>
                <wp:effectExtent l="0" t="0" r="0" b="0"/>
                <wp:wrapSquare wrapText="right"/>
                <wp:docPr id="782"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8pt;mso-wrap-distance-bottom:0pt;margin-top:1.8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36"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assisting in the implementation of policies and programs.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2860" distB="0" distL="0" distR="0" simplePos="0" locked="0" layoutInCell="1" allowOverlap="1" relativeHeight="804">
                <wp:simplePos x="0" y="0"/>
                <wp:positionH relativeFrom="column">
                  <wp:align>left</wp:align>
                </wp:positionH>
                <wp:positionV relativeFrom="line">
                  <wp:align>top</wp:align>
                </wp:positionV>
                <wp:extent cx="127000" cy="350520"/>
                <wp:effectExtent l="0" t="0" r="0" b="0"/>
                <wp:wrapSquare wrapText="right"/>
                <wp:docPr id="783"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FW Cook works with the Chief Executive Officer and the executive responsible for Human Resources to provide such assistance to the Compensation Committee. FW Cook does not provide any other services to the Company. The Committee annually reviews the independence status of its advisors and determined that FW Cook has no conflicts of interest in its role as compensation consultant to the Committee. The Committee has sole authority to determine the compensation for and to terminate FW Cook’s services.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COMPARATOR GROUP COMPANIES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0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intend that the levels of compensation available to executive officers who successfully enhance corporate value be competitive with the compensation offered by publicly held companies so that we can successfully attract and retain the high-quality executive talent critical to the long-term success of the Company. Furthermore, we seek to encourage outstanding performance through the opportunity to earn substantially more than target levels of pay for superior performance. To understand the competitive market for pay, we analyze the compensation programs at a comparator group of companies in setting compensation terms for our program.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Company’s primary business competitors are foreign companies, privately held firms or subsidiaries of publicly-traded companies. Accordingly, compensation data for most of our primary business competitors is not publicly available. Our 2025 comparator group, which was based on information and analysis provided by the Committee’s compensation consultant, consisted of the following group of comparator companies.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09"/>
        <w:gridCol w:w="3042"/>
        <w:gridCol w:w="109"/>
        <w:gridCol w:w="109"/>
        <w:gridCol w:w="109"/>
        <w:gridCol w:w="2172"/>
        <w:gridCol w:w="109"/>
        <w:gridCol w:w="109"/>
        <w:gridCol w:w="109"/>
        <w:gridCol w:w="292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AdvanSix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Ecovyst,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Orion S.A.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Ashland Global Holdings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Element Solutions,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Quaker Houghton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Avient Corp.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H.B. Fuller Company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Rayonier Advanced Materials,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Axalta Coating Systems Ltd.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Ingevity Corporation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Sensient Technologies Corp.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Balchem Corporation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Innospec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Stepan Co.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Cabot Corporation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Koppers Holdings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Summit Materials Inc.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0"/>
              <w:jc w:val="left"/>
              <w:rPr>
                <w:spacing w:val="-1"/>
              </w:rPr>
            </w:pPr>
            <w:r>
              <w:rPr>
                <w:spacing w:val="-1"/>
              </w:rPr>
              <w:t xml:space="preserve">Compass Minerals International,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2F56"/>
            </w:tcBorders>
            <w:shd w:fill="002F56"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Kronos Worldwide, Inc. </w:t>
            </w:r>
          </w:p>
        </w:tc>
        <w:tc>
          <w:tcPr>
            <w:tcW w:w="109" w:type="dxa"/>
            <w:tcBorders/>
            <w:vAlign w:val="center"/>
          </w:tcPr>
          <w:p>
            <w:pPr>
              <w:pStyle w:val="TableContents"/>
              <w:bidi w:val="0"/>
              <w:spacing w:before="0" w:after="283"/>
              <w:jc w:val="left"/>
              <w:rPr/>
            </w:pPr>
            <w:r>
              <w:rPr/>
              <w:t>​</w:t>
            </w:r>
          </w:p>
        </w:tc>
        <w:tc>
          <w:tcPr>
            <w:tcW w:w="109" w:type="dxa"/>
            <w:tcBorders>
              <w:bottom w:val="single" w:sz="2" w:space="0" w:color="71B1C8"/>
            </w:tcBorders>
            <w:shd w:fill="71B1C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spacing w:val="-1"/>
              </w:rPr>
            </w:pPr>
            <w:r>
              <w:rPr>
                <w:spacing w:val="-1"/>
              </w:rPr>
              <w:t xml:space="preserve">Tronox Holdings Plc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spacing w:val="-1"/>
              </w:rPr>
            </w:pPr>
            <w:r>
              <w:rPr>
                <w:spacing w:val="-1"/>
              </w:rPr>
              <w:t xml:space="preserve">Eagle Materials Inc. </w:t>
            </w:r>
          </w:p>
        </w:tc>
        <w:tc>
          <w:tcPr>
            <w:tcW w:w="109" w:type="dxa"/>
            <w:tcBorders/>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2" w:type="dxa"/>
            <w:tcBorders/>
            <w:vAlign w:val="center"/>
          </w:tcPr>
          <w:p>
            <w:pPr>
              <w:pStyle w:val="TableContents"/>
              <w:bidi w:val="0"/>
              <w:spacing w:before="0" w:after="283"/>
              <w:jc w:val="left"/>
              <w:rPr>
                <w:spacing w:val="-1"/>
              </w:rPr>
            </w:pPr>
            <w:r>
              <w:rPr>
                <w:spacing w:val="-1"/>
              </w:rPr>
              <w:t xml:space="preserve">NewMarket Corporation </w:t>
            </w:r>
          </w:p>
        </w:tc>
        <w:tc>
          <w:tcPr>
            <w:tcW w:w="109" w:type="dxa"/>
            <w:tcBorders/>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302" w:after="283"/>
        <w:ind w:left="10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2025 comparator group was used for reference in setting overall compensation for our executives. It was also used for purpose of the Peer Company Index for our Performance Units in 2025, but for this purpose reflected the removal of Summit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55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TDR"/>
      <w:bookmarkEnd w:id="68"/>
      <w:r>
        <w:rPr>
          <w:rFonts w:ascii="calibri;arial;sans-serif" w:hAnsi="calibri;arial;sans-serif"/>
          <w:b w:val="false"/>
          <w:i w:val="false"/>
          <w:caps w:val="false"/>
          <w:smallCaps w:val="false"/>
          <w:color w:val="000000"/>
          <w:sz w:val="16"/>
        </w:rPr>
        <w:t>​</w:t>
      </w:r>
      <w:bookmarkStart w:id="69" w:name="tREPR"/>
      <w:bookmarkEnd w:id="69"/>
      <w:r>
        <w:rPr>
          <w:rFonts w:ascii="calibri;arial;sans-serif" w:hAnsi="calibri;arial;sans-serif"/>
          <w:b w:val="false"/>
          <w:i w:val="false"/>
          <w:caps w:val="false"/>
          <w:smallCaps w:val="false"/>
          <w:color w:val="000000"/>
          <w:sz w:val="16"/>
        </w:rPr>
        <w:t>​</w:t>
      </w:r>
      <w:bookmarkStart w:id="70" w:name="tREPL"/>
      <w:bookmarkEnd w:id="70"/>
      <w:r>
        <w:rPr>
          <w:rFonts w:ascii="calibri;arial;sans-serif" w:hAnsi="calibri;arial;sans-serif"/>
          <w:b w:val="false"/>
          <w:i w:val="false"/>
          <w:caps w:val="false"/>
          <w:smallCaps w:val="false"/>
          <w:color w:val="000000"/>
          <w:sz w:val="16"/>
        </w:rPr>
        <w:t>​</w:t>
      </w:r>
      <w:bookmarkStart w:id="71" w:name="tDC4P"/>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Materials Inc. as a result of that company’s acquisition. We believe that these companies provide a broad measure of compensation in the market in which we compete for talent and reflects companies that are of comparable size (as measured by revenue, total assets, and market cap), scope of operations and complexity. We conduct a comparator group review on an annual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do not rely exclusively on comparator group data in setting the terms of our compensation program. Consideration also is given to major compensation surveys of companies in the chemical industry, as well as companies in general industry. Survey information helps to confirm the validity and provide broader context to the comparator group data, as well as provide data for positions where comparator data is not available from public filings with the SEC. This survey data is developed independently by FW Cook and provided to the Compensation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SETTING TOTAL DIRECT REMUNERATION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0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Total direct remuneration — consisting of salary, annual incentive awards and long-term incentive awards — provides the major portion of each named executive officer’s remuneration. In setting each named executive officer’s total direct remuneration opportunity, the Compensation Committee takes into account other factors such as the responsibilities, performance, contributions and service of the executive, including compensation in relation to other employees and the executive’s length of service in the particular position. As a result, we do not set total direct remuneration or the component parts at levels to achieve a mathematically precise market position.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discussed above, our program has provided substantial portions of total direct remuneration in the form of DRSUs and stock options to promote share ownership as a direct means of aligning the interests of executives with the long-term interests of shareholders. Our share retention requirements also encourage long-term shareholding. Cash compensation permits executives to meet living expenses and build wealth through diversified investments, and we therefore seek to provide balance in the mix of cash and non-cash compensation. The more senior the role, the greater the percentage of compensation provided in the form of at-risk long-term incentives.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evaluating the level of compensation for the named executive officers versus the marketplace, the Committee considered the elements of salary, annual incentive and long-term incentive compensation, both individually and collectively. These elements were benchmarked to compensation information of comparator companies provided by FW Cook. However, this compensation data was not utilized by the Committee to adjust any element of compensation, or total compensation generally, paid to any executive officer (including any of the named executive officers) to precisely equal benchmarked values. Rather, salary, bonus and equity-based compensation components, individually and in total, for each executive, were compared to the average value received by the executives in the comparator companies and such comparison served as general guidance to the Committee in setting compensation levels. In addition, the Committee reviewed the salary, annual incentive and long-term incentive compensation amounts received by each such executive in prior years when establishing compensation levels. In establishing the form and amount of compensation, the Committee attempts to provide compensation that is competitive with its comparator companies, but reasonable in light of the Company’s performance in prior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Compensation levels for each element of direct remuneration are determined by the Committee independently and are not set based on the levels of other elements of compensation, except that the aggregate value of long-term incentive opportunities at target are generally set so that the sum of base salary, annual incentive at target and long-term incentives at target fall within the desired range of total direct remuneration. As noted above, in each case, the Compensation Committee also takes into account other factors such as the responsibilities, performance, contributions and service of the executive, including compensation in relation to other employees and the executive’s length of service in the particular position.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RETIREMENT PROGRAMS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0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retirement programs provide an opportunity for each participating executive to receive a pension or other forms of retirement benefits through a combination of qualified and non-qualified plans. Although our retirement programs provide valuable benefits that help us attract and retain executive talent, we rely more heavily on other elements of our compensation program in the recruitment process and for retention.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RETIREMENT PLANS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Messrs. Dietrich, Monagle, and Argirakis participate in the Company’s Retirement Plan, a tax-qualified defined-benefit plan, and the Supplemental Retirement Plan, a non-qualified plan that provides a benefit calculated on compensation in excess of the compensation limit under the Internal Revenue Code. These plans were closed to new entrants effective January 1, 2010. Employees hired after January 1, 2010, including Mr. Aldag and Mr. Hastings, are not entitled to participate in the Retirement Plan or Supplemental Retirement Plan. These plans are described more fully in the narrative following the Pension Benefits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DEFINED CONTRIBUTION 401(</w:t>
      </w:r>
      <w:r>
        <w:rPr>
          <w:rFonts w:ascii="Arial;Helvetica;sans-serif" w:hAnsi="Arial;Helvetica;sans-serif"/>
          <w:b/>
          <w:i w:val="false"/>
          <w:caps/>
          <w:color w:val="DF0000"/>
          <w:spacing w:val="-8"/>
          <w:sz w:val="18"/>
        </w:rPr>
        <w:t>k</w:t>
      </w:r>
      <w:r>
        <w:rPr>
          <w:rFonts w:ascii="Arial;Helvetica;sans-serif" w:hAnsi="Arial;Helvetica;sans-serif"/>
          <w:b/>
          <w:i w:val="false"/>
          <w:caps/>
          <w:color w:val="DF0000"/>
          <w:spacing w:val="-8"/>
          <w:sz w:val="24"/>
        </w:rPr>
        <w:t>) PLAN</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named executive officer is eligible to participate in the Company’s Savings and Investment Plan, a tax-qualified defined contribution retirement plan (401(k) plan). Eligible participants in the Savings and Investment Plan may make before-tax contributions and receive company matching contributions. The Company matches 100% of the first 3% and 50% of the next 2% of eligible earnings contributed by each participant in the Savings and Investment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56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DECO"/>
      <w:bookmarkEnd w:id="72"/>
      <w:r>
        <w:rPr>
          <w:rFonts w:ascii="calibri;arial;sans-serif" w:hAnsi="calibri;arial;sans-serif"/>
          <w:b w:val="false"/>
          <w:i w:val="false"/>
          <w:caps w:val="false"/>
          <w:smallCaps w:val="false"/>
          <w:color w:val="000000"/>
          <w:sz w:val="16"/>
        </w:rPr>
        <w:t>​</w:t>
      </w:r>
      <w:bookmarkStart w:id="73" w:name="tOPAP"/>
      <w:bookmarkEnd w:id="73"/>
      <w:r>
        <w:rPr>
          <w:rFonts w:ascii="calibri;arial;sans-serif" w:hAnsi="calibri;arial;sans-serif"/>
          <w:b w:val="false"/>
          <w:i w:val="false"/>
          <w:caps w:val="false"/>
          <w:smallCaps w:val="false"/>
          <w:color w:val="000000"/>
          <w:sz w:val="16"/>
        </w:rPr>
        <w:t>​</w:t>
      </w:r>
      <w:bookmarkStart w:id="74" w:name="tPER"/>
      <w:bookmarkEnd w:id="74"/>
      <w:r>
        <w:rPr>
          <w:rFonts w:ascii="calibri;arial;sans-serif" w:hAnsi="calibri;arial;sans-serif"/>
          <w:b w:val="false"/>
          <w:i w:val="false"/>
          <w:caps w:val="false"/>
          <w:smallCaps w:val="false"/>
          <w:color w:val="000000"/>
          <w:sz w:val="16"/>
        </w:rPr>
        <w:t>​</w:t>
      </w:r>
      <w:bookmarkStart w:id="75" w:name="tEMAG"/>
      <w:bookmarkEnd w:id="75"/>
      <w:r>
        <w:rPr>
          <w:rFonts w:ascii="calibri;arial;sans-serif" w:hAnsi="calibri;arial;sans-serif"/>
          <w:b w:val="false"/>
          <w:i w:val="false"/>
          <w:caps w:val="false"/>
          <w:smallCaps w:val="false"/>
          <w:color w:val="000000"/>
          <w:sz w:val="16"/>
        </w:rPr>
        <w:t>​</w:t>
      </w:r>
      <w:bookmarkStart w:id="76" w:name="tSEPO"/>
      <w:bookmarkEnd w:id="76"/>
      <w:r>
        <w:rPr>
          <w:rFonts w:ascii="calibri;arial;sans-serif" w:hAnsi="calibri;arial;sans-serif"/>
          <w:b w:val="false"/>
          <w:i w:val="false"/>
          <w:caps w:val="false"/>
          <w:smallCaps w:val="false"/>
          <w:color w:val="000000"/>
          <w:sz w:val="16"/>
        </w:rPr>
        <w:t>​</w:t>
      </w:r>
      <w:bookmarkStart w:id="77" w:name="tEAGP"/>
      <w:bookmarkEnd w:id="77"/>
      <w:r>
        <w:rPr>
          <w:rFonts w:ascii="calibri;arial;sans-serif" w:hAnsi="calibri;arial;sans-serif"/>
          <w:b w:val="false"/>
          <w:i w:val="false"/>
          <w:caps w:val="false"/>
          <w:smallCaps w:val="false"/>
          <w:color w:val="000000"/>
          <w:sz w:val="16"/>
        </w:rPr>
        <w:t>​</w:t>
      </w:r>
      <w:bookmarkStart w:id="78" w:name="tCLPO"/>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80" w:before="400" w:after="283"/>
        <w:ind w:left="1020" w:right="0" w:hanging="0"/>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DEFERRED COMPENSATION</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maintains the non-qualified Supplemental Savings Plan in order to allow employees to defer amounts that cannot be deferred under the qualified Savings and Investment Plan due to Internal Revenue Code limits. Each named executive officer is eligible to participate in the Supplemental Savings Plan. This plan is described more fully in the narrative surrounding the Non-Qualified Deferred Compensation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OTHER POLICIES AND PRACTICES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0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reviews and takes into account all elements of executive compensation in setting policies and determining compensation amounts. In this process, the Committee reviews “tally sheets” and other reports and analyses of executive compensation including those prepared by FW Cook.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Other policies and practices that help promote our compensation objectives include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PERQUISITES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2025, we provided only minimal perquisites, such as financial counseling, that have a sound benefit to the Company’s business.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EMPLOYMENT AGREEMENTS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have employment agreements with all of the named executive officers. These agreements formalize the terms of the employment relationship and the Company’s obligations to the executive during employment and in the event of termination. Additionally, these agreements clearly define the obligations of executives during and after employment with the Company. This includes compliance with restrictive terms that protect our business related to competitive activities, solicitation of our employees, customers and business partners, the disclosure of confidential information, and other actions that could be harmful to the Company post-employment. Employment agreements promote careful and complete documentation and understanding of employment terms, including strong protections for our business, and discourage frequent renegotiation of the terms of employment.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SEVERANCE POLICIES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Severance protection is provided to our senior executives in employment agreements and severance agreements. This protection is designed to be fair and competitive and to aid in attracting and retaining experienced executives. We believe that the protection we provide — including the level of severance payments and post-termination benefits — is appropriate and within the range of competitive practice.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Severance protection following a change in control permits an executive to evaluate a potential change in control while relatively free of concern for the executive’s own situation or the need to seek employment elsewhere, helps maintain a stable management team to preserve the Company’s operations while a transaction is pending, and seeks to ensure that the Company’s business will continue without undue disruption should such a transaction not be consummated. In addition, we believe that the change in control protections in place encourage management to consider on an ongoing basis whether a strategic transaction might be advantageous to our shareholders, even one that would vest control of the Company in a third party. We do not provide for excise tax gross up payments to executive officers in connection with a change in control. Under our officers’ change-in-control arrangements, the severance payable upon a qualifying termination of employment following a change-in-control is three times the officer’s base salary and target bonus, which we believe is in line with market practice. The Compensation Committee believes that the potential cost of executive change in control severance payments and benefits represents an appropriate cost relative to the benefits to the Company and its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EQUITY AWARD GRANT PRACTICES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option and DRSU grants typically occur on regularly scheduled predetermined dates in accordance with the yearly compensation cycle. Equity awards are granted at the start of the new fiscal year to incentivize the executives to deliver on the Company’s strategic objectives for the new fiscal year, with the Compensation Committee approving such awards at a regularly scheduled meeting, typically in January. The Committee does not take material nonpublic information into account when determining the timing and terms of equity awards. Nor does the Company time disclosure of material non-public information for the purpose of affecting the value of executive compensation. The Company considers interim grants in cases of new hires, promotions and other special situations; however, no off-cycle equity awards were granted to NEOs in 2025. During fiscal 2025, the Company did not grant equity awards to any NEO during any period beginning four business days before and ending one business day after the filing of any Company periodic report on Form 10-Q or Form 10-K, or the filing or furnishing of any Form 8-K that disclosed any material non-public information.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CLAWBACK POLICY</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00" w:before="8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Our Policy for Recoupment of Incentive Compensation (“clawback” policy) provides that, if we are required to prepare a material accounting restatement, whether or not the result of misconduct, the Company shall seek to recoup from each current and former executive officer of the Company any incentive-based compensation received by such person in the three prior years that exceeds the amount that person would otherwise have received had the amount been determined based on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57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OSOG"/>
      <w:bookmarkEnd w:id="79"/>
      <w:r>
        <w:rPr>
          <w:rFonts w:ascii="calibri;arial;sans-serif" w:hAnsi="calibri;arial;sans-serif"/>
          <w:b w:val="false"/>
          <w:i w:val="false"/>
          <w:caps w:val="false"/>
          <w:smallCaps w:val="false"/>
          <w:color w:val="000000"/>
          <w:sz w:val="16"/>
        </w:rPr>
        <w:t>​</w:t>
      </w:r>
      <w:bookmarkStart w:id="80" w:name="tTCAH"/>
      <w:bookmarkEnd w:id="80"/>
      <w:r>
        <w:rPr>
          <w:rFonts w:ascii="calibri;arial;sans-serif" w:hAnsi="calibri;arial;sans-serif"/>
          <w:b w:val="false"/>
          <w:i w:val="false"/>
          <w:caps w:val="false"/>
          <w:smallCaps w:val="false"/>
          <w:color w:val="000000"/>
          <w:sz w:val="16"/>
        </w:rPr>
        <w:t>​</w:t>
      </w:r>
      <w:bookmarkStart w:id="81" w:name="t2CPF"/>
      <w:bookmarkEnd w:id="81"/>
      <w:r>
        <w:rPr>
          <w:rFonts w:ascii="calibri;arial;sans-serif" w:hAnsi="calibri;arial;sans-serif"/>
          <w:b w:val="false"/>
          <w:i w:val="false"/>
          <w:caps w:val="false"/>
          <w:smallCaps w:val="false"/>
          <w:color w:val="000000"/>
          <w:sz w:val="16"/>
        </w:rPr>
        <w:t>​</w:t>
      </w:r>
      <w:bookmarkStart w:id="82" w:name="tROTC1"/>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EXECUTIVE COMPENSATION</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restated results. The policy also permits the Company to recoup similar amounts from other designated non-executive employees to the extent directed by the Company’s Board of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OFFICER STOCK OWNERSHIP GUIDELINES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are the stock ownership guidelines effective for the Chief Executive Officer and other named executive officers. The guidelines require holdings of our stock with values at least equal to specified multiples of base salary, as follows: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Chief Executive Officer — </w:t>
      </w:r>
      <w:r>
        <w:rPr>
          <w:rFonts w:ascii="Arial;Helvetica;sans-serif" w:hAnsi="Arial;Helvetica;sans-serif"/>
          <w:b/>
          <w:i w:val="false"/>
          <w:caps w:val="false"/>
          <w:smallCaps w:val="false"/>
          <w:color w:val="000000"/>
          <w:spacing w:val="0"/>
          <w:sz w:val="18"/>
        </w:rPr>
        <w:t>six times</w:t>
      </w:r>
      <w:r>
        <w:rPr>
          <w:rFonts w:ascii="Arial;Helvetica;sans-serif" w:hAnsi="Arial;Helvetica;sans-serif"/>
          <w:b w:val="false"/>
          <w:i w:val="false"/>
          <w:caps w:val="false"/>
          <w:smallCaps w:val="false"/>
          <w:color w:val="000000"/>
          <w:spacing w:val="-1"/>
          <w:sz w:val="18"/>
        </w:rPr>
        <w:t xml:space="preserve"> base salary (within five years of election)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9050" distB="0" distL="0" distR="0" simplePos="0" locked="0" layoutInCell="1" allowOverlap="1" relativeHeight="805">
                <wp:simplePos x="0" y="0"/>
                <wp:positionH relativeFrom="column">
                  <wp:align>left</wp:align>
                </wp:positionH>
                <wp:positionV relativeFrom="line">
                  <wp:align>top</wp:align>
                </wp:positionV>
                <wp:extent cx="127000" cy="350520"/>
                <wp:effectExtent l="0" t="0" r="0" b="0"/>
                <wp:wrapSquare wrapText="right"/>
                <wp:docPr id="784"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Chief Financial Officer and Group Presidents — </w:t>
      </w:r>
      <w:r>
        <w:rPr>
          <w:rFonts w:ascii="Arial;Helvetica;sans-serif" w:hAnsi="Arial;Helvetica;sans-serif"/>
          <w:b/>
          <w:i w:val="false"/>
          <w:caps w:val="false"/>
          <w:smallCaps w:val="false"/>
          <w:color w:val="000000"/>
          <w:spacing w:val="0"/>
          <w:sz w:val="18"/>
        </w:rPr>
        <w:t>four times</w:t>
      </w:r>
      <w:r>
        <w:rPr>
          <w:rFonts w:ascii="Arial;Helvetica;sans-serif" w:hAnsi="Arial;Helvetica;sans-serif"/>
          <w:b w:val="false"/>
          <w:i w:val="false"/>
          <w:caps w:val="false"/>
          <w:smallCaps w:val="false"/>
          <w:color w:val="000000"/>
          <w:spacing w:val="-1"/>
          <w:sz w:val="18"/>
        </w:rPr>
        <w:t xml:space="preserve"> base salary (within five years of election)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06">
                <wp:simplePos x="0" y="0"/>
                <wp:positionH relativeFrom="column">
                  <wp:align>left</wp:align>
                </wp:positionH>
                <wp:positionV relativeFrom="line">
                  <wp:align>top</wp:align>
                </wp:positionV>
                <wp:extent cx="127000" cy="350520"/>
                <wp:effectExtent l="0" t="0" r="0" b="0"/>
                <wp:wrapSquare wrapText="right"/>
                <wp:docPr id="785"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Other Elected Officers — </w:t>
      </w:r>
      <w:r>
        <w:rPr>
          <w:rFonts w:ascii="Arial;Helvetica;sans-serif" w:hAnsi="Arial;Helvetica;sans-serif"/>
          <w:b/>
          <w:i w:val="false"/>
          <w:caps w:val="false"/>
          <w:smallCaps w:val="false"/>
          <w:color w:val="000000"/>
          <w:spacing w:val="0"/>
          <w:sz w:val="18"/>
        </w:rPr>
        <w:t>three times</w:t>
      </w:r>
      <w:r>
        <w:rPr>
          <w:rFonts w:ascii="Arial;Helvetica;sans-serif" w:hAnsi="Arial;Helvetica;sans-serif"/>
          <w:b w:val="false"/>
          <w:i w:val="false"/>
          <w:caps w:val="false"/>
          <w:smallCaps w:val="false"/>
          <w:color w:val="000000"/>
          <w:spacing w:val="-1"/>
          <w:sz w:val="18"/>
        </w:rPr>
        <w:t xml:space="preserve"> base salary (within five years of election)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07">
                <wp:simplePos x="0" y="0"/>
                <wp:positionH relativeFrom="column">
                  <wp:align>left</wp:align>
                </wp:positionH>
                <wp:positionV relativeFrom="line">
                  <wp:align>top</wp:align>
                </wp:positionV>
                <wp:extent cx="127000" cy="350520"/>
                <wp:effectExtent l="0" t="0" r="0" b="0"/>
                <wp:wrapSquare wrapText="right"/>
                <wp:docPr id="786"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Unexercised options and unearned performance equity do not count towards the achievement of ownership guidelines. As of March 24, 2026, all named executive officers were in compliance with the officer stock ownership guidelines.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80" w:before="160" w:after="283"/>
        <w:jc w:val="left"/>
        <w:rPr>
          <w:rFonts w:ascii="Arial;Helvetica;sans-serif" w:hAnsi="Arial;Helvetica;sans-serif"/>
          <w:b/>
          <w:i w:val="false"/>
          <w:caps w:val="false"/>
          <w:smallCaps w:val="false"/>
          <w:color w:val="DF0000"/>
          <w:sz w:val="24"/>
        </w:rPr>
      </w:pPr>
      <w:r>
        <w:rPr>
          <w:rFonts w:ascii="Arial;Helvetica;sans-serif" w:hAnsi="Arial;Helvetica;sans-serif"/>
          <w:b/>
          <w:i w:val="false"/>
          <w:caps/>
          <w:color w:val="DF0000"/>
          <w:spacing w:val="-8"/>
          <w:sz w:val="24"/>
        </w:rPr>
        <w:t>TRADING CONTROLS AND HEDGING TRANSACTIONS</w:t>
      </w:r>
      <w:r>
        <w:rPr>
          <w:rFonts w:ascii="Arial;Helvetica;sans-serif" w:hAnsi="Arial;Helvetica;sans-serif"/>
          <w:b/>
          <w:i w:val="false"/>
          <w:caps w:val="false"/>
          <w:smallCaps w:val="false"/>
          <w:color w:val="DF0000"/>
          <w:spacing w:val="5"/>
          <w:sz w:val="24"/>
        </w:rPr>
        <w:t xml:space="preserve"> </w:t>
      </w:r>
    </w:p>
    <w:p>
      <w:pPr>
        <w:pStyle w:val="TextBody"/>
        <w:bidi w:val="0"/>
        <w:spacing w:lineRule="atLeast" w:line="210" w:before="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securities trading policy governs the purchase, sale and other dispositions of our common stock and other securities by our directors, executive officers, employees and any member of his or her immediate family living in his or her household. The policy prohibits employees from trading in Company securities when they have material, non-public information about the Company. Additionally, the policy prohibits employees from trading in the securities of other public companies about which the employee learns material, non-public information through his or her employment with the Company. Executive officers, including the named executive officers, directors and other Company insiders are required to receive the permission of the Company’s General Counsel prior to entering into any transactions in Company securities, including exercises of stock options. Generally, trading is permitted only during announced trading periods. The named executive officer bears full responsibility if he or she violates Company policy by permitting shares to be bought or sold without pre-approval or when trading is restricted.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consider it inappropriate for executives, directors and other Company insiders to engage in short-term or speculative transactions in our securities, as such transactions could result in their interests no longer being aligned with the interests of other stockholders of the Company. Therefore, under our securities trading policy, such persons may not engage in any of the following with respect to our securities: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Short-term trading;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9050" distB="0" distL="0" distR="0" simplePos="0" locked="0" layoutInCell="1" allowOverlap="1" relativeHeight="808">
                <wp:simplePos x="0" y="0"/>
                <wp:positionH relativeFrom="column">
                  <wp:align>left</wp:align>
                </wp:positionH>
                <wp:positionV relativeFrom="line">
                  <wp:align>top</wp:align>
                </wp:positionV>
                <wp:extent cx="127000" cy="350520"/>
                <wp:effectExtent l="0" t="0" r="0" b="0"/>
                <wp:wrapSquare wrapText="right"/>
                <wp:docPr id="787"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Transactions in puts, calls or other derivative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09">
                <wp:simplePos x="0" y="0"/>
                <wp:positionH relativeFrom="column">
                  <wp:align>left</wp:align>
                </wp:positionH>
                <wp:positionV relativeFrom="line">
                  <wp:align>top</wp:align>
                </wp:positionV>
                <wp:extent cx="127000" cy="350520"/>
                <wp:effectExtent l="0" t="0" r="0" b="0"/>
                <wp:wrapSquare wrapText="right"/>
                <wp:docPr id="788"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Hedging or monetization transactions, such as zero-cost collars and forward sale contracts;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10">
                <wp:simplePos x="0" y="0"/>
                <wp:positionH relativeFrom="column">
                  <wp:align>left</wp:align>
                </wp:positionH>
                <wp:positionV relativeFrom="line">
                  <wp:align>top</wp:align>
                </wp:positionV>
                <wp:extent cx="127000" cy="350520"/>
                <wp:effectExtent l="0" t="0" r="0" b="0"/>
                <wp:wrapSquare wrapText="right"/>
                <wp:docPr id="789"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12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Holding our securities in a margin account or pledging (or hypothecating) our securities as collateral for a loan or otherwise. </w:t>
      </w:r>
      <w:r>
        <mc:AlternateContent>
          <mc:Choice Requires="wps">
            <w:drawing>
              <wp:anchor behindDoc="0" distT="25400" distB="0" distL="0" distR="0" simplePos="0" locked="0" layoutInCell="1" allowOverlap="1" relativeHeight="811">
                <wp:simplePos x="0" y="0"/>
                <wp:positionH relativeFrom="column">
                  <wp:align>left</wp:align>
                </wp:positionH>
                <wp:positionV relativeFrom="line">
                  <wp:align>top</wp:align>
                </wp:positionV>
                <wp:extent cx="127000" cy="350520"/>
                <wp:effectExtent l="0" t="0" r="0" b="0"/>
                <wp:wrapSquare wrapText="right"/>
                <wp:docPr id="790"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2026 COMPENSATION PROGRAM FOR NAMED EXECUTIVE OFFICERS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compensation program for senior executives for 2026 will be structured in a manner similar to the 2025 program.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REPORT OF THE COMPENSATION COMMITTEE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Compensation Committee, comprised entirely of independent directors, reviewed and discussed the above Compensation Discussion and Analysis with the Company’s management. Based on the review and discussions, the Compensation Committee recommended to the Company’s Board of Directors that the Compensation Discussion and Analysis be included in this Proxy Statement.</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8907"/>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8907" w:type="dxa"/>
            <w:tcBorders>
              <w:bottom w:val="single" w:sz="6" w:space="0" w:color="002F56"/>
            </w:tcBorders>
            <w:shd w:fill="002F56" w:val="clear"/>
            <w:vAlign w:val="center"/>
          </w:tcPr>
          <w:p>
            <w:pPr>
              <w:pStyle w:val="TableContents"/>
              <w:bidi w:val="0"/>
              <w:spacing w:lineRule="atLeast" w:line="190" w:before="0" w:after="0"/>
              <w:jc w:val="center"/>
              <w:rPr/>
            </w:pPr>
            <w:r>
              <w:rPr>
                <w:spacing w:val="-7"/>
              </w:rPr>
              <w:t>SUBMITTED BY THE COMPENSATION COMMITTEE OF THE BOARD OF DIRECTORS</w:t>
            </w:r>
            <w:r>
              <w:rPr/>
              <w:t xml:space="preserve"> </w:t>
            </w:r>
          </w:p>
        </w:tc>
        <w:tc>
          <w:tcPr>
            <w:tcW w:w="154" w:type="dxa"/>
            <w:tcBorders>
              <w:bottom w:val="single" w:sz="2" w:space="0" w:color="002F56"/>
            </w:tcBorders>
            <w:shd w:fill="002F56" w:val="clear"/>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903"/>
        <w:gridCol w:w="109"/>
        <w:gridCol w:w="109"/>
        <w:gridCol w:w="1548"/>
        <w:gridCol w:w="109"/>
        <w:gridCol w:w="109"/>
        <w:gridCol w:w="1352"/>
        <w:gridCol w:w="109"/>
        <w:gridCol w:w="109"/>
        <w:gridCol w:w="1661"/>
        <w:gridCol w:w="109"/>
        <w:gridCol w:w="109"/>
        <w:gridCol w:w="1568"/>
        <w:gridCol w:w="157"/>
      </w:tblGrid>
      <w:tr>
        <w:trPr/>
        <w:tc>
          <w:tcPr>
            <w:tcW w:w="124" w:type="dxa"/>
            <w:tcBorders/>
            <w:vAlign w:val="center"/>
          </w:tcPr>
          <w:p>
            <w:pPr>
              <w:pStyle w:val="TableContents"/>
              <w:bidi w:val="0"/>
              <w:spacing w:before="0" w:after="283"/>
              <w:jc w:val="left"/>
              <w:rPr/>
            </w:pPr>
            <w:r>
              <w:rPr/>
              <w:t>​</w:t>
            </w:r>
          </w:p>
        </w:tc>
        <w:tc>
          <w:tcPr>
            <w:tcW w:w="1903" w:type="dxa"/>
            <w:tcBorders/>
            <w:vAlign w:val="center"/>
          </w:tcPr>
          <w:p>
            <w:pPr>
              <w:pStyle w:val="TableContents"/>
              <w:bidi w:val="0"/>
              <w:spacing w:lineRule="atLeast" w:line="200" w:before="0" w:after="0"/>
              <w:jc w:val="center"/>
              <w:rPr/>
            </w:pPr>
            <w:r>
              <w:rPr>
                <w:spacing w:val="-6"/>
              </w:rPr>
              <w:t xml:space="preserve">JOHN J. CARMOLA, </w:t>
            </w:r>
            <w:r>
              <w:rPr>
                <w:b w:val="false"/>
                <w:color w:val="000000"/>
                <w:spacing w:val="-1"/>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8" w:type="dxa"/>
            <w:tcBorders/>
            <w:vAlign w:val="center"/>
          </w:tcPr>
          <w:p>
            <w:pPr>
              <w:pStyle w:val="TableContents"/>
              <w:bidi w:val="0"/>
              <w:spacing w:before="0" w:after="0"/>
              <w:jc w:val="center"/>
              <w:rPr>
                <w:spacing w:val="-6"/>
              </w:rPr>
            </w:pPr>
            <w:r>
              <w:rPr>
                <w:spacing w:val="-6"/>
              </w:rPr>
              <w:t xml:space="preserve">JOSPEH C. BREUNIG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52" w:type="dxa"/>
            <w:tcBorders/>
            <w:vAlign w:val="center"/>
          </w:tcPr>
          <w:p>
            <w:pPr>
              <w:pStyle w:val="TableContents"/>
              <w:bidi w:val="0"/>
              <w:spacing w:before="0" w:after="0"/>
              <w:jc w:val="center"/>
              <w:rPr>
                <w:spacing w:val="-6"/>
              </w:rPr>
            </w:pPr>
            <w:r>
              <w:rPr>
                <w:spacing w:val="-6"/>
              </w:rPr>
              <w:t xml:space="preserve">ALISON A. DEANS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1" w:type="dxa"/>
            <w:tcBorders/>
            <w:vAlign w:val="center"/>
          </w:tcPr>
          <w:p>
            <w:pPr>
              <w:pStyle w:val="TableContents"/>
              <w:bidi w:val="0"/>
              <w:spacing w:before="0" w:after="0"/>
              <w:jc w:val="center"/>
              <w:rPr>
                <w:spacing w:val="-6"/>
              </w:rPr>
            </w:pPr>
            <w:r>
              <w:rPr>
                <w:spacing w:val="-6"/>
              </w:rPr>
              <w:t xml:space="preserve">FRANKLIN L. FEDER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8" w:type="dxa"/>
            <w:tcBorders/>
            <w:vAlign w:val="center"/>
          </w:tcPr>
          <w:p>
            <w:pPr>
              <w:pStyle w:val="TableContents"/>
              <w:bidi w:val="0"/>
              <w:spacing w:before="0" w:after="0"/>
              <w:jc w:val="center"/>
              <w:rPr/>
            </w:pPr>
            <w:r>
              <w:rPr>
                <w:spacing w:val="-6"/>
              </w:rPr>
              <w:t>ROCKY MOTWANI</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58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CTAN"/>
      <w:bookmarkEnd w:id="83"/>
      <w:r>
        <w:rPr>
          <w:rFonts w:ascii="calibri;arial;sans-serif" w:hAnsi="calibri;arial;sans-serif"/>
          <w:b w:val="false"/>
          <w:i w:val="false"/>
          <w:caps w:val="false"/>
          <w:smallCaps w:val="false"/>
          <w:color w:val="000000"/>
          <w:sz w:val="16"/>
        </w:rPr>
        <w:t>​</w:t>
      </w:r>
      <w:bookmarkStart w:id="84" w:name="tSCT2"/>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COMPENSATION TABLES AND NARRATIVE</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SUMMARY COMPENSATION TABLE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summarizes the compensation of the named executive officers for the fiscal year ended December 31, 2025. The named executive officers include: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3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Chief Executive Officer, Douglas T. Dietrich.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1590" distB="0" distL="0" distR="0" simplePos="0" locked="0" layoutInCell="1" allowOverlap="1" relativeHeight="812">
                <wp:simplePos x="0" y="0"/>
                <wp:positionH relativeFrom="column">
                  <wp:align>left</wp:align>
                </wp:positionH>
                <wp:positionV relativeFrom="line">
                  <wp:align>top</wp:align>
                </wp:positionV>
                <wp:extent cx="127000" cy="350520"/>
                <wp:effectExtent l="0" t="0" r="0" b="0"/>
                <wp:wrapSquare wrapText="right"/>
                <wp:docPr id="791"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Chief Financial Officer, Erik C. Aldag.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7940" distB="0" distL="0" distR="0" simplePos="0" locked="0" layoutInCell="1" allowOverlap="1" relativeHeight="813">
                <wp:simplePos x="0" y="0"/>
                <wp:positionH relativeFrom="column">
                  <wp:align>left</wp:align>
                </wp:positionH>
                <wp:positionV relativeFrom="line">
                  <wp:align>top</wp:align>
                </wp:positionV>
                <wp:extent cx="127000" cy="350520"/>
                <wp:effectExtent l="0" t="0" r="0" b="0"/>
                <wp:wrapSquare wrapText="right"/>
                <wp:docPr id="792"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2pt;mso-wrap-distance-bottom:0pt;margin-top:2.2pt;mso-position-vertical:top;mso-position-vertical-relative:text;margin-left:1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20" w:before="44" w:after="0"/>
        <w:ind w:left="1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three other most highly compensated executive officers who were serving as executive officers on December 31, 2025, D.J. Monagle, III, Brett Argirakis, and Jonathan J. Hastings.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7940" distB="0" distL="0" distR="0" simplePos="0" locked="0" layoutInCell="1" allowOverlap="1" relativeHeight="814">
                <wp:simplePos x="0" y="0"/>
                <wp:positionH relativeFrom="column">
                  <wp:align>left</wp:align>
                </wp:positionH>
                <wp:positionV relativeFrom="line">
                  <wp:align>top</wp:align>
                </wp:positionV>
                <wp:extent cx="127000" cy="350520"/>
                <wp:effectExtent l="0" t="0" r="0" b="0"/>
                <wp:wrapSquare wrapText="right"/>
                <wp:docPr id="793"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color w:val="002F56"/>
                                <w:spacing w:val="5"/>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2F56"/>
                          <w:spacing w:val="5"/>
                        </w:rPr>
                        <w:t>•</w:t>
                      </w:r>
                      <w:r>
                        <w:rPr/>
                        <w:t xml:space="preserve"> </w:t>
                      </w:r>
                      <w:r>
                        <w:rPr>
                          <w:sz w:val="18"/>
                        </w:rPr>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purposes of determining the most highly compensated officers, the amounts shown in column (g) were excluded.</w:t>
      </w:r>
      <w:r>
        <w:rPr>
          <w:rFonts w:ascii="Arial;Helvetica;sans-serif" w:hAnsi="Arial;Helvetica;sans-serif"/>
          <w:b w:val="false"/>
          <w:i w:val="false"/>
          <w:caps w:val="false"/>
          <w:smallCaps w:val="false"/>
          <w:color w:val="000000"/>
          <w:spacing w:val="4"/>
          <w:sz w:val="18"/>
        </w:rPr>
        <w:t xml:space="preserve"> </w:t>
      </w:r>
    </w:p>
    <w:tbl>
      <w:tblPr>
        <w:tblW w:w="14424" w:type="dxa"/>
        <w:jc w:val="left"/>
        <w:tblInd w:w="1020" w:type="dxa"/>
        <w:tblLayout w:type="fixed"/>
        <w:tblCellMar>
          <w:top w:w="0" w:type="dxa"/>
          <w:left w:w="0" w:type="dxa"/>
          <w:bottom w:w="28" w:type="dxa"/>
          <w:right w:w="0" w:type="dxa"/>
        </w:tblCellMar>
      </w:tblPr>
      <w:tblGrid>
        <w:gridCol w:w="124"/>
        <w:gridCol w:w="1339"/>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24"/>
        <w:gridCol w:w="124"/>
        <w:gridCol w:w="1217"/>
        <w:gridCol w:w="126"/>
        <w:gridCol w:w="109"/>
        <w:gridCol w:w="109"/>
        <w:gridCol w:w="125"/>
        <w:gridCol w:w="125"/>
        <w:gridCol w:w="1108"/>
        <w:gridCol w:w="128"/>
        <w:gridCol w:w="109"/>
        <w:gridCol w:w="109"/>
        <w:gridCol w:w="149"/>
        <w:gridCol w:w="149"/>
        <w:gridCol w:w="1051"/>
        <w:gridCol w:w="152"/>
        <w:gridCol w:w="109"/>
        <w:gridCol w:w="109"/>
        <w:gridCol w:w="109"/>
        <w:gridCol w:w="109"/>
        <w:gridCol w:w="1066"/>
        <w:gridCol w:w="109"/>
        <w:gridCol w:w="154"/>
      </w:tblGrid>
      <w:tr>
        <w:trPr/>
        <w:tc>
          <w:tcPr>
            <w:tcW w:w="124" w:type="dxa"/>
            <w:tcBorders>
              <w:bottom w:val="single" w:sz="6" w:space="0" w:color="71B1C8"/>
            </w:tcBorders>
            <w:shd w:fill="002F56" w:val="clear"/>
            <w:vAlign w:val="center"/>
          </w:tcPr>
          <w:p>
            <w:pPr>
              <w:pStyle w:val="TableContents"/>
              <w:bidi w:val="0"/>
              <w:spacing w:before="0" w:after="283"/>
              <w:jc w:val="left"/>
              <w:rPr/>
            </w:pPr>
            <w:r>
              <w:rPr/>
              <w:t>​</w:t>
            </w:r>
          </w:p>
        </w:tc>
        <w:tc>
          <w:tcPr>
            <w:tcW w:w="1339" w:type="dxa"/>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(a)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913"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(b)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(c)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(d)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(e)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591"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(f)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486"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(g)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501"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(h)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(i)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1339" w:type="dxa"/>
            <w:tcBorders>
              <w:bottom w:val="single" w:sz="6" w:space="0" w:color="002F56"/>
            </w:tcBorders>
            <w:shd w:fill="002F56" w:val="clear"/>
            <w:vAlign w:val="center"/>
          </w:tcPr>
          <w:p>
            <w:pPr>
              <w:pStyle w:val="TableContents"/>
              <w:bidi w:val="0"/>
              <w:spacing w:before="0" w:after="283"/>
              <w:jc w:val="left"/>
              <w:rPr>
                <w:spacing w:val="0"/>
              </w:rPr>
            </w:pPr>
            <w:r>
              <w:rPr>
                <w:spacing w:val="0"/>
              </w:rPr>
              <w:t xml:space="preserve">Name and </w:t>
              <w:br/>
              <w:t xml:space="preserve">Principal Position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913" w:type="dxa"/>
            <w:gridSpan w:val="4"/>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Year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before="0" w:after="0"/>
              <w:jc w:val="center"/>
              <w:rPr/>
            </w:pPr>
            <w:r>
              <w:rPr>
                <w:spacing w:val="0"/>
              </w:rPr>
              <w:t>Salary</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Stock </w:t>
              <w:br/>
              <w:t>Awards</w:t>
            </w:r>
            <w:r>
              <w:rPr>
                <w:spacing w:val="-2"/>
                <w:sz w:val="10"/>
              </w:rPr>
              <w:t>(1)</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Option </w:t>
              <w:br/>
              <w:t>Awards</w:t>
            </w:r>
            <w:r>
              <w:rPr>
                <w:spacing w:val="-2"/>
                <w:sz w:val="10"/>
              </w:rPr>
              <w:t>(2)</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591"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Non-Equity </w:t>
              <w:br/>
              <w:t xml:space="preserve">Incentive Plan </w:t>
              <w:br/>
              <w:t>Compensation*</w:t>
            </w:r>
            <w:r>
              <w:rPr>
                <w:spacing w:val="-2"/>
                <w:sz w:val="10"/>
              </w:rPr>
              <w:t>(3)</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86"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Change in Pension </w:t>
              <w:br/>
              <w:t xml:space="preserve">Value and </w:t>
              <w:br/>
              <w:t xml:space="preserve">Non-Qualified </w:t>
              <w:br/>
              <w:t xml:space="preserve">Deferred </w:t>
              <w:br/>
              <w:t xml:space="preserve">Compensation </w:t>
              <w:br/>
              <w:t>Earnings</w:t>
            </w:r>
            <w:r>
              <w:rPr>
                <w:spacing w:val="-2"/>
                <w:sz w:val="10"/>
              </w:rPr>
              <w:t>(4)</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501"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All Other </w:t>
              <w:br/>
              <w:t>Compensation</w:t>
            </w:r>
            <w:r>
              <w:rPr>
                <w:spacing w:val="-2"/>
                <w:sz w:val="10"/>
              </w:rPr>
              <w:t>(5)</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39" w:type="dxa"/>
            <w:vMerge w:val="restart"/>
            <w:tcBorders>
              <w:bottom w:val="single" w:sz="2" w:space="0" w:color="002F56"/>
            </w:tcBorders>
            <w:tcMar>
              <w:bottom w:w="56" w:type="dxa"/>
            </w:tcMar>
            <w:vAlign w:val="center"/>
          </w:tcPr>
          <w:p>
            <w:pPr>
              <w:pStyle w:val="TableContents"/>
              <w:bidi w:val="0"/>
              <w:spacing w:lineRule="atLeast" w:line="188" w:before="0" w:after="0"/>
              <w:jc w:val="left"/>
              <w:rPr/>
            </w:pPr>
            <w:r>
              <w:rPr>
                <w:b/>
                <w:spacing w:val="0"/>
              </w:rPr>
              <w:t>Douglas T. Dietrich</w:t>
            </w:r>
            <w:r>
              <w:rPr/>
              <w:t xml:space="preserve"> </w:t>
              <w:br/>
            </w:r>
            <w:r>
              <w:rPr>
                <w:spacing w:val="-1"/>
              </w:rPr>
              <w:t xml:space="preserve">Chairman of the Board and Chief Executive Officer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1,050,000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2,310,022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768,803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lineRule="atLeast" w:line="188" w:before="0" w:after="283"/>
              <w:jc w:val="right"/>
              <w:rPr/>
            </w:pPr>
            <w:r>
              <w:rPr/>
              <w:t>2,891,160</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lineRule="atLeast" w:line="188" w:before="0" w:after="283"/>
              <w:jc w:val="right"/>
              <w:rPr/>
            </w:pPr>
            <w:r>
              <w:rPr/>
              <w:t>319,549</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lineRule="atLeast" w:line="188" w:before="0" w:after="283"/>
              <w:jc w:val="right"/>
              <w:rPr/>
            </w:pPr>
            <w:r>
              <w:rPr/>
              <w:t>66,159</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7,405,693</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1,050,000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2,205,029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718,839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before="0" w:after="283"/>
              <w:jc w:val="right"/>
              <w:rPr/>
            </w:pPr>
            <w:r>
              <w:rPr/>
              <w:t>4,056,408</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before="0" w:after="283"/>
              <w:jc w:val="right"/>
              <w:rPr/>
            </w:pPr>
            <w:r>
              <w:rPr/>
              <w:t>(180,815)</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before="0" w:after="283"/>
              <w:jc w:val="right"/>
              <w:rPr/>
            </w:pPr>
            <w:r>
              <w:rPr/>
              <w:t>57,569</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7,907,030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1,046,154</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2,204,989</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1,439,445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tcMar>
              <w:bottom w:w="49" w:type="dxa"/>
            </w:tcMar>
            <w:vAlign w:val="center"/>
          </w:tcPr>
          <w:p>
            <w:pPr>
              <w:pStyle w:val="TableContents"/>
              <w:bidi w:val="0"/>
              <w:spacing w:before="0" w:after="283"/>
              <w:jc w:val="right"/>
              <w:rPr/>
            </w:pPr>
            <w:r>
              <w:rPr/>
              <w:t>​</w:t>
            </w:r>
          </w:p>
        </w:tc>
        <w:tc>
          <w:tcPr>
            <w:tcW w:w="1217" w:type="dxa"/>
            <w:tcBorders>
              <w:bottom w:val="single" w:sz="6" w:space="0" w:color="002F56"/>
            </w:tcBorders>
            <w:tcMar>
              <w:bottom w:w="49" w:type="dxa"/>
            </w:tcMar>
            <w:vAlign w:val="center"/>
          </w:tcPr>
          <w:p>
            <w:pPr>
              <w:pStyle w:val="TableContents"/>
              <w:bidi w:val="0"/>
              <w:spacing w:before="0" w:after="283"/>
              <w:jc w:val="right"/>
              <w:rPr/>
            </w:pPr>
            <w:r>
              <w:rPr/>
              <w:t>3,195,682</w:t>
            </w:r>
          </w:p>
        </w:tc>
        <w:tc>
          <w:tcPr>
            <w:tcW w:w="12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tcMar>
              <w:bottom w:w="49" w:type="dxa"/>
            </w:tcMar>
            <w:vAlign w:val="center"/>
          </w:tcPr>
          <w:p>
            <w:pPr>
              <w:pStyle w:val="TableContents"/>
              <w:bidi w:val="0"/>
              <w:spacing w:before="0" w:after="283"/>
              <w:jc w:val="right"/>
              <w:rPr/>
            </w:pPr>
            <w:r>
              <w:rPr/>
              <w:t>​</w:t>
            </w:r>
          </w:p>
        </w:tc>
        <w:tc>
          <w:tcPr>
            <w:tcW w:w="1108" w:type="dxa"/>
            <w:tcBorders>
              <w:bottom w:val="single" w:sz="6" w:space="0" w:color="002F56"/>
            </w:tcBorders>
            <w:tcMar>
              <w:bottom w:w="49" w:type="dxa"/>
            </w:tcMar>
            <w:vAlign w:val="center"/>
          </w:tcPr>
          <w:p>
            <w:pPr>
              <w:pStyle w:val="TableContents"/>
              <w:bidi w:val="0"/>
              <w:spacing w:before="0" w:after="283"/>
              <w:jc w:val="right"/>
              <w:rPr/>
            </w:pPr>
            <w:r>
              <w:rPr/>
              <w:t>413,206</w:t>
            </w:r>
          </w:p>
        </w:tc>
        <w:tc>
          <w:tcPr>
            <w:tcW w:w="128"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tcMar>
              <w:bottom w:w="49" w:type="dxa"/>
            </w:tcMar>
            <w:vAlign w:val="center"/>
          </w:tcPr>
          <w:p>
            <w:pPr>
              <w:pStyle w:val="TableContents"/>
              <w:bidi w:val="0"/>
              <w:spacing w:before="0" w:after="283"/>
              <w:jc w:val="right"/>
              <w:rPr/>
            </w:pPr>
            <w:r>
              <w:rPr/>
              <w:t>​</w:t>
            </w:r>
          </w:p>
        </w:tc>
        <w:tc>
          <w:tcPr>
            <w:tcW w:w="1051" w:type="dxa"/>
            <w:tcBorders>
              <w:bottom w:val="single" w:sz="6" w:space="0" w:color="002F56"/>
            </w:tcBorders>
            <w:tcMar>
              <w:bottom w:w="49" w:type="dxa"/>
            </w:tcMar>
            <w:vAlign w:val="center"/>
          </w:tcPr>
          <w:p>
            <w:pPr>
              <w:pStyle w:val="TableContents"/>
              <w:bidi w:val="0"/>
              <w:spacing w:before="0" w:after="283"/>
              <w:jc w:val="right"/>
              <w:rPr/>
            </w:pPr>
            <w:r>
              <w:rPr/>
              <w:t>55,776</w:t>
            </w:r>
          </w:p>
        </w:tc>
        <w:tc>
          <w:tcPr>
            <w:tcW w:w="15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8,355,252</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39" w:type="dxa"/>
            <w:vMerge w:val="restart"/>
            <w:tcBorders>
              <w:bottom w:val="single" w:sz="2" w:space="0" w:color="002F56"/>
            </w:tcBorders>
            <w:tcMar>
              <w:bottom w:w="56" w:type="dxa"/>
            </w:tcMar>
            <w:vAlign w:val="center"/>
          </w:tcPr>
          <w:p>
            <w:pPr>
              <w:pStyle w:val="TableContents"/>
              <w:bidi w:val="0"/>
              <w:spacing w:lineRule="atLeast" w:line="188" w:before="0" w:after="0"/>
              <w:jc w:val="left"/>
              <w:rPr/>
            </w:pPr>
            <w:r>
              <w:rPr>
                <w:b/>
                <w:spacing w:val="0"/>
              </w:rPr>
              <w:t>Erik C. Aldag</w:t>
            </w:r>
            <w:r>
              <w:rPr/>
              <w:t xml:space="preserve"> </w:t>
              <w:br/>
            </w:r>
            <w:r>
              <w:rPr>
                <w:spacing w:val="-1"/>
              </w:rPr>
              <w:t xml:space="preserve">Senior Vice President, Finance and Treasury, Chief Financial Officer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567,173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516,758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172,005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lineRule="atLeast" w:line="188" w:before="0" w:after="283"/>
              <w:jc w:val="right"/>
              <w:rPr/>
            </w:pPr>
            <w:r>
              <w:rPr/>
              <w:t>661,286</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lineRule="atLeast" w:line="188" w:before="0" w:after="283"/>
              <w:jc w:val="right"/>
              <w:rPr/>
            </w:pPr>
            <w:r>
              <w:rPr/>
              <w:t>42,626</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 xml:space="preserve">1,959,848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512,862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448,892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146,341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before="0" w:after="283"/>
              <w:jc w:val="right"/>
              <w:rPr/>
            </w:pPr>
            <w:r>
              <w:rPr/>
              <w:t>635,251</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before="0" w:after="283"/>
              <w:jc w:val="righ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before="0" w:after="283"/>
              <w:jc w:val="right"/>
              <w:rPr/>
            </w:pPr>
            <w:r>
              <w:rPr/>
              <w:t>33,527</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1,776,873</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450,000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364,998</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238,271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tcMar>
              <w:bottom w:w="49" w:type="dxa"/>
            </w:tcMar>
            <w:vAlign w:val="center"/>
          </w:tcPr>
          <w:p>
            <w:pPr>
              <w:pStyle w:val="TableContents"/>
              <w:bidi w:val="0"/>
              <w:spacing w:before="0" w:after="283"/>
              <w:jc w:val="right"/>
              <w:rPr/>
            </w:pPr>
            <w:r>
              <w:rPr/>
              <w:t>​</w:t>
            </w:r>
          </w:p>
        </w:tc>
        <w:tc>
          <w:tcPr>
            <w:tcW w:w="1217" w:type="dxa"/>
            <w:tcBorders>
              <w:bottom w:val="single" w:sz="6" w:space="0" w:color="002F56"/>
            </w:tcBorders>
            <w:tcMar>
              <w:bottom w:w="49" w:type="dxa"/>
            </w:tcMar>
            <w:vAlign w:val="center"/>
          </w:tcPr>
          <w:p>
            <w:pPr>
              <w:pStyle w:val="TableContents"/>
              <w:bidi w:val="0"/>
              <w:spacing w:before="0" w:after="283"/>
              <w:jc w:val="right"/>
              <w:rPr/>
            </w:pPr>
            <w:r>
              <w:rPr/>
              <w:t>448,088</w:t>
            </w:r>
          </w:p>
        </w:tc>
        <w:tc>
          <w:tcPr>
            <w:tcW w:w="12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tcMar>
              <w:bottom w:w="49" w:type="dxa"/>
            </w:tcMar>
            <w:vAlign w:val="center"/>
          </w:tcPr>
          <w:p>
            <w:pPr>
              <w:pStyle w:val="TableContents"/>
              <w:bidi w:val="0"/>
              <w:spacing w:before="0" w:after="283"/>
              <w:jc w:val="right"/>
              <w:rPr/>
            </w:pPr>
            <w:r>
              <w:rPr/>
              <w:t>​</w:t>
            </w:r>
          </w:p>
        </w:tc>
        <w:tc>
          <w:tcPr>
            <w:tcW w:w="1108" w:type="dxa"/>
            <w:tcBorders>
              <w:bottom w:val="single" w:sz="6" w:space="0" w:color="002F56"/>
            </w:tcBorders>
            <w:tcMar>
              <w:bottom w:w="49" w:type="dxa"/>
            </w:tcMar>
            <w:vAlign w:val="center"/>
          </w:tcPr>
          <w:p>
            <w:pPr>
              <w:pStyle w:val="TableContents"/>
              <w:bidi w:val="0"/>
              <w:spacing w:before="0" w:after="283"/>
              <w:jc w:val="right"/>
              <w:rPr/>
            </w:pPr>
            <w:r>
              <w:rPr/>
              <w:t>—</w:t>
            </w:r>
          </w:p>
        </w:tc>
        <w:tc>
          <w:tcPr>
            <w:tcW w:w="128"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tcMar>
              <w:bottom w:w="49" w:type="dxa"/>
            </w:tcMar>
            <w:vAlign w:val="center"/>
          </w:tcPr>
          <w:p>
            <w:pPr>
              <w:pStyle w:val="TableContents"/>
              <w:bidi w:val="0"/>
              <w:spacing w:before="0" w:after="283"/>
              <w:jc w:val="right"/>
              <w:rPr/>
            </w:pPr>
            <w:r>
              <w:rPr/>
              <w:t>​</w:t>
            </w:r>
          </w:p>
        </w:tc>
        <w:tc>
          <w:tcPr>
            <w:tcW w:w="1051" w:type="dxa"/>
            <w:tcBorders>
              <w:bottom w:val="single" w:sz="6" w:space="0" w:color="002F56"/>
            </w:tcBorders>
            <w:tcMar>
              <w:bottom w:w="49" w:type="dxa"/>
            </w:tcMar>
            <w:vAlign w:val="center"/>
          </w:tcPr>
          <w:p>
            <w:pPr>
              <w:pStyle w:val="TableContents"/>
              <w:bidi w:val="0"/>
              <w:spacing w:before="0" w:after="283"/>
              <w:jc w:val="right"/>
              <w:rPr/>
            </w:pPr>
            <w:r>
              <w:rPr/>
              <w:t>24,157</w:t>
            </w:r>
          </w:p>
        </w:tc>
        <w:tc>
          <w:tcPr>
            <w:tcW w:w="15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1,525,514</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39" w:type="dxa"/>
            <w:vMerge w:val="restart"/>
            <w:tcBorders>
              <w:bottom w:val="single" w:sz="2" w:space="0" w:color="002F56"/>
            </w:tcBorders>
            <w:tcMar>
              <w:bottom w:w="56" w:type="dxa"/>
            </w:tcMar>
            <w:vAlign w:val="center"/>
          </w:tcPr>
          <w:p>
            <w:pPr>
              <w:pStyle w:val="TableContents"/>
              <w:bidi w:val="0"/>
              <w:spacing w:lineRule="atLeast" w:line="188" w:before="0" w:after="0"/>
              <w:jc w:val="left"/>
              <w:rPr/>
            </w:pPr>
            <w:r>
              <w:rPr>
                <w:b/>
                <w:spacing w:val="0"/>
              </w:rPr>
              <w:t>D.J. Monagle, III</w:t>
            </w:r>
            <w:r>
              <w:rPr/>
              <w:t xml:space="preserve"> </w:t>
              <w:br/>
            </w:r>
            <w:r>
              <w:rPr>
                <w:spacing w:val="-1"/>
              </w:rPr>
              <w:t xml:space="preserve">Group President, </w:t>
              <w:br/>
              <w:t xml:space="preserve">Consumer &amp; Specialties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701,634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804,033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267,600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lineRule="atLeast" w:line="188" w:before="0" w:after="283"/>
              <w:jc w:val="right"/>
              <w:rPr/>
            </w:pPr>
            <w:r>
              <w:rPr/>
              <w:t>903,685</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lineRule="atLeast" w:line="188" w:before="0" w:after="283"/>
              <w:jc w:val="right"/>
              <w:rPr/>
            </w:pPr>
            <w:r>
              <w:rPr/>
              <w:t>191,024</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lineRule="atLeast" w:line="188" w:before="0" w:after="283"/>
              <w:jc w:val="right"/>
              <w:rPr/>
            </w:pPr>
            <w:r>
              <w:rPr/>
              <w:t>53,941</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 xml:space="preserve">2,921,917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674,060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759,540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247,625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before="0" w:after="283"/>
              <w:jc w:val="right"/>
              <w:rPr/>
            </w:pPr>
            <w:r>
              <w:rPr/>
              <w:t>1,474,064</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before="0" w:after="283"/>
              <w:jc w:val="right"/>
              <w:rPr/>
            </w:pPr>
            <w:r>
              <w:rPr/>
              <w:t>(56,235)</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before="0" w:after="283"/>
              <w:jc w:val="right"/>
              <w:rPr/>
            </w:pPr>
            <w:r>
              <w:rPr/>
              <w:t>18,800</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3,117,854</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642,081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697,554</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455,347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tcMar>
              <w:bottom w:w="49" w:type="dxa"/>
            </w:tcMar>
            <w:vAlign w:val="center"/>
          </w:tcPr>
          <w:p>
            <w:pPr>
              <w:pStyle w:val="TableContents"/>
              <w:bidi w:val="0"/>
              <w:spacing w:before="0" w:after="283"/>
              <w:jc w:val="right"/>
              <w:rPr/>
            </w:pPr>
            <w:r>
              <w:rPr/>
              <w:t>​</w:t>
            </w:r>
          </w:p>
        </w:tc>
        <w:tc>
          <w:tcPr>
            <w:tcW w:w="1217" w:type="dxa"/>
            <w:tcBorders>
              <w:bottom w:val="single" w:sz="6" w:space="0" w:color="002F56"/>
            </w:tcBorders>
            <w:tcMar>
              <w:bottom w:w="49" w:type="dxa"/>
            </w:tcMar>
            <w:vAlign w:val="center"/>
          </w:tcPr>
          <w:p>
            <w:pPr>
              <w:pStyle w:val="TableContents"/>
              <w:bidi w:val="0"/>
              <w:spacing w:before="0" w:after="283"/>
              <w:jc w:val="right"/>
              <w:rPr/>
            </w:pPr>
            <w:r>
              <w:rPr/>
              <w:t>1,107,921</w:t>
            </w:r>
          </w:p>
        </w:tc>
        <w:tc>
          <w:tcPr>
            <w:tcW w:w="12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tcMar>
              <w:bottom w:w="49" w:type="dxa"/>
            </w:tcMar>
            <w:vAlign w:val="center"/>
          </w:tcPr>
          <w:p>
            <w:pPr>
              <w:pStyle w:val="TableContents"/>
              <w:bidi w:val="0"/>
              <w:spacing w:before="0" w:after="283"/>
              <w:jc w:val="right"/>
              <w:rPr/>
            </w:pPr>
            <w:r>
              <w:rPr/>
              <w:t>​</w:t>
            </w:r>
          </w:p>
        </w:tc>
        <w:tc>
          <w:tcPr>
            <w:tcW w:w="1108" w:type="dxa"/>
            <w:tcBorders>
              <w:bottom w:val="single" w:sz="6" w:space="0" w:color="002F56"/>
            </w:tcBorders>
            <w:tcMar>
              <w:bottom w:w="49" w:type="dxa"/>
            </w:tcMar>
            <w:vAlign w:val="center"/>
          </w:tcPr>
          <w:p>
            <w:pPr>
              <w:pStyle w:val="TableContents"/>
              <w:bidi w:val="0"/>
              <w:spacing w:before="0" w:after="283"/>
              <w:jc w:val="right"/>
              <w:rPr/>
            </w:pPr>
            <w:r>
              <w:rPr/>
              <w:t>189,696</w:t>
            </w:r>
          </w:p>
        </w:tc>
        <w:tc>
          <w:tcPr>
            <w:tcW w:w="128"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tcMar>
              <w:bottom w:w="49" w:type="dxa"/>
            </w:tcMar>
            <w:vAlign w:val="center"/>
          </w:tcPr>
          <w:p>
            <w:pPr>
              <w:pStyle w:val="TableContents"/>
              <w:bidi w:val="0"/>
              <w:spacing w:before="0" w:after="283"/>
              <w:jc w:val="right"/>
              <w:rPr/>
            </w:pPr>
            <w:r>
              <w:rPr/>
              <w:t>​</w:t>
            </w:r>
          </w:p>
        </w:tc>
        <w:tc>
          <w:tcPr>
            <w:tcW w:w="1051" w:type="dxa"/>
            <w:tcBorders>
              <w:bottom w:val="single" w:sz="6" w:space="0" w:color="002F56"/>
            </w:tcBorders>
            <w:tcMar>
              <w:bottom w:w="49" w:type="dxa"/>
            </w:tcMar>
            <w:vAlign w:val="center"/>
          </w:tcPr>
          <w:p>
            <w:pPr>
              <w:pStyle w:val="TableContents"/>
              <w:bidi w:val="0"/>
              <w:spacing w:before="0" w:after="283"/>
              <w:jc w:val="right"/>
              <w:rPr/>
            </w:pPr>
            <w:r>
              <w:rPr/>
              <w:t>18,200</w:t>
            </w:r>
          </w:p>
        </w:tc>
        <w:tc>
          <w:tcPr>
            <w:tcW w:w="15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3,110,799</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39" w:type="dxa"/>
            <w:vMerge w:val="restart"/>
            <w:tcBorders>
              <w:bottom w:val="single" w:sz="2" w:space="0" w:color="002F56"/>
            </w:tcBorders>
            <w:tcMar>
              <w:bottom w:w="56" w:type="dxa"/>
            </w:tcMar>
            <w:vAlign w:val="center"/>
          </w:tcPr>
          <w:p>
            <w:pPr>
              <w:pStyle w:val="TableContents"/>
              <w:bidi w:val="0"/>
              <w:spacing w:lineRule="atLeast" w:line="188" w:before="0" w:after="0"/>
              <w:jc w:val="left"/>
              <w:rPr/>
            </w:pPr>
            <w:r>
              <w:rPr>
                <w:b/>
                <w:spacing w:val="0"/>
              </w:rPr>
              <w:t>Brett Argirakis</w:t>
            </w:r>
            <w:r>
              <w:rPr/>
              <w:t xml:space="preserve"> </w:t>
              <w:br/>
            </w:r>
            <w:r>
              <w:rPr>
                <w:spacing w:val="-1"/>
              </w:rPr>
              <w:t xml:space="preserve">Group President, Engineered Solutions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672,504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716,538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238,481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lineRule="atLeast" w:line="188" w:before="0" w:after="283"/>
              <w:jc w:val="right"/>
              <w:rPr/>
            </w:pPr>
            <w:r>
              <w:rPr/>
              <w:t>910,213</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lineRule="atLeast" w:line="188" w:before="0" w:after="283"/>
              <w:jc w:val="right"/>
              <w:rPr/>
            </w:pPr>
            <w:r>
              <w:rPr/>
              <w:t>408,336</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lineRule="atLeast" w:line="188" w:before="0" w:after="283"/>
              <w:jc w:val="right"/>
              <w:rPr/>
            </w:pPr>
            <w:r>
              <w:rPr/>
              <w:t>52,906</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 xml:space="preserve">2,998,978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643,893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649,986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211,913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before="0" w:after="283"/>
              <w:jc w:val="right"/>
              <w:rPr/>
            </w:pPr>
            <w:r>
              <w:rPr/>
              <w:t>1,176,448</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before="0" w:after="283"/>
              <w:jc w:val="right"/>
              <w:rPr/>
            </w:pPr>
            <w:r>
              <w:rPr/>
              <w:t>202,415</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before="0" w:after="283"/>
              <w:jc w:val="right"/>
              <w:rPr/>
            </w:pPr>
            <w:r>
              <w:rPr/>
              <w:t>42,704</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2,927,359</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39"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597,662</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529,657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345,754</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tcMar>
              <w:bottom w:w="49" w:type="dxa"/>
            </w:tcMar>
            <w:vAlign w:val="center"/>
          </w:tcPr>
          <w:p>
            <w:pPr>
              <w:pStyle w:val="TableContents"/>
              <w:bidi w:val="0"/>
              <w:spacing w:before="0" w:after="283"/>
              <w:jc w:val="right"/>
              <w:rPr/>
            </w:pPr>
            <w:r>
              <w:rPr/>
              <w:t>​</w:t>
            </w:r>
          </w:p>
        </w:tc>
        <w:tc>
          <w:tcPr>
            <w:tcW w:w="1217" w:type="dxa"/>
            <w:tcBorders>
              <w:bottom w:val="single" w:sz="6" w:space="0" w:color="002F56"/>
            </w:tcBorders>
            <w:tcMar>
              <w:bottom w:w="49" w:type="dxa"/>
            </w:tcMar>
            <w:vAlign w:val="center"/>
          </w:tcPr>
          <w:p>
            <w:pPr>
              <w:pStyle w:val="TableContents"/>
              <w:bidi w:val="0"/>
              <w:spacing w:before="0" w:after="283"/>
              <w:jc w:val="right"/>
              <w:rPr/>
            </w:pPr>
            <w:r>
              <w:rPr/>
              <w:t>850,506</w:t>
            </w:r>
          </w:p>
        </w:tc>
        <w:tc>
          <w:tcPr>
            <w:tcW w:w="12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vAlign w:val="center"/>
          </w:tcPr>
          <w:p>
            <w:pPr>
              <w:pStyle w:val="TableContents"/>
              <w:bidi w:val="0"/>
              <w:spacing w:before="0" w:after="283"/>
              <w:jc w:val="left"/>
              <w:rPr/>
            </w:pPr>
            <w:r>
              <w:rPr/>
              <w:t>​</w:t>
            </w:r>
          </w:p>
        </w:tc>
        <w:tc>
          <w:tcPr>
            <w:tcW w:w="125" w:type="dxa"/>
            <w:tcBorders>
              <w:bottom w:val="single" w:sz="6" w:space="0" w:color="002F56"/>
            </w:tcBorders>
            <w:tcMar>
              <w:bottom w:w="49" w:type="dxa"/>
            </w:tcMar>
            <w:vAlign w:val="center"/>
          </w:tcPr>
          <w:p>
            <w:pPr>
              <w:pStyle w:val="TableContents"/>
              <w:bidi w:val="0"/>
              <w:spacing w:before="0" w:after="283"/>
              <w:jc w:val="right"/>
              <w:rPr/>
            </w:pPr>
            <w:r>
              <w:rPr/>
              <w:t>​</w:t>
            </w:r>
          </w:p>
        </w:tc>
        <w:tc>
          <w:tcPr>
            <w:tcW w:w="1108" w:type="dxa"/>
            <w:tcBorders>
              <w:bottom w:val="single" w:sz="6" w:space="0" w:color="002F56"/>
            </w:tcBorders>
            <w:tcMar>
              <w:bottom w:w="49" w:type="dxa"/>
            </w:tcMar>
            <w:vAlign w:val="center"/>
          </w:tcPr>
          <w:p>
            <w:pPr>
              <w:pStyle w:val="TableContents"/>
              <w:bidi w:val="0"/>
              <w:spacing w:before="0" w:after="283"/>
              <w:jc w:val="right"/>
              <w:rPr/>
            </w:pPr>
            <w:r>
              <w:rPr/>
              <w:t>374,086</w:t>
            </w:r>
          </w:p>
        </w:tc>
        <w:tc>
          <w:tcPr>
            <w:tcW w:w="128"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vAlign w:val="center"/>
          </w:tcPr>
          <w:p>
            <w:pPr>
              <w:pStyle w:val="TableContents"/>
              <w:bidi w:val="0"/>
              <w:spacing w:before="0" w:after="283"/>
              <w:jc w:val="left"/>
              <w:rPr/>
            </w:pPr>
            <w:r>
              <w:rPr/>
              <w:t>​</w:t>
            </w:r>
          </w:p>
        </w:tc>
        <w:tc>
          <w:tcPr>
            <w:tcW w:w="149" w:type="dxa"/>
            <w:tcBorders>
              <w:bottom w:val="single" w:sz="6" w:space="0" w:color="002F56"/>
            </w:tcBorders>
            <w:tcMar>
              <w:bottom w:w="49" w:type="dxa"/>
            </w:tcMar>
            <w:vAlign w:val="center"/>
          </w:tcPr>
          <w:p>
            <w:pPr>
              <w:pStyle w:val="TableContents"/>
              <w:bidi w:val="0"/>
              <w:spacing w:before="0" w:after="283"/>
              <w:jc w:val="right"/>
              <w:rPr/>
            </w:pPr>
            <w:r>
              <w:rPr/>
              <w:t>​</w:t>
            </w:r>
          </w:p>
        </w:tc>
        <w:tc>
          <w:tcPr>
            <w:tcW w:w="1051" w:type="dxa"/>
            <w:tcBorders>
              <w:bottom w:val="single" w:sz="6" w:space="0" w:color="002F56"/>
            </w:tcBorders>
            <w:tcMar>
              <w:bottom w:w="49" w:type="dxa"/>
            </w:tcMar>
            <w:vAlign w:val="center"/>
          </w:tcPr>
          <w:p>
            <w:pPr>
              <w:pStyle w:val="TableContents"/>
              <w:bidi w:val="0"/>
              <w:spacing w:before="0" w:after="283"/>
              <w:jc w:val="right"/>
              <w:rPr/>
            </w:pPr>
            <w:r>
              <w:rPr/>
              <w:t>40,359</w:t>
            </w:r>
          </w:p>
        </w:tc>
        <w:tc>
          <w:tcPr>
            <w:tcW w:w="15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2,738,024</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339" w:type="dxa"/>
            <w:vMerge w:val="restart"/>
            <w:tcBorders>
              <w:bottom w:val="single" w:sz="12" w:space="0" w:color="71B1C8"/>
            </w:tcBorders>
            <w:tcMar>
              <w:bottom w:w="49" w:type="dxa"/>
            </w:tcMar>
            <w:vAlign w:val="center"/>
          </w:tcPr>
          <w:p>
            <w:pPr>
              <w:pStyle w:val="TableContents"/>
              <w:bidi w:val="0"/>
              <w:spacing w:lineRule="atLeast" w:line="188" w:before="0" w:after="0"/>
              <w:jc w:val="left"/>
              <w:rPr/>
            </w:pPr>
            <w:r>
              <w:rPr>
                <w:b/>
                <w:spacing w:val="0"/>
              </w:rPr>
              <w:t>Jonathan J. Hastings</w:t>
            </w:r>
            <w:r>
              <w:rPr/>
              <w:t xml:space="preserve"> </w:t>
              <w:br/>
            </w:r>
            <w:r>
              <w:rPr>
                <w:spacing w:val="-1"/>
              </w:rPr>
              <w:t xml:space="preserve">Senior Vice President, Strategy and M&amp;A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652,292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641,784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213,586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lineRule="atLeast" w:line="188" w:before="0" w:after="283"/>
              <w:jc w:val="right"/>
              <w:rPr/>
            </w:pPr>
            <w:r>
              <w:rPr/>
              <w:t>915,927</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lineRule="atLeast" w:line="188" w:before="0" w:after="283"/>
              <w:jc w:val="right"/>
              <w:rPr/>
            </w:pPr>
            <w:r>
              <w:rPr/>
              <w:t>52,163</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 xml:space="preserve">2,475,752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339"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633,436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623,098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203,125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1217" w:type="dxa"/>
            <w:tcBorders>
              <w:bottom w:val="single" w:sz="6" w:space="0" w:color="CCCCCC"/>
            </w:tcBorders>
            <w:tcMar>
              <w:bottom w:w="56" w:type="dxa"/>
            </w:tcMar>
            <w:vAlign w:val="center"/>
          </w:tcPr>
          <w:p>
            <w:pPr>
              <w:pStyle w:val="TableContents"/>
              <w:bidi w:val="0"/>
              <w:spacing w:before="0" w:after="283"/>
              <w:jc w:val="right"/>
              <w:rPr/>
            </w:pPr>
            <w:r>
              <w:rPr/>
              <w:t>1,337,056</w:t>
            </w:r>
          </w:p>
        </w:tc>
        <w:tc>
          <w:tcPr>
            <w:tcW w:w="12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vAlign w:val="center"/>
          </w:tcPr>
          <w:p>
            <w:pPr>
              <w:pStyle w:val="TableContents"/>
              <w:bidi w:val="0"/>
              <w:spacing w:before="0" w:after="283"/>
              <w:jc w:val="left"/>
              <w:rPr/>
            </w:pPr>
            <w:r>
              <w:rPr/>
              <w:t>​</w:t>
            </w:r>
          </w:p>
        </w:tc>
        <w:tc>
          <w:tcPr>
            <w:tcW w:w="125" w:type="dxa"/>
            <w:tcBorders>
              <w:bottom w:val="single" w:sz="6" w:space="0" w:color="CCCCCC"/>
            </w:tcBorders>
            <w:tcMar>
              <w:bottom w:w="56" w:type="dxa"/>
            </w:tcMar>
            <w:vAlign w:val="center"/>
          </w:tcPr>
          <w:p>
            <w:pPr>
              <w:pStyle w:val="TableContents"/>
              <w:bidi w:val="0"/>
              <w:spacing w:before="0" w:after="283"/>
              <w:jc w:val="right"/>
              <w:rPr/>
            </w:pPr>
            <w:r>
              <w:rPr/>
              <w:t>​</w:t>
            </w:r>
          </w:p>
        </w:tc>
        <w:tc>
          <w:tcPr>
            <w:tcW w:w="1108" w:type="dxa"/>
            <w:tcBorders>
              <w:bottom w:val="single" w:sz="6" w:space="0" w:color="CCCCCC"/>
            </w:tcBorders>
            <w:tcMar>
              <w:bottom w:w="56" w:type="dxa"/>
            </w:tcMar>
            <w:vAlign w:val="center"/>
          </w:tcPr>
          <w:p>
            <w:pPr>
              <w:pStyle w:val="TableContents"/>
              <w:bidi w:val="0"/>
              <w:spacing w:before="0" w:after="283"/>
              <w:jc w:val="righ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vAlign w:val="center"/>
          </w:tcPr>
          <w:p>
            <w:pPr>
              <w:pStyle w:val="TableContents"/>
              <w:bidi w:val="0"/>
              <w:spacing w:before="0" w:after="283"/>
              <w:jc w:val="left"/>
              <w:rPr/>
            </w:pPr>
            <w:r>
              <w:rPr/>
              <w:t>​</w:t>
            </w:r>
          </w:p>
        </w:tc>
        <w:tc>
          <w:tcPr>
            <w:tcW w:w="149" w:type="dxa"/>
            <w:tcBorders>
              <w:bottom w:val="single" w:sz="6" w:space="0" w:color="CCCCCC"/>
            </w:tcBorders>
            <w:tcMar>
              <w:bottom w:w="56" w:type="dxa"/>
            </w:tcMar>
            <w:vAlign w:val="center"/>
          </w:tcPr>
          <w:p>
            <w:pPr>
              <w:pStyle w:val="TableContents"/>
              <w:bidi w:val="0"/>
              <w:spacing w:before="0" w:after="283"/>
              <w:jc w:val="right"/>
              <w:rPr/>
            </w:pPr>
            <w:r>
              <w:rPr/>
              <w:t>​</w:t>
            </w:r>
          </w:p>
        </w:tc>
        <w:tc>
          <w:tcPr>
            <w:tcW w:w="1051" w:type="dxa"/>
            <w:tcBorders>
              <w:bottom w:val="single" w:sz="6" w:space="0" w:color="CCCCCC"/>
            </w:tcBorders>
            <w:tcMar>
              <w:bottom w:w="56" w:type="dxa"/>
            </w:tcMar>
            <w:vAlign w:val="center"/>
          </w:tcPr>
          <w:p>
            <w:pPr>
              <w:pStyle w:val="TableContents"/>
              <w:bidi w:val="0"/>
              <w:spacing w:before="0" w:after="283"/>
              <w:jc w:val="right"/>
              <w:rPr/>
            </w:pPr>
            <w:r>
              <w:rPr/>
              <w:t>42,238</w:t>
            </w:r>
          </w:p>
        </w:tc>
        <w:tc>
          <w:tcPr>
            <w:tcW w:w="15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2,838,953</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339"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586" w:type="dxa"/>
            <w:tcBorders>
              <w:bottom w:val="single" w:sz="12" w:space="0" w:color="71B1C8"/>
            </w:tcBorders>
            <w:tcMar>
              <w:bottom w:w="47" w:type="dxa"/>
            </w:tcMar>
            <w:vAlign w:val="center"/>
          </w:tcPr>
          <w:p>
            <w:pPr>
              <w:pStyle w:val="TableContents"/>
              <w:bidi w:val="0"/>
              <w:spacing w:before="0" w:after="283"/>
              <w:jc w:val="right"/>
              <w:rPr/>
            </w:pPr>
            <w:r>
              <w:rPr/>
              <w:t>2023</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615,055</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604,917</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394,900</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4" w:type="dxa"/>
            <w:tcBorders>
              <w:bottom w:val="single" w:sz="12" w:space="0" w:color="71B1C8"/>
            </w:tcBorders>
            <w:vAlign w:val="center"/>
          </w:tcPr>
          <w:p>
            <w:pPr>
              <w:pStyle w:val="TableContents"/>
              <w:bidi w:val="0"/>
              <w:spacing w:before="0" w:after="283"/>
              <w:jc w:val="left"/>
              <w:rPr/>
            </w:pPr>
            <w:r>
              <w:rPr/>
              <w:t>​</w:t>
            </w:r>
          </w:p>
        </w:tc>
        <w:tc>
          <w:tcPr>
            <w:tcW w:w="124" w:type="dxa"/>
            <w:tcBorders>
              <w:bottom w:val="single" w:sz="12" w:space="0" w:color="71B1C8"/>
            </w:tcBorders>
            <w:tcMar>
              <w:bottom w:w="47" w:type="dxa"/>
            </w:tcMar>
            <w:vAlign w:val="center"/>
          </w:tcPr>
          <w:p>
            <w:pPr>
              <w:pStyle w:val="TableContents"/>
              <w:bidi w:val="0"/>
              <w:spacing w:before="0" w:after="283"/>
              <w:jc w:val="right"/>
              <w:rPr/>
            </w:pPr>
            <w:r>
              <w:rPr/>
              <w:t>​</w:t>
            </w:r>
          </w:p>
        </w:tc>
        <w:tc>
          <w:tcPr>
            <w:tcW w:w="1217" w:type="dxa"/>
            <w:tcBorders>
              <w:bottom w:val="single" w:sz="12" w:space="0" w:color="71B1C8"/>
            </w:tcBorders>
            <w:tcMar>
              <w:bottom w:w="47" w:type="dxa"/>
            </w:tcMar>
            <w:vAlign w:val="center"/>
          </w:tcPr>
          <w:p>
            <w:pPr>
              <w:pStyle w:val="TableContents"/>
              <w:bidi w:val="0"/>
              <w:spacing w:before="0" w:after="283"/>
              <w:jc w:val="right"/>
              <w:rPr/>
            </w:pPr>
            <w:r>
              <w:rPr/>
              <w:t>1,033,410</w:t>
            </w:r>
          </w:p>
        </w:tc>
        <w:tc>
          <w:tcPr>
            <w:tcW w:w="12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5" w:type="dxa"/>
            <w:tcBorders>
              <w:bottom w:val="single" w:sz="12" w:space="0" w:color="71B1C8"/>
            </w:tcBorders>
            <w:vAlign w:val="center"/>
          </w:tcPr>
          <w:p>
            <w:pPr>
              <w:pStyle w:val="TableContents"/>
              <w:bidi w:val="0"/>
              <w:spacing w:before="0" w:after="283"/>
              <w:jc w:val="left"/>
              <w:rPr/>
            </w:pPr>
            <w:r>
              <w:rPr/>
              <w:t>​</w:t>
            </w:r>
          </w:p>
        </w:tc>
        <w:tc>
          <w:tcPr>
            <w:tcW w:w="125" w:type="dxa"/>
            <w:tcBorders>
              <w:bottom w:val="single" w:sz="12" w:space="0" w:color="71B1C8"/>
            </w:tcBorders>
            <w:tcMar>
              <w:bottom w:w="47" w:type="dxa"/>
            </w:tcMar>
            <w:vAlign w:val="center"/>
          </w:tcPr>
          <w:p>
            <w:pPr>
              <w:pStyle w:val="TableContents"/>
              <w:bidi w:val="0"/>
              <w:spacing w:before="0" w:after="283"/>
              <w:jc w:val="right"/>
              <w:rPr/>
            </w:pPr>
            <w:r>
              <w:rPr/>
              <w:t>​</w:t>
            </w:r>
          </w:p>
        </w:tc>
        <w:tc>
          <w:tcPr>
            <w:tcW w:w="1108" w:type="dxa"/>
            <w:tcBorders>
              <w:bottom w:val="single" w:sz="12" w:space="0" w:color="71B1C8"/>
            </w:tcBorders>
            <w:tcMar>
              <w:bottom w:w="47" w:type="dxa"/>
            </w:tcMar>
            <w:vAlign w:val="center"/>
          </w:tcPr>
          <w:p>
            <w:pPr>
              <w:pStyle w:val="TableContents"/>
              <w:bidi w:val="0"/>
              <w:spacing w:before="0" w:after="283"/>
              <w:jc w:val="right"/>
              <w:rPr/>
            </w:pPr>
            <w:r>
              <w:rPr/>
              <w:t>—</w:t>
            </w:r>
          </w:p>
        </w:tc>
        <w:tc>
          <w:tcPr>
            <w:tcW w:w="128"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49" w:type="dxa"/>
            <w:tcBorders>
              <w:bottom w:val="single" w:sz="12" w:space="0" w:color="71B1C8"/>
            </w:tcBorders>
            <w:vAlign w:val="center"/>
          </w:tcPr>
          <w:p>
            <w:pPr>
              <w:pStyle w:val="TableContents"/>
              <w:bidi w:val="0"/>
              <w:spacing w:before="0" w:after="283"/>
              <w:jc w:val="left"/>
              <w:rPr/>
            </w:pPr>
            <w:r>
              <w:rPr/>
              <w:t>​</w:t>
            </w:r>
          </w:p>
        </w:tc>
        <w:tc>
          <w:tcPr>
            <w:tcW w:w="14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51" w:type="dxa"/>
            <w:tcBorders>
              <w:bottom w:val="single" w:sz="12" w:space="0" w:color="71B1C8"/>
            </w:tcBorders>
            <w:tcMar>
              <w:bottom w:w="47" w:type="dxa"/>
            </w:tcMar>
            <w:vAlign w:val="center"/>
          </w:tcPr>
          <w:p>
            <w:pPr>
              <w:pStyle w:val="TableContents"/>
              <w:bidi w:val="0"/>
              <w:spacing w:before="0" w:after="283"/>
              <w:jc w:val="right"/>
              <w:rPr/>
            </w:pPr>
            <w:r>
              <w:rPr/>
              <w:t>40,958</w:t>
            </w:r>
          </w:p>
        </w:tc>
        <w:tc>
          <w:tcPr>
            <w:tcW w:w="152"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2,689,240</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74"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Non-Equity Incentive Plan Compensation for 2025 consists of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0490" distB="0" distL="76200" distR="0" simplePos="0" locked="0" layoutInCell="1" allowOverlap="1" relativeHeight="815">
                <wp:simplePos x="0" y="0"/>
                <wp:positionH relativeFrom="column">
                  <wp:align>left</wp:align>
                </wp:positionH>
                <wp:positionV relativeFrom="line">
                  <wp:align>top</wp:align>
                </wp:positionV>
                <wp:extent cx="254000" cy="350520"/>
                <wp:effectExtent l="0" t="0" r="0" b="0"/>
                <wp:wrapSquare wrapText="right"/>
                <wp:docPr id="794" name="Frame5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8.7pt;mso-wrap-distance-bottom:0pt;margin-top:8.7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9185" w:type="dxa"/>
        <w:jc w:val="left"/>
        <w:tblInd w:w="1020" w:type="dxa"/>
        <w:tblLayout w:type="fixed"/>
        <w:tblCellMar>
          <w:top w:w="0" w:type="dxa"/>
          <w:left w:w="0" w:type="dxa"/>
          <w:bottom w:w="0" w:type="dxa"/>
          <w:right w:w="0" w:type="dxa"/>
        </w:tblCellMar>
      </w:tblPr>
      <w:tblGrid>
        <w:gridCol w:w="124"/>
        <w:gridCol w:w="1545"/>
        <w:gridCol w:w="109"/>
        <w:gridCol w:w="109"/>
        <w:gridCol w:w="196"/>
        <w:gridCol w:w="196"/>
        <w:gridCol w:w="1924"/>
        <w:gridCol w:w="196"/>
        <w:gridCol w:w="109"/>
        <w:gridCol w:w="109"/>
        <w:gridCol w:w="218"/>
        <w:gridCol w:w="218"/>
        <w:gridCol w:w="2145"/>
        <w:gridCol w:w="218"/>
        <w:gridCol w:w="109"/>
        <w:gridCol w:w="109"/>
        <w:gridCol w:w="109"/>
        <w:gridCol w:w="109"/>
        <w:gridCol w:w="1066"/>
        <w:gridCol w:w="109"/>
        <w:gridCol w:w="158"/>
      </w:tblGrid>
      <w:tr>
        <w:trPr/>
        <w:tc>
          <w:tcPr>
            <w:tcW w:w="124" w:type="dxa"/>
            <w:tcBorders/>
            <w:shd w:fill="002F56" w:val="clear"/>
            <w:vAlign w:val="center"/>
          </w:tcPr>
          <w:p>
            <w:pPr>
              <w:pStyle w:val="TableContents"/>
              <w:bidi w:val="0"/>
              <w:spacing w:before="0" w:after="283"/>
              <w:jc w:val="left"/>
              <w:rPr/>
            </w:pPr>
            <w:r>
              <w:rPr/>
              <w:t>​</w:t>
            </w:r>
          </w:p>
        </w:tc>
        <w:tc>
          <w:tcPr>
            <w:tcW w:w="1545" w:type="dxa"/>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512" w:type="dxa"/>
            <w:gridSpan w:val="4"/>
            <w:tcBorders/>
            <w:shd w:fill="002F56" w:val="clear"/>
            <w:vAlign w:val="center"/>
          </w:tcPr>
          <w:p>
            <w:pPr>
              <w:pStyle w:val="TableContents"/>
              <w:bidi w:val="0"/>
              <w:spacing w:before="0" w:after="0"/>
              <w:jc w:val="center"/>
              <w:rPr/>
            </w:pPr>
            <w:r>
              <w:rPr>
                <w:spacing w:val="0"/>
              </w:rPr>
              <w:t>2025 Annual Incentive Bonus</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2799" w:type="dxa"/>
            <w:gridSpan w:val="4"/>
            <w:tcBorders/>
            <w:shd w:fill="002F56" w:val="clear"/>
            <w:vAlign w:val="center"/>
          </w:tcPr>
          <w:p>
            <w:pPr>
              <w:pStyle w:val="TableContents"/>
              <w:bidi w:val="0"/>
              <w:spacing w:before="0" w:after="0"/>
              <w:jc w:val="center"/>
              <w:rPr/>
            </w:pPr>
            <w:r>
              <w:rPr>
                <w:spacing w:val="0"/>
              </w:rPr>
              <w:t>2025 Long-Term incentive Payout</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8"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545"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49" w:type="dxa"/>
            </w:tcMar>
            <w:vAlign w:val="center"/>
          </w:tcPr>
          <w:p>
            <w:pPr>
              <w:pStyle w:val="TableContents"/>
              <w:bidi w:val="0"/>
              <w:spacing w:before="0" w:after="283"/>
              <w:jc w:val="right"/>
              <w:rPr/>
            </w:pPr>
            <w:r>
              <w:rPr/>
              <w:t>​</w:t>
            </w:r>
          </w:p>
        </w:tc>
        <w:tc>
          <w:tcPr>
            <w:tcW w:w="1924" w:type="dxa"/>
            <w:tcBorders>
              <w:bottom w:val="single" w:sz="6" w:space="0" w:color="BFBFBF"/>
            </w:tcBorders>
            <w:tcMar>
              <w:bottom w:w="49" w:type="dxa"/>
            </w:tcMar>
            <w:vAlign w:val="center"/>
          </w:tcPr>
          <w:p>
            <w:pPr>
              <w:pStyle w:val="TableContents"/>
              <w:bidi w:val="0"/>
              <w:spacing w:before="0" w:after="283"/>
              <w:jc w:val="right"/>
              <w:rPr/>
            </w:pPr>
            <w:r>
              <w:rPr/>
              <w:t>1,129,144</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49" w:type="dxa"/>
            </w:tcMar>
            <w:vAlign w:val="center"/>
          </w:tcPr>
          <w:p>
            <w:pPr>
              <w:pStyle w:val="TableContents"/>
              <w:bidi w:val="0"/>
              <w:spacing w:before="0" w:after="283"/>
              <w:jc w:val="right"/>
              <w:rPr/>
            </w:pPr>
            <w:r>
              <w:rPr/>
              <w:t>​</w:t>
            </w:r>
          </w:p>
        </w:tc>
        <w:tc>
          <w:tcPr>
            <w:tcW w:w="2145" w:type="dxa"/>
            <w:tcBorders>
              <w:bottom w:val="single" w:sz="6" w:space="0" w:color="BFBFBF"/>
            </w:tcBorders>
            <w:tcMar>
              <w:bottom w:w="49" w:type="dxa"/>
            </w:tcMar>
            <w:vAlign w:val="center"/>
          </w:tcPr>
          <w:p>
            <w:pPr>
              <w:pStyle w:val="TableContents"/>
              <w:bidi w:val="0"/>
              <w:spacing w:before="0" w:after="283"/>
              <w:jc w:val="right"/>
              <w:rPr/>
            </w:pPr>
            <w:r>
              <w:rPr/>
              <w:t>1,762,016</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1066" w:type="dxa"/>
            <w:tcBorders>
              <w:bottom w:val="single" w:sz="6" w:space="0" w:color="BFBFBF"/>
            </w:tcBorders>
            <w:tcMar>
              <w:bottom w:w="49" w:type="dxa"/>
            </w:tcMar>
            <w:vAlign w:val="center"/>
          </w:tcPr>
          <w:p>
            <w:pPr>
              <w:pStyle w:val="TableContents"/>
              <w:bidi w:val="0"/>
              <w:spacing w:before="0" w:after="283"/>
              <w:jc w:val="right"/>
              <w:rPr/>
            </w:pPr>
            <w:r>
              <w:rPr/>
              <w:t>2,891,160</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545"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49" w:type="dxa"/>
            </w:tcMar>
            <w:vAlign w:val="center"/>
          </w:tcPr>
          <w:p>
            <w:pPr>
              <w:pStyle w:val="TableContents"/>
              <w:bidi w:val="0"/>
              <w:spacing w:before="0" w:after="283"/>
              <w:jc w:val="right"/>
              <w:rPr/>
            </w:pPr>
            <w:r>
              <w:rPr/>
              <w:t>​</w:t>
            </w:r>
          </w:p>
        </w:tc>
        <w:tc>
          <w:tcPr>
            <w:tcW w:w="1924" w:type="dxa"/>
            <w:tcBorders>
              <w:bottom w:val="single" w:sz="6" w:space="0" w:color="BFBFBF"/>
            </w:tcBorders>
            <w:tcMar>
              <w:bottom w:w="49" w:type="dxa"/>
            </w:tcMar>
            <w:vAlign w:val="center"/>
          </w:tcPr>
          <w:p>
            <w:pPr>
              <w:pStyle w:val="TableContents"/>
              <w:bidi w:val="0"/>
              <w:spacing w:before="0" w:after="283"/>
              <w:jc w:val="right"/>
              <w:rPr/>
            </w:pPr>
            <w:r>
              <w:rPr/>
              <w:t>369,614</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49" w:type="dxa"/>
            </w:tcMar>
            <w:vAlign w:val="center"/>
          </w:tcPr>
          <w:p>
            <w:pPr>
              <w:pStyle w:val="TableContents"/>
              <w:bidi w:val="0"/>
              <w:spacing w:before="0" w:after="283"/>
              <w:jc w:val="right"/>
              <w:rPr/>
            </w:pPr>
            <w:r>
              <w:rPr/>
              <w:t>​</w:t>
            </w:r>
          </w:p>
        </w:tc>
        <w:tc>
          <w:tcPr>
            <w:tcW w:w="2145" w:type="dxa"/>
            <w:tcBorders>
              <w:bottom w:val="single" w:sz="6" w:space="0" w:color="BFBFBF"/>
            </w:tcBorders>
            <w:tcMar>
              <w:bottom w:w="49" w:type="dxa"/>
            </w:tcMar>
            <w:vAlign w:val="center"/>
          </w:tcPr>
          <w:p>
            <w:pPr>
              <w:pStyle w:val="TableContents"/>
              <w:bidi w:val="0"/>
              <w:spacing w:before="0" w:after="283"/>
              <w:jc w:val="right"/>
              <w:rPr/>
            </w:pPr>
            <w:r>
              <w:rPr/>
              <w:t>291,672</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1066" w:type="dxa"/>
            <w:tcBorders>
              <w:bottom w:val="single" w:sz="6" w:space="0" w:color="BFBFBF"/>
            </w:tcBorders>
            <w:tcMar>
              <w:bottom w:w="49" w:type="dxa"/>
            </w:tcMar>
            <w:vAlign w:val="center"/>
          </w:tcPr>
          <w:p>
            <w:pPr>
              <w:pStyle w:val="TableContents"/>
              <w:bidi w:val="0"/>
              <w:spacing w:before="0" w:after="283"/>
              <w:jc w:val="right"/>
              <w:rPr/>
            </w:pPr>
            <w:r>
              <w:rPr/>
              <w:t>661,286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545"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D.J. Monagle, III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49" w:type="dxa"/>
            </w:tcMar>
            <w:vAlign w:val="center"/>
          </w:tcPr>
          <w:p>
            <w:pPr>
              <w:pStyle w:val="TableContents"/>
              <w:bidi w:val="0"/>
              <w:spacing w:before="0" w:after="283"/>
              <w:jc w:val="right"/>
              <w:rPr/>
            </w:pPr>
            <w:r>
              <w:rPr/>
              <w:t>​</w:t>
            </w:r>
          </w:p>
        </w:tc>
        <w:tc>
          <w:tcPr>
            <w:tcW w:w="1924" w:type="dxa"/>
            <w:tcBorders>
              <w:bottom w:val="single" w:sz="6" w:space="0" w:color="BFBFBF"/>
            </w:tcBorders>
            <w:tcMar>
              <w:bottom w:w="49" w:type="dxa"/>
            </w:tcMar>
            <w:vAlign w:val="center"/>
          </w:tcPr>
          <w:p>
            <w:pPr>
              <w:pStyle w:val="TableContents"/>
              <w:bidi w:val="0"/>
              <w:spacing w:before="0" w:after="283"/>
              <w:jc w:val="right"/>
              <w:rPr/>
            </w:pPr>
            <w:r>
              <w:rPr/>
              <w:t>346,313</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49" w:type="dxa"/>
            </w:tcMar>
            <w:vAlign w:val="center"/>
          </w:tcPr>
          <w:p>
            <w:pPr>
              <w:pStyle w:val="TableContents"/>
              <w:bidi w:val="0"/>
              <w:spacing w:before="0" w:after="283"/>
              <w:jc w:val="right"/>
              <w:rPr/>
            </w:pPr>
            <w:r>
              <w:rPr/>
              <w:t>​</w:t>
            </w:r>
          </w:p>
        </w:tc>
        <w:tc>
          <w:tcPr>
            <w:tcW w:w="2145" w:type="dxa"/>
            <w:tcBorders>
              <w:bottom w:val="single" w:sz="6" w:space="0" w:color="BFBFBF"/>
            </w:tcBorders>
            <w:tcMar>
              <w:bottom w:w="49" w:type="dxa"/>
            </w:tcMar>
            <w:vAlign w:val="center"/>
          </w:tcPr>
          <w:p>
            <w:pPr>
              <w:pStyle w:val="TableContents"/>
              <w:bidi w:val="0"/>
              <w:spacing w:before="0" w:after="283"/>
              <w:jc w:val="right"/>
              <w:rPr/>
            </w:pPr>
            <w:r>
              <w:rPr/>
              <w:t>557,372</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1066" w:type="dxa"/>
            <w:tcBorders>
              <w:bottom w:val="single" w:sz="6" w:space="0" w:color="BFBFBF"/>
            </w:tcBorders>
            <w:tcMar>
              <w:bottom w:w="49" w:type="dxa"/>
            </w:tcMar>
            <w:vAlign w:val="center"/>
          </w:tcPr>
          <w:p>
            <w:pPr>
              <w:pStyle w:val="TableContents"/>
              <w:bidi w:val="0"/>
              <w:spacing w:before="0" w:after="283"/>
              <w:jc w:val="right"/>
              <w:rPr/>
            </w:pPr>
            <w:r>
              <w:rPr/>
              <w:t>903,685</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545"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96" w:type="dxa"/>
            <w:tcBorders>
              <w:bottom w:val="single" w:sz="6" w:space="0" w:color="BFBFBF"/>
            </w:tcBorders>
            <w:tcMar>
              <w:bottom w:w="49" w:type="dxa"/>
            </w:tcMar>
            <w:vAlign w:val="center"/>
          </w:tcPr>
          <w:p>
            <w:pPr>
              <w:pStyle w:val="TableContents"/>
              <w:bidi w:val="0"/>
              <w:spacing w:before="0" w:after="283"/>
              <w:jc w:val="right"/>
              <w:rPr/>
            </w:pPr>
            <w:r>
              <w:rPr/>
              <w:t>​</w:t>
            </w:r>
          </w:p>
        </w:tc>
        <w:tc>
          <w:tcPr>
            <w:tcW w:w="1924" w:type="dxa"/>
            <w:tcBorders>
              <w:bottom w:val="single" w:sz="6" w:space="0" w:color="BFBFBF"/>
            </w:tcBorders>
            <w:tcMar>
              <w:bottom w:w="49" w:type="dxa"/>
            </w:tcMar>
            <w:vAlign w:val="center"/>
          </w:tcPr>
          <w:p>
            <w:pPr>
              <w:pStyle w:val="TableContents"/>
              <w:bidi w:val="0"/>
              <w:spacing w:before="0" w:after="283"/>
              <w:jc w:val="right"/>
              <w:rPr/>
            </w:pPr>
            <w:r>
              <w:rPr/>
              <w:t>487,010</w:t>
            </w:r>
          </w:p>
        </w:tc>
        <w:tc>
          <w:tcPr>
            <w:tcW w:w="196"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218" w:type="dxa"/>
            <w:tcBorders>
              <w:bottom w:val="single" w:sz="6" w:space="0" w:color="BFBFBF"/>
            </w:tcBorders>
            <w:tcMar>
              <w:bottom w:w="49" w:type="dxa"/>
            </w:tcMar>
            <w:vAlign w:val="center"/>
          </w:tcPr>
          <w:p>
            <w:pPr>
              <w:pStyle w:val="TableContents"/>
              <w:bidi w:val="0"/>
              <w:spacing w:before="0" w:after="283"/>
              <w:jc w:val="right"/>
              <w:rPr/>
            </w:pPr>
            <w:r>
              <w:rPr/>
              <w:t>​</w:t>
            </w:r>
          </w:p>
        </w:tc>
        <w:tc>
          <w:tcPr>
            <w:tcW w:w="2145" w:type="dxa"/>
            <w:tcBorders>
              <w:bottom w:val="single" w:sz="6" w:space="0" w:color="BFBFBF"/>
            </w:tcBorders>
            <w:tcMar>
              <w:bottom w:w="49" w:type="dxa"/>
            </w:tcMar>
            <w:vAlign w:val="center"/>
          </w:tcPr>
          <w:p>
            <w:pPr>
              <w:pStyle w:val="TableContents"/>
              <w:bidi w:val="0"/>
              <w:spacing w:before="0" w:after="283"/>
              <w:jc w:val="right"/>
              <w:rPr/>
            </w:pPr>
            <w:r>
              <w:rPr/>
              <w:t>423,203</w:t>
            </w:r>
          </w:p>
        </w:tc>
        <w:tc>
          <w:tcPr>
            <w:tcW w:w="21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1066" w:type="dxa"/>
            <w:tcBorders>
              <w:bottom w:val="single" w:sz="6" w:space="0" w:color="BFBFBF"/>
            </w:tcBorders>
            <w:tcMar>
              <w:bottom w:w="49" w:type="dxa"/>
            </w:tcMar>
            <w:vAlign w:val="center"/>
          </w:tcPr>
          <w:p>
            <w:pPr>
              <w:pStyle w:val="TableContents"/>
              <w:bidi w:val="0"/>
              <w:spacing w:before="0" w:after="283"/>
              <w:jc w:val="right"/>
              <w:rPr/>
            </w:pPr>
            <w:r>
              <w:rPr/>
              <w:t>910,213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8"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1545"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J. J. Hastings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96" w:type="dxa"/>
            <w:tcBorders>
              <w:bottom w:val="single" w:sz="12" w:space="0" w:color="71B1C8"/>
            </w:tcBorders>
            <w:tcMar>
              <w:bottom w:w="28" w:type="dxa"/>
            </w:tcMar>
            <w:vAlign w:val="center"/>
          </w:tcPr>
          <w:p>
            <w:pPr>
              <w:pStyle w:val="TableContents"/>
              <w:bidi w:val="0"/>
              <w:spacing w:before="0" w:after="283"/>
              <w:jc w:val="left"/>
              <w:rPr/>
            </w:pPr>
            <w:r>
              <w:rPr/>
              <w:t>​</w:t>
            </w:r>
          </w:p>
        </w:tc>
        <w:tc>
          <w:tcPr>
            <w:tcW w:w="196" w:type="dxa"/>
            <w:tcBorders>
              <w:bottom w:val="single" w:sz="12" w:space="0" w:color="71B1C8"/>
            </w:tcBorders>
            <w:tcMar>
              <w:bottom w:w="28" w:type="dxa"/>
            </w:tcMar>
            <w:vAlign w:val="center"/>
          </w:tcPr>
          <w:p>
            <w:pPr>
              <w:pStyle w:val="TableContents"/>
              <w:bidi w:val="0"/>
              <w:spacing w:before="0" w:after="283"/>
              <w:jc w:val="right"/>
              <w:rPr/>
            </w:pPr>
            <w:r>
              <w:rPr/>
              <w:t>​</w:t>
            </w:r>
          </w:p>
        </w:tc>
        <w:tc>
          <w:tcPr>
            <w:tcW w:w="1924" w:type="dxa"/>
            <w:tcBorders>
              <w:bottom w:val="single" w:sz="12" w:space="0" w:color="71B1C8"/>
            </w:tcBorders>
            <w:tcMar>
              <w:bottom w:w="28" w:type="dxa"/>
            </w:tcMar>
            <w:vAlign w:val="center"/>
          </w:tcPr>
          <w:p>
            <w:pPr>
              <w:pStyle w:val="TableContents"/>
              <w:bidi w:val="0"/>
              <w:spacing w:before="0" w:after="283"/>
              <w:jc w:val="right"/>
              <w:rPr/>
            </w:pPr>
            <w:r>
              <w:rPr/>
              <w:t>432,551</w:t>
            </w:r>
          </w:p>
        </w:tc>
        <w:tc>
          <w:tcPr>
            <w:tcW w:w="196"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18" w:type="dxa"/>
            <w:tcBorders>
              <w:bottom w:val="single" w:sz="12" w:space="0" w:color="71B1C8"/>
            </w:tcBorders>
            <w:tcMar>
              <w:bottom w:w="28" w:type="dxa"/>
            </w:tcMar>
            <w:vAlign w:val="center"/>
          </w:tcPr>
          <w:p>
            <w:pPr>
              <w:pStyle w:val="TableContents"/>
              <w:bidi w:val="0"/>
              <w:spacing w:before="0" w:after="283"/>
              <w:jc w:val="left"/>
              <w:rPr/>
            </w:pPr>
            <w:r>
              <w:rPr/>
              <w:t>​</w:t>
            </w:r>
          </w:p>
        </w:tc>
        <w:tc>
          <w:tcPr>
            <w:tcW w:w="218" w:type="dxa"/>
            <w:tcBorders>
              <w:bottom w:val="single" w:sz="12" w:space="0" w:color="71B1C8"/>
            </w:tcBorders>
            <w:tcMar>
              <w:bottom w:w="28" w:type="dxa"/>
            </w:tcMar>
            <w:vAlign w:val="center"/>
          </w:tcPr>
          <w:p>
            <w:pPr>
              <w:pStyle w:val="TableContents"/>
              <w:bidi w:val="0"/>
              <w:spacing w:before="0" w:after="283"/>
              <w:jc w:val="right"/>
              <w:rPr/>
            </w:pPr>
            <w:r>
              <w:rPr/>
              <w:t>​</w:t>
            </w:r>
          </w:p>
        </w:tc>
        <w:tc>
          <w:tcPr>
            <w:tcW w:w="2145" w:type="dxa"/>
            <w:tcBorders>
              <w:bottom w:val="single" w:sz="12" w:space="0" w:color="71B1C8"/>
            </w:tcBorders>
            <w:tcMar>
              <w:bottom w:w="28" w:type="dxa"/>
            </w:tcMar>
            <w:vAlign w:val="center"/>
          </w:tcPr>
          <w:p>
            <w:pPr>
              <w:pStyle w:val="TableContents"/>
              <w:bidi w:val="0"/>
              <w:spacing w:before="0" w:after="283"/>
              <w:jc w:val="right"/>
              <w:rPr/>
            </w:pPr>
            <w:r>
              <w:rPr/>
              <w:t>483,376</w:t>
            </w:r>
          </w:p>
        </w:tc>
        <w:tc>
          <w:tcPr>
            <w:tcW w:w="218"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915,927</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8"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13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There were no discretionary bonuses paid to any of the named executive officers in 2023, 2024 and 2025. Accordingly, the column entitled “Bonus” has been omitted from this table.</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4"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Represents the aggregate grant date fair value computed in accordance with FASB ASC Topic 718. The Company calculates the “fair value” of stock awards under FASB ASC Topic 718 by multiplying the number of shares by the average of the high and low price of the Company’s common stock on the New York Stock Exchange on the grant date. See Note 6 to the Consolidated Financial Statements in our Annual Report on Form 10-K for the fiscal year ended December 31, 2025 for the assumptions made in determining FASB ASC Topic 718 values.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3340" distB="0" distL="7620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795" name="Frame5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2pt;mso-wrap-distance-bottom:0pt;margin-top:4.2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5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Represents the aggregate grant date fair value computed in accordance with FASB ASC Topic 718. The Company calculates the </w:t>
      </w:r>
      <w:r>
        <mc:AlternateContent>
          <mc:Choice Requires="wps">
            <w:drawing>
              <wp:anchor behindDoc="0" distT="52070" distB="0" distL="7620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796" name="Frame5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1pt;mso-wrap-distance-bottom:0pt;margin-top:4.1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59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6"/>
        </w:rPr>
        <w:t>fair value” of option awards under FASB ASC Topic 718 using the Black-Scholes valuation model. See Note 6 to the Consolidated Financial Statements in our Annual Report on Form 10-K for the fiscal year ended December 31, 2025 for the assumptions made in determining FASB ASC Topic 718 values.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shown for 2025 represent the sum of (i) 2025 Annual Incentive awards under the 2025 Annual Incentive Plan and (ii) the value of the Performance Units granted by the Company to the named executive officers for the performance period ending December 31, 2025, which vested on December 31, 2025, as detailed in the above note (*). The value of these Performance Units was $79.91 per unit.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18">
                <wp:simplePos x="0" y="0"/>
                <wp:positionH relativeFrom="column">
                  <wp:align>left</wp:align>
                </wp:positionH>
                <wp:positionV relativeFrom="line">
                  <wp:align>top</wp:align>
                </wp:positionV>
                <wp:extent cx="254000" cy="350520"/>
                <wp:effectExtent l="0" t="0" r="0" b="0"/>
                <wp:wrapSquare wrapText="right"/>
                <wp:docPr id="797"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shown for 2024 represent the sum of (i) 2024 Annual Incentive awards under the 2024 Annual Incentive Plan and (ii) the value of the Performance Units granted by the Company to the named executive officers for the performance period ending December 31, 2024, which vested on December 31, 2024. The value of these Performance Units was $108.27 per unit.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shown for 2023 represent the sum of (i) 2023 Annual Incentive awards under the 2023 Annual Incentive Plan and (ii) the value of the Performance Units granted by the Company to the named executive officers for the performance period ending December 31, 2023, which vested on December 31, 2023. The value of these Performance Units was $83.95 per unit.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caps w:val="false"/>
          <w:smallCaps w:val="false"/>
          <w:color w:val="000000"/>
          <w:sz w:val="16"/>
        </w:rPr>
      </w:pPr>
      <w:r>
        <w:rPr>
          <w:rFonts w:ascii="Arial;Helvetica;sans-serif" w:hAnsi="Arial;Helvetica;sans-serif"/>
          <w:b w:val="false"/>
          <w:i w:val="false"/>
          <w:caps w:val="false"/>
          <w:smallCaps w:val="false"/>
          <w:color w:val="000000"/>
          <w:spacing w:val="-1"/>
          <w:sz w:val="16"/>
        </w:rPr>
        <w:t>A Performance Unit is worth $100 per unit at target performance; at maximum performance, $300 per unit. If performance does not meet minimum threshold levels, the Performance Unit will be worth $0. See “</w:t>
      </w:r>
      <w:r>
        <w:rPr>
          <w:rFonts w:ascii="Arial;Helvetica;sans-serif" w:hAnsi="Arial;Helvetica;sans-serif"/>
          <w:b w:val="false"/>
          <w:i/>
          <w:caps w:val="false"/>
          <w:smallCaps w:val="false"/>
          <w:color w:val="000000"/>
          <w:sz w:val="16"/>
        </w:rPr>
        <w:t>Compensation Discussion and Analysis — What We Pay and Why: Elements of Our Compensation Program for Named Executive Officers — Long-term Incentives</w:t>
      </w:r>
      <w:r>
        <w:rPr>
          <w:rFonts w:ascii="Arial;Helvetica;sans-serif" w:hAnsi="Arial;Helvetica;sans-serif"/>
          <w:b w:val="false"/>
          <w:i/>
          <w:caps w:val="false"/>
          <w:smallCaps w:val="false"/>
          <w:color w:val="000000"/>
          <w:spacing w:val="-1"/>
          <w:sz w:val="16"/>
        </w:rPr>
        <w:t xml:space="preserve">” </w:t>
      </w:r>
      <w:r>
        <w:rPr>
          <w:rFonts w:ascii="Arial;Helvetica;sans-serif" w:hAnsi="Arial;Helvetica;sans-serif"/>
          <w:b w:val="false"/>
          <w:i w:val="false"/>
          <w:caps w:val="false"/>
          <w:smallCaps w:val="false"/>
          <w:color w:val="000000"/>
          <w:spacing w:val="-1"/>
          <w:sz w:val="16"/>
        </w:rPr>
        <w:t>for more information.</w:t>
      </w:r>
      <w:r>
        <w:rPr>
          <w:rFonts w:ascii="Arial;Helvetica;sans-serif" w:hAnsi="Arial;Helvetica;sans-serif"/>
          <w:b w:val="false"/>
          <w:i/>
          <w:caps w:val="false"/>
          <w:smallCaps w:val="false"/>
          <w:color w:val="000000"/>
          <w:spacing w:val="3"/>
          <w:sz w:val="16"/>
        </w:rPr>
        <w:t xml:space="preserve"> </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shown in column (g) are solely an estimate of the increase in actuarial present value during 2025 of the named executive officer’s normal retirement age (defined as the earliest age at which the executive can receive a benefit unreduced for early retirement) accumulated benefit under the Company’s Retirement Plan and the Supplemental Retirement Plan. Mr. Aldag and Mr. Hastings do not participate in a pension plan. The amount attributable to each plan is shown in the table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798"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8702" w:type="dxa"/>
        <w:jc w:val="left"/>
        <w:tblInd w:w="1020" w:type="dxa"/>
        <w:tblLayout w:type="fixed"/>
        <w:tblCellMar>
          <w:top w:w="0" w:type="dxa"/>
          <w:left w:w="0" w:type="dxa"/>
          <w:bottom w:w="28" w:type="dxa"/>
          <w:right w:w="0" w:type="dxa"/>
        </w:tblCellMar>
      </w:tblPr>
      <w:tblGrid>
        <w:gridCol w:w="124"/>
        <w:gridCol w:w="1789"/>
        <w:gridCol w:w="109"/>
        <w:gridCol w:w="109"/>
        <w:gridCol w:w="166"/>
        <w:gridCol w:w="166"/>
        <w:gridCol w:w="1177"/>
        <w:gridCol w:w="170"/>
        <w:gridCol w:w="109"/>
        <w:gridCol w:w="109"/>
        <w:gridCol w:w="271"/>
        <w:gridCol w:w="271"/>
        <w:gridCol w:w="2212"/>
        <w:gridCol w:w="275"/>
        <w:gridCol w:w="109"/>
        <w:gridCol w:w="109"/>
        <w:gridCol w:w="109"/>
        <w:gridCol w:w="109"/>
        <w:gridCol w:w="946"/>
        <w:gridCol w:w="109"/>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178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6417" w:type="dxa"/>
            <w:gridSpan w:val="16"/>
            <w:tcBorders>
              <w:bottom w:val="single" w:sz="6" w:space="0" w:color="71B1C8"/>
            </w:tcBorders>
            <w:shd w:fill="002F56" w:val="clear"/>
            <w:tcMar>
              <w:bottom w:w="56" w:type="dxa"/>
            </w:tcMar>
            <w:vAlign w:val="center"/>
          </w:tcPr>
          <w:p>
            <w:pPr>
              <w:pStyle w:val="TableContents"/>
              <w:bidi w:val="0"/>
              <w:spacing w:before="0" w:after="0"/>
              <w:jc w:val="center"/>
              <w:rPr>
                <w:spacing w:val="0"/>
              </w:rPr>
            </w:pPr>
            <w:r>
              <w:rPr>
                <w:spacing w:val="0"/>
              </w:rPr>
              <w:t xml:space="preserve">Change in Pension Value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1789" w:type="dxa"/>
            <w:tcBorders/>
            <w:shd w:fill="002F56"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679" w:type="dxa"/>
            <w:gridSpan w:val="4"/>
            <w:tcBorders/>
            <w:shd w:fill="002F56" w:val="clear"/>
            <w:tcMar>
              <w:bottom w:w="0" w:type="dxa"/>
            </w:tcMar>
            <w:vAlign w:val="center"/>
          </w:tcPr>
          <w:p>
            <w:pPr>
              <w:pStyle w:val="TableContents"/>
              <w:bidi w:val="0"/>
              <w:spacing w:before="0" w:after="0"/>
              <w:jc w:val="center"/>
              <w:rPr/>
            </w:pPr>
            <w:r>
              <w:rPr>
                <w:spacing w:val="0"/>
              </w:rPr>
              <w:t>Retirement Plan</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3029" w:type="dxa"/>
            <w:gridSpan w:val="4"/>
            <w:tcBorders/>
            <w:shd w:fill="002F56" w:val="clear"/>
            <w:tcMar>
              <w:bottom w:w="0" w:type="dxa"/>
            </w:tcMar>
            <w:vAlign w:val="center"/>
          </w:tcPr>
          <w:p>
            <w:pPr>
              <w:pStyle w:val="TableContents"/>
              <w:bidi w:val="0"/>
              <w:spacing w:before="0" w:after="0"/>
              <w:jc w:val="center"/>
              <w:rPr/>
            </w:pPr>
            <w:r>
              <w:rPr>
                <w:spacing w:val="0"/>
              </w:rPr>
              <w:t>Supplemental Retirement Plan</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273" w:type="dxa"/>
            <w:gridSpan w:val="4"/>
            <w:tcBorders/>
            <w:shd w:fill="002F56" w:val="clear"/>
            <w:tcMar>
              <w:bottom w:w="0"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tcMar>
              <w:bottom w:w="49" w:type="dxa"/>
            </w:tcMar>
            <w:vAlign w:val="center"/>
          </w:tcPr>
          <w:p>
            <w:pPr>
              <w:pStyle w:val="TableContents"/>
              <w:bidi w:val="0"/>
              <w:spacing w:before="0" w:after="283"/>
              <w:jc w:val="right"/>
              <w:rPr/>
            </w:pPr>
            <w:r>
              <w:rPr/>
              <w:t>​</w:t>
            </w:r>
          </w:p>
        </w:tc>
        <w:tc>
          <w:tcPr>
            <w:tcW w:w="1177" w:type="dxa"/>
            <w:tcBorders>
              <w:bottom w:val="single" w:sz="6" w:space="0" w:color="BFBFBF"/>
            </w:tcBorders>
            <w:tcMar>
              <w:bottom w:w="49" w:type="dxa"/>
            </w:tcMar>
            <w:vAlign w:val="center"/>
          </w:tcPr>
          <w:p>
            <w:pPr>
              <w:pStyle w:val="TableContents"/>
              <w:bidi w:val="0"/>
              <w:spacing w:before="0" w:after="283"/>
              <w:jc w:val="right"/>
              <w:rPr/>
            </w:pPr>
            <w:r>
              <w:rPr/>
              <w:t>36,035</w:t>
            </w:r>
          </w:p>
        </w:tc>
        <w:tc>
          <w:tcPr>
            <w:tcW w:w="170"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tcMar>
              <w:bottom w:w="49" w:type="dxa"/>
            </w:tcMar>
            <w:vAlign w:val="center"/>
          </w:tcPr>
          <w:p>
            <w:pPr>
              <w:pStyle w:val="TableContents"/>
              <w:bidi w:val="0"/>
              <w:spacing w:before="0" w:after="283"/>
              <w:jc w:val="right"/>
              <w:rPr/>
            </w:pPr>
            <w:r>
              <w:rPr/>
              <w:t>​</w:t>
            </w:r>
          </w:p>
        </w:tc>
        <w:tc>
          <w:tcPr>
            <w:tcW w:w="2212" w:type="dxa"/>
            <w:tcBorders>
              <w:bottom w:val="single" w:sz="6" w:space="0" w:color="BFBFBF"/>
            </w:tcBorders>
            <w:tcMar>
              <w:bottom w:w="49" w:type="dxa"/>
            </w:tcMar>
            <w:vAlign w:val="center"/>
          </w:tcPr>
          <w:p>
            <w:pPr>
              <w:pStyle w:val="TableContents"/>
              <w:bidi w:val="0"/>
              <w:spacing w:before="0" w:after="283"/>
              <w:jc w:val="right"/>
              <w:rPr/>
            </w:pPr>
            <w:r>
              <w:rPr/>
              <w:t>283,514</w:t>
            </w:r>
          </w:p>
        </w:tc>
        <w:tc>
          <w:tcPr>
            <w:tcW w:w="275"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946" w:type="dxa"/>
            <w:tcBorders>
              <w:bottom w:val="single" w:sz="6" w:space="0" w:color="BFBFBF"/>
            </w:tcBorders>
            <w:tcMar>
              <w:bottom w:w="49" w:type="dxa"/>
            </w:tcMar>
            <w:vAlign w:val="center"/>
          </w:tcPr>
          <w:p>
            <w:pPr>
              <w:pStyle w:val="TableContents"/>
              <w:bidi w:val="0"/>
              <w:spacing w:before="0" w:after="283"/>
              <w:jc w:val="right"/>
              <w:rPr/>
            </w:pPr>
            <w:r>
              <w:rPr/>
              <w:t>319,549</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tcMar>
              <w:bottom w:w="49" w:type="dxa"/>
            </w:tcMar>
            <w:vAlign w:val="center"/>
          </w:tcPr>
          <w:p>
            <w:pPr>
              <w:pStyle w:val="TableContents"/>
              <w:bidi w:val="0"/>
              <w:spacing w:before="0" w:after="283"/>
              <w:jc w:val="right"/>
              <w:rPr/>
            </w:pPr>
            <w:r>
              <w:rPr/>
              <w:t>​</w:t>
            </w:r>
          </w:p>
        </w:tc>
        <w:tc>
          <w:tcPr>
            <w:tcW w:w="1177" w:type="dxa"/>
            <w:tcBorders>
              <w:bottom w:val="single" w:sz="6" w:space="0" w:color="BFBFBF"/>
            </w:tcBorders>
            <w:tcMar>
              <w:bottom w:w="49" w:type="dxa"/>
            </w:tcMar>
            <w:vAlign w:val="center"/>
          </w:tcPr>
          <w:p>
            <w:pPr>
              <w:pStyle w:val="TableContents"/>
              <w:bidi w:val="0"/>
              <w:spacing w:before="0" w:after="283"/>
              <w:jc w:val="right"/>
              <w:rPr/>
            </w:pPr>
            <w:r>
              <w:rPr/>
              <w:t>—</w:t>
            </w:r>
          </w:p>
        </w:tc>
        <w:tc>
          <w:tcPr>
            <w:tcW w:w="170"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tcMar>
              <w:bottom w:w="49" w:type="dxa"/>
            </w:tcMar>
            <w:vAlign w:val="center"/>
          </w:tcPr>
          <w:p>
            <w:pPr>
              <w:pStyle w:val="TableContents"/>
              <w:bidi w:val="0"/>
              <w:spacing w:before="0" w:after="283"/>
              <w:jc w:val="right"/>
              <w:rPr/>
            </w:pPr>
            <w:r>
              <w:rPr/>
              <w:t>​</w:t>
            </w:r>
          </w:p>
        </w:tc>
        <w:tc>
          <w:tcPr>
            <w:tcW w:w="2212" w:type="dxa"/>
            <w:tcBorders>
              <w:bottom w:val="single" w:sz="6" w:space="0" w:color="BFBFBF"/>
            </w:tcBorders>
            <w:tcMar>
              <w:bottom w:w="49" w:type="dxa"/>
            </w:tcMar>
            <w:vAlign w:val="center"/>
          </w:tcPr>
          <w:p>
            <w:pPr>
              <w:pStyle w:val="TableContents"/>
              <w:bidi w:val="0"/>
              <w:spacing w:before="0" w:after="283"/>
              <w:jc w:val="right"/>
              <w:rPr/>
            </w:pPr>
            <w:r>
              <w:rPr/>
              <w:t>—</w:t>
            </w:r>
          </w:p>
        </w:tc>
        <w:tc>
          <w:tcPr>
            <w:tcW w:w="275"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946" w:type="dxa"/>
            <w:tcBorders>
              <w:bottom w:val="single" w:sz="6" w:space="0" w:color="BFBFBF"/>
            </w:tcBorders>
            <w:tcMar>
              <w:bottom w:w="4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D.J. Monagle, III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tcMar>
              <w:bottom w:w="49" w:type="dxa"/>
            </w:tcMar>
            <w:vAlign w:val="center"/>
          </w:tcPr>
          <w:p>
            <w:pPr>
              <w:pStyle w:val="TableContents"/>
              <w:bidi w:val="0"/>
              <w:spacing w:before="0" w:after="283"/>
              <w:jc w:val="right"/>
              <w:rPr/>
            </w:pPr>
            <w:r>
              <w:rPr/>
              <w:t>​</w:t>
            </w:r>
          </w:p>
        </w:tc>
        <w:tc>
          <w:tcPr>
            <w:tcW w:w="1177" w:type="dxa"/>
            <w:tcBorders>
              <w:bottom w:val="single" w:sz="6" w:space="0" w:color="BFBFBF"/>
            </w:tcBorders>
            <w:tcMar>
              <w:bottom w:w="49" w:type="dxa"/>
            </w:tcMar>
            <w:vAlign w:val="center"/>
          </w:tcPr>
          <w:p>
            <w:pPr>
              <w:pStyle w:val="TableContents"/>
              <w:bidi w:val="0"/>
              <w:spacing w:before="0" w:after="283"/>
              <w:jc w:val="right"/>
              <w:rPr/>
            </w:pPr>
            <w:r>
              <w:rPr/>
              <w:t>51,187</w:t>
            </w:r>
          </w:p>
        </w:tc>
        <w:tc>
          <w:tcPr>
            <w:tcW w:w="170"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tcMar>
              <w:bottom w:w="49" w:type="dxa"/>
            </w:tcMar>
            <w:vAlign w:val="center"/>
          </w:tcPr>
          <w:p>
            <w:pPr>
              <w:pStyle w:val="TableContents"/>
              <w:bidi w:val="0"/>
              <w:spacing w:before="0" w:after="283"/>
              <w:jc w:val="right"/>
              <w:rPr/>
            </w:pPr>
            <w:r>
              <w:rPr/>
              <w:t>​</w:t>
            </w:r>
          </w:p>
        </w:tc>
        <w:tc>
          <w:tcPr>
            <w:tcW w:w="2212" w:type="dxa"/>
            <w:tcBorders>
              <w:bottom w:val="single" w:sz="6" w:space="0" w:color="BFBFBF"/>
            </w:tcBorders>
            <w:tcMar>
              <w:bottom w:w="49" w:type="dxa"/>
            </w:tcMar>
            <w:vAlign w:val="center"/>
          </w:tcPr>
          <w:p>
            <w:pPr>
              <w:pStyle w:val="TableContents"/>
              <w:bidi w:val="0"/>
              <w:spacing w:before="0" w:after="283"/>
              <w:jc w:val="right"/>
              <w:rPr/>
            </w:pPr>
            <w:r>
              <w:rPr/>
              <w:t>139,837</w:t>
            </w:r>
          </w:p>
        </w:tc>
        <w:tc>
          <w:tcPr>
            <w:tcW w:w="275"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946" w:type="dxa"/>
            <w:tcBorders>
              <w:bottom w:val="single" w:sz="6" w:space="0" w:color="BFBFBF"/>
            </w:tcBorders>
            <w:tcMar>
              <w:bottom w:w="49" w:type="dxa"/>
            </w:tcMar>
            <w:vAlign w:val="center"/>
          </w:tcPr>
          <w:p>
            <w:pPr>
              <w:pStyle w:val="TableContents"/>
              <w:bidi w:val="0"/>
              <w:spacing w:before="0" w:after="283"/>
              <w:jc w:val="right"/>
              <w:rPr/>
            </w:pPr>
            <w:r>
              <w:rPr/>
              <w:t xml:space="preserve">191,024 </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vAlign w:val="center"/>
          </w:tcPr>
          <w:p>
            <w:pPr>
              <w:pStyle w:val="TableContents"/>
              <w:bidi w:val="0"/>
              <w:spacing w:before="0" w:after="283"/>
              <w:jc w:val="left"/>
              <w:rPr/>
            </w:pPr>
            <w:r>
              <w:rPr/>
              <w:t>​</w:t>
            </w:r>
          </w:p>
        </w:tc>
        <w:tc>
          <w:tcPr>
            <w:tcW w:w="166" w:type="dxa"/>
            <w:tcBorders>
              <w:bottom w:val="single" w:sz="6" w:space="0" w:color="BFBFBF"/>
            </w:tcBorders>
            <w:tcMar>
              <w:bottom w:w="49" w:type="dxa"/>
            </w:tcMar>
            <w:vAlign w:val="center"/>
          </w:tcPr>
          <w:p>
            <w:pPr>
              <w:pStyle w:val="TableContents"/>
              <w:bidi w:val="0"/>
              <w:spacing w:before="0" w:after="283"/>
              <w:jc w:val="right"/>
              <w:rPr/>
            </w:pPr>
            <w:r>
              <w:rPr/>
              <w:t>​</w:t>
            </w:r>
          </w:p>
        </w:tc>
        <w:tc>
          <w:tcPr>
            <w:tcW w:w="1177" w:type="dxa"/>
            <w:tcBorders>
              <w:bottom w:val="single" w:sz="6" w:space="0" w:color="BFBFBF"/>
            </w:tcBorders>
            <w:tcMar>
              <w:bottom w:w="49" w:type="dxa"/>
            </w:tcMar>
            <w:vAlign w:val="center"/>
          </w:tcPr>
          <w:p>
            <w:pPr>
              <w:pStyle w:val="TableContents"/>
              <w:bidi w:val="0"/>
              <w:spacing w:before="0" w:after="283"/>
              <w:jc w:val="right"/>
              <w:rPr/>
            </w:pPr>
            <w:r>
              <w:rPr/>
              <w:t>76,365</w:t>
            </w:r>
          </w:p>
        </w:tc>
        <w:tc>
          <w:tcPr>
            <w:tcW w:w="170"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vAlign w:val="center"/>
          </w:tcPr>
          <w:p>
            <w:pPr>
              <w:pStyle w:val="TableContents"/>
              <w:bidi w:val="0"/>
              <w:spacing w:before="0" w:after="283"/>
              <w:jc w:val="left"/>
              <w:rPr/>
            </w:pPr>
            <w:r>
              <w:rPr/>
              <w:t>​</w:t>
            </w:r>
          </w:p>
        </w:tc>
        <w:tc>
          <w:tcPr>
            <w:tcW w:w="271" w:type="dxa"/>
            <w:tcBorders>
              <w:bottom w:val="single" w:sz="6" w:space="0" w:color="BFBFBF"/>
            </w:tcBorders>
            <w:tcMar>
              <w:bottom w:w="49" w:type="dxa"/>
            </w:tcMar>
            <w:vAlign w:val="center"/>
          </w:tcPr>
          <w:p>
            <w:pPr>
              <w:pStyle w:val="TableContents"/>
              <w:bidi w:val="0"/>
              <w:spacing w:before="0" w:after="283"/>
              <w:jc w:val="right"/>
              <w:rPr/>
            </w:pPr>
            <w:r>
              <w:rPr/>
              <w:t>​</w:t>
            </w:r>
          </w:p>
        </w:tc>
        <w:tc>
          <w:tcPr>
            <w:tcW w:w="2212" w:type="dxa"/>
            <w:tcBorders>
              <w:bottom w:val="single" w:sz="6" w:space="0" w:color="BFBFBF"/>
            </w:tcBorders>
            <w:tcMar>
              <w:bottom w:w="49" w:type="dxa"/>
            </w:tcMar>
            <w:vAlign w:val="center"/>
          </w:tcPr>
          <w:p>
            <w:pPr>
              <w:pStyle w:val="TableContents"/>
              <w:bidi w:val="0"/>
              <w:spacing w:before="0" w:after="283"/>
              <w:jc w:val="right"/>
              <w:rPr/>
            </w:pPr>
            <w:r>
              <w:rPr/>
              <w:t>331,971</w:t>
            </w:r>
          </w:p>
        </w:tc>
        <w:tc>
          <w:tcPr>
            <w:tcW w:w="275"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946" w:type="dxa"/>
            <w:tcBorders>
              <w:bottom w:val="single" w:sz="6" w:space="0" w:color="BFBFBF"/>
            </w:tcBorders>
            <w:tcMar>
              <w:bottom w:w="49" w:type="dxa"/>
            </w:tcMar>
            <w:vAlign w:val="center"/>
          </w:tcPr>
          <w:p>
            <w:pPr>
              <w:pStyle w:val="TableContents"/>
              <w:bidi w:val="0"/>
              <w:spacing w:before="0" w:after="283"/>
              <w:jc w:val="right"/>
              <w:rPr/>
            </w:pPr>
            <w:r>
              <w:rPr/>
              <w:t>408,336</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1789" w:type="dxa"/>
            <w:tcBorders>
              <w:bottom w:val="single" w:sz="12" w:space="0" w:color="71B1C8"/>
            </w:tcBorders>
            <w:vAlign w:val="center"/>
          </w:tcPr>
          <w:p>
            <w:pPr>
              <w:pStyle w:val="TableContents"/>
              <w:bidi w:val="0"/>
              <w:spacing w:before="0" w:after="283"/>
              <w:jc w:val="left"/>
              <w:rPr>
                <w:spacing w:val="-1"/>
              </w:rPr>
            </w:pPr>
            <w:r>
              <w:rPr>
                <w:spacing w:val="-1"/>
              </w:rPr>
              <w:t xml:space="preserve">J. J. Hastings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66" w:type="dxa"/>
            <w:tcBorders>
              <w:bottom w:val="single" w:sz="12" w:space="0" w:color="71B1C8"/>
            </w:tcBorders>
            <w:vAlign w:val="center"/>
          </w:tcPr>
          <w:p>
            <w:pPr>
              <w:pStyle w:val="TableContents"/>
              <w:bidi w:val="0"/>
              <w:spacing w:before="0" w:after="283"/>
              <w:jc w:val="left"/>
              <w:rPr/>
            </w:pPr>
            <w:r>
              <w:rPr/>
              <w:t>​</w:t>
            </w:r>
          </w:p>
        </w:tc>
        <w:tc>
          <w:tcPr>
            <w:tcW w:w="166" w:type="dxa"/>
            <w:tcBorders>
              <w:bottom w:val="single" w:sz="12" w:space="0" w:color="71B1C8"/>
            </w:tcBorders>
            <w:vAlign w:val="center"/>
          </w:tcPr>
          <w:p>
            <w:pPr>
              <w:pStyle w:val="TableContents"/>
              <w:bidi w:val="0"/>
              <w:spacing w:before="0" w:after="283"/>
              <w:jc w:val="right"/>
              <w:rPr/>
            </w:pPr>
            <w:r>
              <w:rPr/>
              <w:t>​</w:t>
            </w:r>
          </w:p>
        </w:tc>
        <w:tc>
          <w:tcPr>
            <w:tcW w:w="1177" w:type="dxa"/>
            <w:tcBorders>
              <w:bottom w:val="single" w:sz="12" w:space="0" w:color="71B1C8"/>
            </w:tcBorders>
            <w:vAlign w:val="center"/>
          </w:tcPr>
          <w:p>
            <w:pPr>
              <w:pStyle w:val="TableContents"/>
              <w:bidi w:val="0"/>
              <w:spacing w:before="0" w:after="283"/>
              <w:jc w:val="right"/>
              <w:rPr/>
            </w:pPr>
            <w:r>
              <w:rPr/>
              <w:t>—</w:t>
            </w:r>
          </w:p>
        </w:tc>
        <w:tc>
          <w:tcPr>
            <w:tcW w:w="170"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71" w:type="dxa"/>
            <w:tcBorders>
              <w:bottom w:val="single" w:sz="12" w:space="0" w:color="71B1C8"/>
            </w:tcBorders>
            <w:vAlign w:val="center"/>
          </w:tcPr>
          <w:p>
            <w:pPr>
              <w:pStyle w:val="TableContents"/>
              <w:bidi w:val="0"/>
              <w:spacing w:before="0" w:after="283"/>
              <w:jc w:val="left"/>
              <w:rPr/>
            </w:pPr>
            <w:r>
              <w:rPr/>
              <w:t>​</w:t>
            </w:r>
          </w:p>
        </w:tc>
        <w:tc>
          <w:tcPr>
            <w:tcW w:w="271" w:type="dxa"/>
            <w:tcBorders>
              <w:bottom w:val="single" w:sz="12" w:space="0" w:color="71B1C8"/>
            </w:tcBorders>
            <w:vAlign w:val="center"/>
          </w:tcPr>
          <w:p>
            <w:pPr>
              <w:pStyle w:val="TableContents"/>
              <w:bidi w:val="0"/>
              <w:spacing w:before="0" w:after="283"/>
              <w:jc w:val="right"/>
              <w:rPr/>
            </w:pPr>
            <w:r>
              <w:rPr/>
              <w:t>​</w:t>
            </w:r>
          </w:p>
        </w:tc>
        <w:tc>
          <w:tcPr>
            <w:tcW w:w="2212" w:type="dxa"/>
            <w:tcBorders>
              <w:bottom w:val="single" w:sz="12" w:space="0" w:color="71B1C8"/>
            </w:tcBorders>
            <w:vAlign w:val="center"/>
          </w:tcPr>
          <w:p>
            <w:pPr>
              <w:pStyle w:val="TableContents"/>
              <w:bidi w:val="0"/>
              <w:spacing w:before="0" w:after="283"/>
              <w:jc w:val="right"/>
              <w:rPr/>
            </w:pPr>
            <w:r>
              <w:rPr/>
              <w:t>—</w:t>
            </w:r>
          </w:p>
        </w:tc>
        <w:tc>
          <w:tcPr>
            <w:tcW w:w="275"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946" w:type="dxa"/>
            <w:tcBorders>
              <w:bottom w:val="single" w:sz="12" w:space="0" w:color="71B1C8"/>
            </w:tcBorders>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00" w:before="13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change in pension values for Mr. Dietrich and Mr. Monagle are calculated under the cash balance formula, which is described in more detail in the narrative following the Pension Benefits table below. The accumulated benefit under the cash balance formula equals the projected annuity benefit payable at normal retirement age, assuming that the executive remains in employment but receives no future pay credits. The projected annuity benefit is calculated by first projecting the end-of-year cash balance account to normal retirement age using annual interest credits of 4.66% for 2025 and 5.33% for 2024 calculations. The projected cash balance is then converted to an annuity using the September 2025 rates (4.06% for 5 years, 5.12% for next 15 years, 5.93% thereafter) and the 2026 IRS prescribed mortality table for 2025 calculations, and September 2024 rates (4.17% for 5 years, 4.76% for next 15 years, 5.25% thereafter) and the 2025 IRS prescribed mortality table for 2024 calculations. The change in pension value for Mr. Argirakis is calculated under the career earnings formula which is described in more detail in the narrative following the Pension Benefits table below.</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present value of accumulated benefits is then calculated using the following discount rate and mortality assumptions:</w:t>
      </w:r>
      <w:r>
        <w:rPr>
          <w:rFonts w:ascii="Arial;Helvetica;sans-serif" w:hAnsi="Arial;Helvetica;sans-serif"/>
          <w:b w:val="false"/>
          <w:i w:val="false"/>
          <w:caps w:val="false"/>
          <w:smallCaps w:val="false"/>
          <w:color w:val="000000"/>
          <w:spacing w:val="3"/>
          <w:sz w:val="16"/>
        </w:rPr>
        <w:t xml:space="preserve"> </w:t>
      </w:r>
    </w:p>
    <w:tbl>
      <w:tblPr>
        <w:tblW w:w="9185" w:type="dxa"/>
        <w:jc w:val="left"/>
        <w:tblInd w:w="1020" w:type="dxa"/>
        <w:tblLayout w:type="fixed"/>
        <w:tblCellMar>
          <w:top w:w="0" w:type="dxa"/>
          <w:left w:w="0" w:type="dxa"/>
          <w:bottom w:w="28" w:type="dxa"/>
          <w:right w:w="0" w:type="dxa"/>
        </w:tblCellMar>
      </w:tblPr>
      <w:tblGrid>
        <w:gridCol w:w="124"/>
        <w:gridCol w:w="1355"/>
        <w:gridCol w:w="109"/>
        <w:gridCol w:w="109"/>
        <w:gridCol w:w="1216"/>
        <w:gridCol w:w="109"/>
        <w:gridCol w:w="109"/>
        <w:gridCol w:w="5898"/>
        <w:gridCol w:w="156"/>
      </w:tblGrid>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Discount rate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2025 year end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5.19% for the qualified plan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4.52% for the non-qualified plan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2024 year end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5.39% for the qualified plan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5.03% for the non-qualified plan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2023 year end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4.72% for the qualified plan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2" w:space="0" w:color="002F56"/>
            </w:tcBorders>
            <w:vAlign w:val="center"/>
          </w:tcPr>
          <w:p>
            <w:pPr>
              <w:pStyle w:val="TableContents"/>
              <w:bidi w:val="0"/>
              <w:spacing w:before="0" w:after="283"/>
              <w:jc w:val="left"/>
              <w:rPr/>
            </w:pPr>
            <w:r>
              <w:rPr/>
              <w:t>​</w:t>
            </w:r>
          </w:p>
        </w:tc>
        <w:tc>
          <w:tcPr>
            <w:tcW w:w="1355" w:type="dxa"/>
            <w:tcBorders>
              <w:bottom w:val="single" w:sz="2" w:space="0" w:color="002F56"/>
            </w:tcBorders>
            <w:tcMar>
              <w:bottom w:w="56" w:type="dxa"/>
            </w:tcMar>
            <w:vAlign w:val="center"/>
          </w:tcPr>
          <w:p>
            <w:pPr>
              <w:pStyle w:val="TableContents"/>
              <w:bidi w:val="0"/>
              <w:spacing w:before="0" w:after="283"/>
              <w:jc w:val="left"/>
              <w:rPr/>
            </w:pPr>
            <w:r>
              <w:rPr/>
              <w:t>​</w:t>
            </w:r>
          </w:p>
        </w:tc>
        <w:tc>
          <w:tcPr>
            <w:tcW w:w="109" w:type="dxa"/>
            <w:tcBorders>
              <w:bottom w:val="single" w:sz="2" w:space="0" w:color="002F56"/>
            </w:tcBorders>
            <w:vAlign w:val="center"/>
          </w:tcPr>
          <w:p>
            <w:pPr>
              <w:pStyle w:val="TableContents"/>
              <w:bidi w:val="0"/>
              <w:spacing w:before="0" w:after="283"/>
              <w:jc w:val="left"/>
              <w:rPr/>
            </w:pPr>
            <w:r>
              <w:rPr/>
              <w:t>​</w:t>
            </w:r>
          </w:p>
        </w:tc>
        <w:tc>
          <w:tcPr>
            <w:tcW w:w="109" w:type="dxa"/>
            <w:tcBorders>
              <w:bottom w:val="single" w:sz="2" w:space="0" w:color="002F56"/>
            </w:tcBorders>
            <w:vAlign w:val="center"/>
          </w:tcPr>
          <w:p>
            <w:pPr>
              <w:pStyle w:val="TableContents"/>
              <w:bidi w:val="0"/>
              <w:spacing w:before="0" w:after="283"/>
              <w:jc w:val="left"/>
              <w:rPr/>
            </w:pPr>
            <w:r>
              <w:rPr/>
              <w:t>​</w:t>
            </w:r>
          </w:p>
        </w:tc>
        <w:tc>
          <w:tcPr>
            <w:tcW w:w="1216" w:type="dxa"/>
            <w:tcBorders>
              <w:bottom w:val="single" w:sz="2" w:space="0" w:color="002F56"/>
            </w:tcBorders>
            <w:tcMar>
              <w:bottom w:w="56" w:type="dxa"/>
            </w:tcMar>
            <w:vAlign w:val="center"/>
          </w:tcPr>
          <w:p>
            <w:pPr>
              <w:pStyle w:val="TableContents"/>
              <w:bidi w:val="0"/>
              <w:spacing w:before="0" w:after="283"/>
              <w:jc w:val="left"/>
              <w:rPr/>
            </w:pPr>
            <w:r>
              <w:rPr/>
              <w:t>​</w:t>
            </w:r>
          </w:p>
        </w:tc>
        <w:tc>
          <w:tcPr>
            <w:tcW w:w="109" w:type="dxa"/>
            <w:tcBorders>
              <w:bottom w:val="single" w:sz="2" w:space="0" w:color="002F56"/>
            </w:tcBorders>
            <w:vAlign w:val="center"/>
          </w:tcPr>
          <w:p>
            <w:pPr>
              <w:pStyle w:val="TableContents"/>
              <w:bidi w:val="0"/>
              <w:spacing w:before="0" w:after="283"/>
              <w:jc w:val="left"/>
              <w:rPr/>
            </w:pPr>
            <w:r>
              <w:rPr/>
              <w:t>​</w:t>
            </w:r>
          </w:p>
        </w:tc>
        <w:tc>
          <w:tcPr>
            <w:tcW w:w="109" w:type="dxa"/>
            <w:tcBorders>
              <w:bottom w:val="single" w:sz="2" w:space="0" w:color="002F56"/>
            </w:tcBorders>
            <w:vAlign w:val="center"/>
          </w:tcPr>
          <w:p>
            <w:pPr>
              <w:pStyle w:val="TableContents"/>
              <w:bidi w:val="0"/>
              <w:spacing w:before="0" w:after="283"/>
              <w:jc w:val="left"/>
              <w:rPr/>
            </w:pPr>
            <w:r>
              <w:rPr/>
              <w:t>​</w:t>
            </w:r>
          </w:p>
        </w:tc>
        <w:tc>
          <w:tcPr>
            <w:tcW w:w="5898" w:type="dxa"/>
            <w:tcBorders>
              <w:bottom w:val="single" w:sz="2" w:space="0" w:color="002F56"/>
            </w:tcBorders>
            <w:tcMar>
              <w:bottom w:w="56" w:type="dxa"/>
            </w:tcMar>
            <w:vAlign w:val="center"/>
          </w:tcPr>
          <w:p>
            <w:pPr>
              <w:pStyle w:val="TableContents"/>
              <w:bidi w:val="0"/>
              <w:spacing w:before="0" w:after="283"/>
              <w:jc w:val="left"/>
              <w:rPr>
                <w:spacing w:val="-1"/>
              </w:rPr>
            </w:pPr>
            <w:r>
              <w:rPr>
                <w:spacing w:val="-1"/>
              </w:rPr>
              <w:t xml:space="preserve">4.47% for the non-qualified plan </w:t>
            </w:r>
          </w:p>
        </w:tc>
        <w:tc>
          <w:tcPr>
            <w:tcW w:w="156" w:type="dxa"/>
            <w:tcBorders>
              <w:bottom w:val="single" w:sz="2" w:space="0" w:color="002F56"/>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Mortality table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2025 year end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0"/>
              <w:jc w:val="left"/>
              <w:rPr>
                <w:spacing w:val="-1"/>
              </w:rPr>
            </w:pPr>
            <w:r>
              <w:rPr>
                <w:spacing w:val="-1"/>
              </w:rPr>
              <w:t>“</w:t>
            </w:r>
            <w:r>
              <w:rPr>
                <w:spacing w:val="-1"/>
              </w:rPr>
              <w:t xml:space="preserve">Pri-2012 Total Dataset Mortality Table (Scale MP-2021)” — post retirement only”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135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16"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2024 year end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5898" w:type="dxa"/>
            <w:tcBorders>
              <w:bottom w:val="single" w:sz="6" w:space="0" w:color="CCCCCC"/>
            </w:tcBorders>
            <w:tcMar>
              <w:bottom w:w="49" w:type="dxa"/>
            </w:tcMar>
            <w:vAlign w:val="center"/>
          </w:tcPr>
          <w:p>
            <w:pPr>
              <w:pStyle w:val="TableContents"/>
              <w:bidi w:val="0"/>
              <w:spacing w:before="0" w:after="0"/>
              <w:jc w:val="left"/>
              <w:rPr>
                <w:spacing w:val="-1"/>
              </w:rPr>
            </w:pPr>
            <w:r>
              <w:rPr>
                <w:spacing w:val="-1"/>
              </w:rPr>
              <w:t>“</w:t>
            </w:r>
            <w:r>
              <w:rPr>
                <w:spacing w:val="-1"/>
              </w:rPr>
              <w:t xml:space="preserve">Pri-2012 Total Dataset Mortality Table (Scale MP-2021)” — post retirement only” </w:t>
            </w:r>
          </w:p>
        </w:tc>
        <w:tc>
          <w:tcPr>
            <w:tcW w:w="156"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1355"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16" w:type="dxa"/>
            <w:tcBorders>
              <w:bottom w:val="single" w:sz="12" w:space="0" w:color="71B1C8"/>
            </w:tcBorders>
            <w:vAlign w:val="center"/>
          </w:tcPr>
          <w:p>
            <w:pPr>
              <w:pStyle w:val="TableContents"/>
              <w:bidi w:val="0"/>
              <w:spacing w:before="0" w:after="283"/>
              <w:jc w:val="left"/>
              <w:rPr>
                <w:spacing w:val="-1"/>
              </w:rPr>
            </w:pPr>
            <w:r>
              <w:rPr>
                <w:spacing w:val="-1"/>
              </w:rPr>
              <w:t xml:space="preserve">2023 year end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5898" w:type="dxa"/>
            <w:tcBorders>
              <w:bottom w:val="single" w:sz="12" w:space="0" w:color="71B1C8"/>
            </w:tcBorders>
            <w:vAlign w:val="center"/>
          </w:tcPr>
          <w:p>
            <w:pPr>
              <w:pStyle w:val="TableContents"/>
              <w:bidi w:val="0"/>
              <w:spacing w:before="0" w:after="0"/>
              <w:jc w:val="left"/>
              <w:rPr/>
            </w:pPr>
            <w:r>
              <w:rPr>
                <w:spacing w:val="-1"/>
              </w:rPr>
              <w:t>“</w:t>
            </w:r>
            <w:r>
              <w:rPr>
                <w:spacing w:val="-1"/>
              </w:rPr>
              <w:t>Pri-2012 Total Dataset Mortality Table (Scale MP-2021)” — post retirement only”</w:t>
            </w:r>
            <w:r>
              <w:rPr/>
              <w:t xml:space="preserve"> </w:t>
            </w:r>
          </w:p>
        </w:tc>
        <w:tc>
          <w:tcPr>
            <w:tcW w:w="156"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00" w:before="130" w:after="283"/>
        <w:ind w:left="15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No amount of the above market earnings on compensation that is deferred outside of tax-qualified plans is reported because none of the named executive officers had any above market earnings during 2025.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60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All Other Compensation for 2025 consists of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76200" distR="0" simplePos="0" locked="0" layoutInCell="1" allowOverlap="1" relativeHeight="820">
                <wp:simplePos x="0" y="0"/>
                <wp:positionH relativeFrom="column">
                  <wp:align>left</wp:align>
                </wp:positionH>
                <wp:positionV relativeFrom="line">
                  <wp:posOffset>635</wp:posOffset>
                </wp:positionV>
                <wp:extent cx="254000" cy="350520"/>
                <wp:effectExtent l="0" t="0" r="0" b="0"/>
                <wp:wrapSquare wrapText="right"/>
                <wp:docPr id="799"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8860" w:type="dxa"/>
        <w:jc w:val="left"/>
        <w:tblInd w:w="1020" w:type="dxa"/>
        <w:tblLayout w:type="fixed"/>
        <w:tblCellMar>
          <w:top w:w="0" w:type="dxa"/>
          <w:left w:w="0" w:type="dxa"/>
          <w:bottom w:w="28" w:type="dxa"/>
          <w:right w:w="0" w:type="dxa"/>
        </w:tblCellMar>
      </w:tblPr>
      <w:tblGrid>
        <w:gridCol w:w="124"/>
        <w:gridCol w:w="1789"/>
        <w:gridCol w:w="109"/>
        <w:gridCol w:w="109"/>
        <w:gridCol w:w="128"/>
        <w:gridCol w:w="128"/>
        <w:gridCol w:w="904"/>
        <w:gridCol w:w="129"/>
        <w:gridCol w:w="109"/>
        <w:gridCol w:w="109"/>
        <w:gridCol w:w="127"/>
        <w:gridCol w:w="127"/>
        <w:gridCol w:w="894"/>
        <w:gridCol w:w="127"/>
        <w:gridCol w:w="109"/>
        <w:gridCol w:w="109"/>
        <w:gridCol w:w="225"/>
        <w:gridCol w:w="225"/>
        <w:gridCol w:w="1587"/>
        <w:gridCol w:w="227"/>
        <w:gridCol w:w="109"/>
        <w:gridCol w:w="109"/>
        <w:gridCol w:w="109"/>
        <w:gridCol w:w="109"/>
        <w:gridCol w:w="766"/>
        <w:gridCol w:w="109"/>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178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6575" w:type="dxa"/>
            <w:gridSpan w:val="22"/>
            <w:tcBorders>
              <w:bottom w:val="single" w:sz="6" w:space="0" w:color="71B1C8"/>
            </w:tcBorders>
            <w:shd w:fill="002F56" w:val="clear"/>
            <w:tcMar>
              <w:bottom w:w="56" w:type="dxa"/>
            </w:tcMar>
            <w:vAlign w:val="center"/>
          </w:tcPr>
          <w:p>
            <w:pPr>
              <w:pStyle w:val="TableContents"/>
              <w:bidi w:val="0"/>
              <w:spacing w:before="0" w:after="0"/>
              <w:jc w:val="center"/>
              <w:rPr/>
            </w:pPr>
            <w:r>
              <w:rPr>
                <w:spacing w:val="0"/>
              </w:rPr>
              <w:t>All Other Compensation</w:t>
            </w:r>
            <w:r>
              <w:rPr>
                <w:spacing w:val="-2"/>
              </w:rPr>
              <w:t xml:space="preserve"> — 2025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1789" w:type="dxa"/>
            <w:tcBorders/>
            <w:shd w:fill="002F56"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289" w:type="dxa"/>
            <w:gridSpan w:val="4"/>
            <w:tcBorders/>
            <w:shd w:fill="002F56" w:val="clear"/>
            <w:tcMar>
              <w:bottom w:w="0" w:type="dxa"/>
            </w:tcMar>
            <w:vAlign w:val="center"/>
          </w:tcPr>
          <w:p>
            <w:pPr>
              <w:pStyle w:val="TableContents"/>
              <w:bidi w:val="0"/>
              <w:spacing w:lineRule="atLeast" w:line="142" w:before="0" w:after="0"/>
              <w:jc w:val="center"/>
              <w:rPr/>
            </w:pPr>
            <w:r>
              <w:rPr>
                <w:spacing w:val="0"/>
              </w:rPr>
              <w:t>Perquisites</w:t>
            </w:r>
            <w:r>
              <w:rPr>
                <w:spacing w:val="0"/>
                <w:sz w:val="10"/>
              </w:rPr>
              <w:t>(a)</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275" w:type="dxa"/>
            <w:gridSpan w:val="4"/>
            <w:tcBorders/>
            <w:shd w:fill="002F56" w:val="clear"/>
            <w:tcMar>
              <w:bottom w:w="0" w:type="dxa"/>
            </w:tcMar>
            <w:vAlign w:val="center"/>
          </w:tcPr>
          <w:p>
            <w:pPr>
              <w:pStyle w:val="TableContents"/>
              <w:bidi w:val="0"/>
              <w:spacing w:lineRule="atLeast" w:line="142" w:before="0" w:after="0"/>
              <w:jc w:val="center"/>
              <w:rPr/>
            </w:pPr>
            <w:r>
              <w:rPr>
                <w:spacing w:val="0"/>
              </w:rPr>
              <w:t xml:space="preserve">401(k) Plan </w:t>
              <w:br/>
              <w:t>Match</w:t>
            </w:r>
            <w:r>
              <w:rPr>
                <w:spacing w:val="0"/>
                <w:sz w:val="10"/>
              </w:rPr>
              <w:t>(b)</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264" w:type="dxa"/>
            <w:gridSpan w:val="4"/>
            <w:tcBorders/>
            <w:shd w:fill="002F56" w:val="clear"/>
            <w:tcMar>
              <w:bottom w:w="0" w:type="dxa"/>
            </w:tcMar>
            <w:vAlign w:val="center"/>
          </w:tcPr>
          <w:p>
            <w:pPr>
              <w:pStyle w:val="TableContents"/>
              <w:bidi w:val="0"/>
              <w:spacing w:before="0" w:after="0"/>
              <w:jc w:val="center"/>
              <w:rPr/>
            </w:pPr>
            <w:r>
              <w:rPr>
                <w:spacing w:val="0"/>
              </w:rPr>
              <w:t xml:space="preserve">Supplemental Savings </w:t>
              <w:br/>
              <w:t>Plan Match</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3" w:type="dxa"/>
            <w:gridSpan w:val="4"/>
            <w:tcBorders/>
            <w:shd w:fill="002F56" w:val="clear"/>
            <w:tcMar>
              <w:bottom w:w="0"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54"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tcMar>
              <w:bottom w:w="49" w:type="dxa"/>
            </w:tcMar>
            <w:vAlign w:val="center"/>
          </w:tcPr>
          <w:p>
            <w:pPr>
              <w:pStyle w:val="TableContents"/>
              <w:bidi w:val="0"/>
              <w:spacing w:before="0" w:after="283"/>
              <w:jc w:val="right"/>
              <w:rPr/>
            </w:pPr>
            <w:r>
              <w:rPr/>
              <w:t>​</w:t>
            </w:r>
          </w:p>
        </w:tc>
        <w:tc>
          <w:tcPr>
            <w:tcW w:w="904" w:type="dxa"/>
            <w:tcBorders>
              <w:bottom w:val="single" w:sz="6" w:space="0" w:color="BFBFBF"/>
            </w:tcBorders>
            <w:tcMar>
              <w:bottom w:w="49" w:type="dxa"/>
            </w:tcMar>
            <w:vAlign w:val="center"/>
          </w:tcPr>
          <w:p>
            <w:pPr>
              <w:pStyle w:val="TableContents"/>
              <w:bidi w:val="0"/>
              <w:spacing w:before="0" w:after="283"/>
              <w:jc w:val="right"/>
              <w:rPr/>
            </w:pPr>
            <w:r>
              <w:rPr/>
              <w:t>15,000</w:t>
            </w:r>
          </w:p>
        </w:tc>
        <w:tc>
          <w:tcPr>
            <w:tcW w:w="12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tcMar>
              <w:bottom w:w="49" w:type="dxa"/>
            </w:tcMar>
            <w:vAlign w:val="center"/>
          </w:tcPr>
          <w:p>
            <w:pPr>
              <w:pStyle w:val="TableContents"/>
              <w:bidi w:val="0"/>
              <w:spacing w:before="0" w:after="283"/>
              <w:jc w:val="right"/>
              <w:rPr/>
            </w:pPr>
            <w:r>
              <w:rPr/>
              <w:t>​</w:t>
            </w:r>
          </w:p>
        </w:tc>
        <w:tc>
          <w:tcPr>
            <w:tcW w:w="894" w:type="dxa"/>
            <w:tcBorders>
              <w:bottom w:val="single" w:sz="6" w:space="0" w:color="BFBFBF"/>
            </w:tcBorders>
            <w:tcMar>
              <w:bottom w:w="49" w:type="dxa"/>
            </w:tcMar>
            <w:vAlign w:val="center"/>
          </w:tcPr>
          <w:p>
            <w:pPr>
              <w:pStyle w:val="TableContents"/>
              <w:bidi w:val="0"/>
              <w:spacing w:before="0" w:after="283"/>
              <w:jc w:val="right"/>
              <w:rPr/>
            </w:pPr>
            <w:r>
              <w:rPr/>
              <w:t>14,000</w:t>
            </w:r>
          </w:p>
        </w:tc>
        <w:tc>
          <w:tcPr>
            <w:tcW w:w="1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tcMar>
              <w:bottom w:w="49" w:type="dxa"/>
            </w:tcMar>
            <w:vAlign w:val="center"/>
          </w:tcPr>
          <w:p>
            <w:pPr>
              <w:pStyle w:val="TableContents"/>
              <w:bidi w:val="0"/>
              <w:spacing w:before="0" w:after="283"/>
              <w:jc w:val="right"/>
              <w:rPr/>
            </w:pPr>
            <w:r>
              <w:rPr/>
              <w:t>​</w:t>
            </w:r>
          </w:p>
        </w:tc>
        <w:tc>
          <w:tcPr>
            <w:tcW w:w="1587" w:type="dxa"/>
            <w:tcBorders>
              <w:bottom w:val="single" w:sz="6" w:space="0" w:color="BFBFBF"/>
            </w:tcBorders>
            <w:tcMar>
              <w:bottom w:w="49" w:type="dxa"/>
            </w:tcMar>
            <w:vAlign w:val="center"/>
          </w:tcPr>
          <w:p>
            <w:pPr>
              <w:pStyle w:val="TableContents"/>
              <w:bidi w:val="0"/>
              <w:spacing w:before="0" w:after="283"/>
              <w:jc w:val="right"/>
              <w:rPr/>
            </w:pPr>
            <w:r>
              <w:rPr/>
              <w:t>37,159</w:t>
            </w:r>
          </w:p>
        </w:tc>
        <w:tc>
          <w:tcPr>
            <w:tcW w:w="2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766" w:type="dxa"/>
            <w:tcBorders>
              <w:bottom w:val="single" w:sz="6" w:space="0" w:color="BFBFBF"/>
            </w:tcBorders>
            <w:tcMar>
              <w:bottom w:w="49" w:type="dxa"/>
            </w:tcMar>
            <w:vAlign w:val="center"/>
          </w:tcPr>
          <w:p>
            <w:pPr>
              <w:pStyle w:val="TableContents"/>
              <w:bidi w:val="0"/>
              <w:spacing w:before="0" w:after="283"/>
              <w:jc w:val="right"/>
              <w:rPr/>
            </w:pPr>
            <w:r>
              <w:rPr/>
              <w:t>66,159</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tcMar>
              <w:bottom w:w="49" w:type="dxa"/>
            </w:tcMar>
            <w:vAlign w:val="center"/>
          </w:tcPr>
          <w:p>
            <w:pPr>
              <w:pStyle w:val="TableContents"/>
              <w:bidi w:val="0"/>
              <w:spacing w:before="0" w:after="283"/>
              <w:jc w:val="right"/>
              <w:rPr/>
            </w:pPr>
            <w:r>
              <w:rPr/>
              <w:t>​</w:t>
            </w:r>
          </w:p>
        </w:tc>
        <w:tc>
          <w:tcPr>
            <w:tcW w:w="904" w:type="dxa"/>
            <w:tcBorders>
              <w:bottom w:val="single" w:sz="6" w:space="0" w:color="BFBFBF"/>
            </w:tcBorders>
            <w:tcMar>
              <w:bottom w:w="49" w:type="dxa"/>
            </w:tcMar>
            <w:vAlign w:val="center"/>
          </w:tcPr>
          <w:p>
            <w:pPr>
              <w:pStyle w:val="TableContents"/>
              <w:bidi w:val="0"/>
              <w:spacing w:before="0" w:after="283"/>
              <w:jc w:val="right"/>
              <w:rPr/>
            </w:pPr>
            <w:r>
              <w:rPr/>
              <w:t xml:space="preserve">8,343 </w:t>
            </w:r>
          </w:p>
        </w:tc>
        <w:tc>
          <w:tcPr>
            <w:tcW w:w="12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tcMar>
              <w:bottom w:w="49" w:type="dxa"/>
            </w:tcMar>
            <w:vAlign w:val="center"/>
          </w:tcPr>
          <w:p>
            <w:pPr>
              <w:pStyle w:val="TableContents"/>
              <w:bidi w:val="0"/>
              <w:spacing w:before="0" w:after="283"/>
              <w:jc w:val="right"/>
              <w:rPr/>
            </w:pPr>
            <w:r>
              <w:rPr/>
              <w:t>​</w:t>
            </w:r>
          </w:p>
        </w:tc>
        <w:tc>
          <w:tcPr>
            <w:tcW w:w="894" w:type="dxa"/>
            <w:tcBorders>
              <w:bottom w:val="single" w:sz="6" w:space="0" w:color="BFBFBF"/>
            </w:tcBorders>
            <w:tcMar>
              <w:bottom w:w="49" w:type="dxa"/>
            </w:tcMar>
            <w:vAlign w:val="center"/>
          </w:tcPr>
          <w:p>
            <w:pPr>
              <w:pStyle w:val="TableContents"/>
              <w:bidi w:val="0"/>
              <w:spacing w:before="0" w:after="283"/>
              <w:jc w:val="right"/>
              <w:rPr/>
            </w:pPr>
            <w:r>
              <w:rPr/>
              <w:t>14,000</w:t>
            </w:r>
          </w:p>
        </w:tc>
        <w:tc>
          <w:tcPr>
            <w:tcW w:w="1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tcMar>
              <w:bottom w:w="49" w:type="dxa"/>
            </w:tcMar>
            <w:vAlign w:val="center"/>
          </w:tcPr>
          <w:p>
            <w:pPr>
              <w:pStyle w:val="TableContents"/>
              <w:bidi w:val="0"/>
              <w:spacing w:before="0" w:after="283"/>
              <w:jc w:val="right"/>
              <w:rPr/>
            </w:pPr>
            <w:r>
              <w:rPr/>
              <w:t>​</w:t>
            </w:r>
          </w:p>
        </w:tc>
        <w:tc>
          <w:tcPr>
            <w:tcW w:w="1587" w:type="dxa"/>
            <w:tcBorders>
              <w:bottom w:val="single" w:sz="6" w:space="0" w:color="BFBFBF"/>
            </w:tcBorders>
            <w:tcMar>
              <w:bottom w:w="49" w:type="dxa"/>
            </w:tcMar>
            <w:vAlign w:val="center"/>
          </w:tcPr>
          <w:p>
            <w:pPr>
              <w:pStyle w:val="TableContents"/>
              <w:bidi w:val="0"/>
              <w:spacing w:before="0" w:after="283"/>
              <w:jc w:val="right"/>
              <w:rPr/>
            </w:pPr>
            <w:r>
              <w:rPr/>
              <w:t>20,283</w:t>
            </w:r>
          </w:p>
        </w:tc>
        <w:tc>
          <w:tcPr>
            <w:tcW w:w="2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766" w:type="dxa"/>
            <w:tcBorders>
              <w:bottom w:val="single" w:sz="6" w:space="0" w:color="BFBFBF"/>
            </w:tcBorders>
            <w:tcMar>
              <w:bottom w:w="49" w:type="dxa"/>
            </w:tcMar>
            <w:vAlign w:val="center"/>
          </w:tcPr>
          <w:p>
            <w:pPr>
              <w:pStyle w:val="TableContents"/>
              <w:bidi w:val="0"/>
              <w:spacing w:before="0" w:after="283"/>
              <w:jc w:val="right"/>
              <w:rPr/>
            </w:pPr>
            <w:r>
              <w:rPr/>
              <w:t>42,626</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D.J. Monagle, III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tcMar>
              <w:bottom w:w="49" w:type="dxa"/>
            </w:tcMar>
            <w:vAlign w:val="center"/>
          </w:tcPr>
          <w:p>
            <w:pPr>
              <w:pStyle w:val="TableContents"/>
              <w:bidi w:val="0"/>
              <w:spacing w:before="0" w:after="283"/>
              <w:jc w:val="right"/>
              <w:rPr/>
            </w:pPr>
            <w:r>
              <w:rPr/>
              <w:t>​</w:t>
            </w:r>
          </w:p>
        </w:tc>
        <w:tc>
          <w:tcPr>
            <w:tcW w:w="904" w:type="dxa"/>
            <w:tcBorders>
              <w:bottom w:val="single" w:sz="6" w:space="0" w:color="BFBFBF"/>
            </w:tcBorders>
            <w:tcMar>
              <w:bottom w:w="49" w:type="dxa"/>
            </w:tcMar>
            <w:vAlign w:val="center"/>
          </w:tcPr>
          <w:p>
            <w:pPr>
              <w:pStyle w:val="TableContents"/>
              <w:bidi w:val="0"/>
              <w:spacing w:before="0" w:after="283"/>
              <w:jc w:val="right"/>
              <w:rPr/>
            </w:pPr>
            <w:r>
              <w:rPr/>
              <w:t>15,000</w:t>
            </w:r>
          </w:p>
        </w:tc>
        <w:tc>
          <w:tcPr>
            <w:tcW w:w="12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tcMar>
              <w:bottom w:w="49" w:type="dxa"/>
            </w:tcMar>
            <w:vAlign w:val="center"/>
          </w:tcPr>
          <w:p>
            <w:pPr>
              <w:pStyle w:val="TableContents"/>
              <w:bidi w:val="0"/>
              <w:spacing w:before="0" w:after="283"/>
              <w:jc w:val="right"/>
              <w:rPr/>
            </w:pPr>
            <w:r>
              <w:rPr/>
              <w:t>​</w:t>
            </w:r>
          </w:p>
        </w:tc>
        <w:tc>
          <w:tcPr>
            <w:tcW w:w="894" w:type="dxa"/>
            <w:tcBorders>
              <w:bottom w:val="single" w:sz="6" w:space="0" w:color="BFBFBF"/>
            </w:tcBorders>
            <w:tcMar>
              <w:bottom w:w="49" w:type="dxa"/>
            </w:tcMar>
            <w:vAlign w:val="center"/>
          </w:tcPr>
          <w:p>
            <w:pPr>
              <w:pStyle w:val="TableContents"/>
              <w:bidi w:val="0"/>
              <w:spacing w:before="0" w:after="283"/>
              <w:jc w:val="right"/>
              <w:rPr/>
            </w:pPr>
            <w:r>
              <w:rPr/>
              <w:t>14,000</w:t>
            </w:r>
          </w:p>
        </w:tc>
        <w:tc>
          <w:tcPr>
            <w:tcW w:w="1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tcMar>
              <w:bottom w:w="49" w:type="dxa"/>
            </w:tcMar>
            <w:vAlign w:val="center"/>
          </w:tcPr>
          <w:p>
            <w:pPr>
              <w:pStyle w:val="TableContents"/>
              <w:bidi w:val="0"/>
              <w:spacing w:before="0" w:after="283"/>
              <w:jc w:val="right"/>
              <w:rPr/>
            </w:pPr>
            <w:r>
              <w:rPr/>
              <w:t>​</w:t>
            </w:r>
          </w:p>
        </w:tc>
        <w:tc>
          <w:tcPr>
            <w:tcW w:w="1587" w:type="dxa"/>
            <w:tcBorders>
              <w:bottom w:val="single" w:sz="6" w:space="0" w:color="BFBFBF"/>
            </w:tcBorders>
            <w:tcMar>
              <w:bottom w:w="49" w:type="dxa"/>
            </w:tcMar>
            <w:vAlign w:val="center"/>
          </w:tcPr>
          <w:p>
            <w:pPr>
              <w:pStyle w:val="TableContents"/>
              <w:bidi w:val="0"/>
              <w:spacing w:before="0" w:after="283"/>
              <w:jc w:val="right"/>
              <w:rPr/>
            </w:pPr>
            <w:r>
              <w:rPr/>
              <w:t>24,941</w:t>
            </w:r>
          </w:p>
        </w:tc>
        <w:tc>
          <w:tcPr>
            <w:tcW w:w="2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766" w:type="dxa"/>
            <w:tcBorders>
              <w:bottom w:val="single" w:sz="6" w:space="0" w:color="BFBFBF"/>
            </w:tcBorders>
            <w:tcMar>
              <w:bottom w:w="49" w:type="dxa"/>
            </w:tcMar>
            <w:vAlign w:val="center"/>
          </w:tcPr>
          <w:p>
            <w:pPr>
              <w:pStyle w:val="TableContents"/>
              <w:bidi w:val="0"/>
              <w:spacing w:before="0" w:after="283"/>
              <w:jc w:val="right"/>
              <w:rPr/>
            </w:pPr>
            <w:r>
              <w:rPr/>
              <w:t>53,941</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789" w:type="dxa"/>
            <w:tcBorders>
              <w:bottom w:val="single" w:sz="6" w:space="0" w:color="BFBFBF"/>
            </w:tcBorders>
            <w:tcMar>
              <w:bottom w:w="49"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vAlign w:val="center"/>
          </w:tcPr>
          <w:p>
            <w:pPr>
              <w:pStyle w:val="TableContents"/>
              <w:bidi w:val="0"/>
              <w:spacing w:before="0" w:after="283"/>
              <w:jc w:val="left"/>
              <w:rPr/>
            </w:pPr>
            <w:r>
              <w:rPr/>
              <w:t>​</w:t>
            </w:r>
          </w:p>
        </w:tc>
        <w:tc>
          <w:tcPr>
            <w:tcW w:w="128" w:type="dxa"/>
            <w:tcBorders>
              <w:bottom w:val="single" w:sz="6" w:space="0" w:color="BFBFBF"/>
            </w:tcBorders>
            <w:tcMar>
              <w:bottom w:w="49" w:type="dxa"/>
            </w:tcMar>
            <w:vAlign w:val="center"/>
          </w:tcPr>
          <w:p>
            <w:pPr>
              <w:pStyle w:val="TableContents"/>
              <w:bidi w:val="0"/>
              <w:spacing w:before="0" w:after="283"/>
              <w:jc w:val="right"/>
              <w:rPr/>
            </w:pPr>
            <w:r>
              <w:rPr/>
              <w:t>​</w:t>
            </w:r>
          </w:p>
        </w:tc>
        <w:tc>
          <w:tcPr>
            <w:tcW w:w="904" w:type="dxa"/>
            <w:tcBorders>
              <w:bottom w:val="single" w:sz="6" w:space="0" w:color="BFBFBF"/>
            </w:tcBorders>
            <w:tcMar>
              <w:bottom w:w="49" w:type="dxa"/>
            </w:tcMar>
            <w:vAlign w:val="center"/>
          </w:tcPr>
          <w:p>
            <w:pPr>
              <w:pStyle w:val="TableContents"/>
              <w:bidi w:val="0"/>
              <w:spacing w:before="0" w:after="283"/>
              <w:jc w:val="right"/>
              <w:rPr/>
            </w:pPr>
            <w:r>
              <w:rPr/>
              <w:t>15,000</w:t>
            </w:r>
          </w:p>
        </w:tc>
        <w:tc>
          <w:tcPr>
            <w:tcW w:w="12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vAlign w:val="center"/>
          </w:tcPr>
          <w:p>
            <w:pPr>
              <w:pStyle w:val="TableContents"/>
              <w:bidi w:val="0"/>
              <w:spacing w:before="0" w:after="283"/>
              <w:jc w:val="left"/>
              <w:rPr/>
            </w:pPr>
            <w:r>
              <w:rPr/>
              <w:t>​</w:t>
            </w:r>
          </w:p>
        </w:tc>
        <w:tc>
          <w:tcPr>
            <w:tcW w:w="127" w:type="dxa"/>
            <w:tcBorders>
              <w:bottom w:val="single" w:sz="6" w:space="0" w:color="BFBFBF"/>
            </w:tcBorders>
            <w:tcMar>
              <w:bottom w:w="49" w:type="dxa"/>
            </w:tcMar>
            <w:vAlign w:val="center"/>
          </w:tcPr>
          <w:p>
            <w:pPr>
              <w:pStyle w:val="TableContents"/>
              <w:bidi w:val="0"/>
              <w:spacing w:before="0" w:after="283"/>
              <w:jc w:val="right"/>
              <w:rPr/>
            </w:pPr>
            <w:r>
              <w:rPr/>
              <w:t>​</w:t>
            </w:r>
          </w:p>
        </w:tc>
        <w:tc>
          <w:tcPr>
            <w:tcW w:w="894" w:type="dxa"/>
            <w:tcBorders>
              <w:bottom w:val="single" w:sz="6" w:space="0" w:color="BFBFBF"/>
            </w:tcBorders>
            <w:tcMar>
              <w:bottom w:w="49" w:type="dxa"/>
            </w:tcMar>
            <w:vAlign w:val="center"/>
          </w:tcPr>
          <w:p>
            <w:pPr>
              <w:pStyle w:val="TableContents"/>
              <w:bidi w:val="0"/>
              <w:spacing w:before="0" w:after="283"/>
              <w:jc w:val="right"/>
              <w:rPr/>
            </w:pPr>
            <w:r>
              <w:rPr/>
              <w:t>14,000</w:t>
            </w:r>
          </w:p>
        </w:tc>
        <w:tc>
          <w:tcPr>
            <w:tcW w:w="1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vAlign w:val="center"/>
          </w:tcPr>
          <w:p>
            <w:pPr>
              <w:pStyle w:val="TableContents"/>
              <w:bidi w:val="0"/>
              <w:spacing w:before="0" w:after="283"/>
              <w:jc w:val="left"/>
              <w:rPr/>
            </w:pPr>
            <w:r>
              <w:rPr/>
              <w:t>​</w:t>
            </w:r>
          </w:p>
        </w:tc>
        <w:tc>
          <w:tcPr>
            <w:tcW w:w="225" w:type="dxa"/>
            <w:tcBorders>
              <w:bottom w:val="single" w:sz="6" w:space="0" w:color="BFBFBF"/>
            </w:tcBorders>
            <w:tcMar>
              <w:bottom w:w="49" w:type="dxa"/>
            </w:tcMar>
            <w:vAlign w:val="center"/>
          </w:tcPr>
          <w:p>
            <w:pPr>
              <w:pStyle w:val="TableContents"/>
              <w:bidi w:val="0"/>
              <w:spacing w:before="0" w:after="283"/>
              <w:jc w:val="right"/>
              <w:rPr/>
            </w:pPr>
            <w:r>
              <w:rPr/>
              <w:t>​</w:t>
            </w:r>
          </w:p>
        </w:tc>
        <w:tc>
          <w:tcPr>
            <w:tcW w:w="1587" w:type="dxa"/>
            <w:tcBorders>
              <w:bottom w:val="single" w:sz="6" w:space="0" w:color="BFBFBF"/>
            </w:tcBorders>
            <w:tcMar>
              <w:bottom w:w="49" w:type="dxa"/>
            </w:tcMar>
            <w:vAlign w:val="center"/>
          </w:tcPr>
          <w:p>
            <w:pPr>
              <w:pStyle w:val="TableContents"/>
              <w:bidi w:val="0"/>
              <w:spacing w:before="0" w:after="283"/>
              <w:jc w:val="right"/>
              <w:rPr/>
            </w:pPr>
            <w:r>
              <w:rPr/>
              <w:t>23,906</w:t>
            </w:r>
          </w:p>
        </w:tc>
        <w:tc>
          <w:tcPr>
            <w:tcW w:w="22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49" w:type="dxa"/>
            </w:tcMar>
            <w:vAlign w:val="center"/>
          </w:tcPr>
          <w:p>
            <w:pPr>
              <w:pStyle w:val="TableContents"/>
              <w:bidi w:val="0"/>
              <w:spacing w:before="0" w:after="283"/>
              <w:jc w:val="right"/>
              <w:rPr/>
            </w:pPr>
            <w:r>
              <w:rPr/>
              <w:t>​</w:t>
            </w:r>
          </w:p>
        </w:tc>
        <w:tc>
          <w:tcPr>
            <w:tcW w:w="766" w:type="dxa"/>
            <w:tcBorders>
              <w:bottom w:val="single" w:sz="6" w:space="0" w:color="BFBFBF"/>
            </w:tcBorders>
            <w:tcMar>
              <w:bottom w:w="49" w:type="dxa"/>
            </w:tcMar>
            <w:vAlign w:val="center"/>
          </w:tcPr>
          <w:p>
            <w:pPr>
              <w:pStyle w:val="TableContents"/>
              <w:bidi w:val="0"/>
              <w:spacing w:before="0" w:after="283"/>
              <w:jc w:val="right"/>
              <w:rPr/>
            </w:pPr>
            <w:r>
              <w:rPr/>
              <w:t>52,906</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1789" w:type="dxa"/>
            <w:tcBorders>
              <w:bottom w:val="single" w:sz="12" w:space="0" w:color="71B1C8"/>
            </w:tcBorders>
            <w:vAlign w:val="center"/>
          </w:tcPr>
          <w:p>
            <w:pPr>
              <w:pStyle w:val="TableContents"/>
              <w:bidi w:val="0"/>
              <w:spacing w:before="0" w:after="283"/>
              <w:jc w:val="left"/>
              <w:rPr>
                <w:spacing w:val="-1"/>
              </w:rPr>
            </w:pPr>
            <w:r>
              <w:rPr>
                <w:spacing w:val="-1"/>
              </w:rPr>
              <w:t xml:space="preserve">J. J. Hastings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8" w:type="dxa"/>
            <w:tcBorders>
              <w:bottom w:val="single" w:sz="12" w:space="0" w:color="71B1C8"/>
            </w:tcBorders>
            <w:vAlign w:val="center"/>
          </w:tcPr>
          <w:p>
            <w:pPr>
              <w:pStyle w:val="TableContents"/>
              <w:bidi w:val="0"/>
              <w:spacing w:before="0" w:after="283"/>
              <w:jc w:val="left"/>
              <w:rPr/>
            </w:pPr>
            <w:r>
              <w:rPr/>
              <w:t>​</w:t>
            </w:r>
          </w:p>
        </w:tc>
        <w:tc>
          <w:tcPr>
            <w:tcW w:w="128" w:type="dxa"/>
            <w:tcBorders>
              <w:bottom w:val="single" w:sz="12" w:space="0" w:color="71B1C8"/>
            </w:tcBorders>
            <w:vAlign w:val="center"/>
          </w:tcPr>
          <w:p>
            <w:pPr>
              <w:pStyle w:val="TableContents"/>
              <w:bidi w:val="0"/>
              <w:spacing w:before="0" w:after="283"/>
              <w:jc w:val="right"/>
              <w:rPr/>
            </w:pPr>
            <w:r>
              <w:rPr/>
              <w:t>​</w:t>
            </w:r>
          </w:p>
        </w:tc>
        <w:tc>
          <w:tcPr>
            <w:tcW w:w="904" w:type="dxa"/>
            <w:tcBorders>
              <w:bottom w:val="single" w:sz="12" w:space="0" w:color="71B1C8"/>
            </w:tcBorders>
            <w:vAlign w:val="center"/>
          </w:tcPr>
          <w:p>
            <w:pPr>
              <w:pStyle w:val="TableContents"/>
              <w:bidi w:val="0"/>
              <w:spacing w:before="0" w:after="283"/>
              <w:jc w:val="right"/>
              <w:rPr/>
            </w:pPr>
            <w:r>
              <w:rPr/>
              <w:t>15,000</w:t>
            </w:r>
          </w:p>
        </w:tc>
        <w:tc>
          <w:tcPr>
            <w:tcW w:w="12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7" w:type="dxa"/>
            <w:tcBorders>
              <w:bottom w:val="single" w:sz="12" w:space="0" w:color="71B1C8"/>
            </w:tcBorders>
            <w:vAlign w:val="center"/>
          </w:tcPr>
          <w:p>
            <w:pPr>
              <w:pStyle w:val="TableContents"/>
              <w:bidi w:val="0"/>
              <w:spacing w:before="0" w:after="283"/>
              <w:jc w:val="left"/>
              <w:rPr/>
            </w:pPr>
            <w:r>
              <w:rPr/>
              <w:t>​</w:t>
            </w:r>
          </w:p>
        </w:tc>
        <w:tc>
          <w:tcPr>
            <w:tcW w:w="127" w:type="dxa"/>
            <w:tcBorders>
              <w:bottom w:val="single" w:sz="12" w:space="0" w:color="71B1C8"/>
            </w:tcBorders>
            <w:vAlign w:val="center"/>
          </w:tcPr>
          <w:p>
            <w:pPr>
              <w:pStyle w:val="TableContents"/>
              <w:bidi w:val="0"/>
              <w:spacing w:before="0" w:after="283"/>
              <w:jc w:val="right"/>
              <w:rPr/>
            </w:pPr>
            <w:r>
              <w:rPr/>
              <w:t>​</w:t>
            </w:r>
          </w:p>
        </w:tc>
        <w:tc>
          <w:tcPr>
            <w:tcW w:w="894" w:type="dxa"/>
            <w:tcBorders>
              <w:bottom w:val="single" w:sz="12" w:space="0" w:color="71B1C8"/>
            </w:tcBorders>
            <w:vAlign w:val="center"/>
          </w:tcPr>
          <w:p>
            <w:pPr>
              <w:pStyle w:val="TableContents"/>
              <w:bidi w:val="0"/>
              <w:spacing w:before="0" w:after="283"/>
              <w:jc w:val="right"/>
              <w:rPr/>
            </w:pPr>
            <w:r>
              <w:rPr/>
              <w:t>14,000</w:t>
            </w:r>
          </w:p>
        </w:tc>
        <w:tc>
          <w:tcPr>
            <w:tcW w:w="127"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5" w:type="dxa"/>
            <w:tcBorders>
              <w:bottom w:val="single" w:sz="12" w:space="0" w:color="71B1C8"/>
            </w:tcBorders>
            <w:vAlign w:val="center"/>
          </w:tcPr>
          <w:p>
            <w:pPr>
              <w:pStyle w:val="TableContents"/>
              <w:bidi w:val="0"/>
              <w:spacing w:before="0" w:after="283"/>
              <w:jc w:val="left"/>
              <w:rPr/>
            </w:pPr>
            <w:r>
              <w:rPr/>
              <w:t>​</w:t>
            </w:r>
          </w:p>
        </w:tc>
        <w:tc>
          <w:tcPr>
            <w:tcW w:w="225" w:type="dxa"/>
            <w:tcBorders>
              <w:bottom w:val="single" w:sz="12" w:space="0" w:color="71B1C8"/>
            </w:tcBorders>
            <w:vAlign w:val="center"/>
          </w:tcPr>
          <w:p>
            <w:pPr>
              <w:pStyle w:val="TableContents"/>
              <w:bidi w:val="0"/>
              <w:spacing w:before="0" w:after="283"/>
              <w:jc w:val="right"/>
              <w:rPr/>
            </w:pPr>
            <w:r>
              <w:rPr/>
              <w:t>​</w:t>
            </w:r>
          </w:p>
        </w:tc>
        <w:tc>
          <w:tcPr>
            <w:tcW w:w="1587" w:type="dxa"/>
            <w:tcBorders>
              <w:bottom w:val="single" w:sz="12" w:space="0" w:color="71B1C8"/>
            </w:tcBorders>
            <w:vAlign w:val="center"/>
          </w:tcPr>
          <w:p>
            <w:pPr>
              <w:pStyle w:val="TableContents"/>
              <w:bidi w:val="0"/>
              <w:spacing w:before="0" w:after="283"/>
              <w:jc w:val="right"/>
              <w:rPr/>
            </w:pPr>
            <w:r>
              <w:rPr/>
              <w:t>23,163</w:t>
            </w:r>
          </w:p>
        </w:tc>
        <w:tc>
          <w:tcPr>
            <w:tcW w:w="227"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766" w:type="dxa"/>
            <w:tcBorders>
              <w:bottom w:val="single" w:sz="12" w:space="0" w:color="71B1C8"/>
            </w:tcBorders>
            <w:vAlign w:val="center"/>
          </w:tcPr>
          <w:p>
            <w:pPr>
              <w:pStyle w:val="TableContents"/>
              <w:bidi w:val="0"/>
              <w:spacing w:before="0" w:after="283"/>
              <w:jc w:val="right"/>
              <w:rPr/>
            </w:pPr>
            <w:r>
              <w:rPr/>
              <w:t>52,163</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70" w:after="0"/>
        <w:ind w:left="206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Consists solely of reimbursement for financial counseling up to $15,000.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7950" distB="0" distL="40640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00"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32pt;mso-wrap-distance-right:0pt;mso-wrap-distance-top:8.5pt;mso-wrap-distance-bottom:0pt;margin-top:8.5pt;mso-position-vertical:top;mso-position-vertical-relative:text;margin-left:32pt;mso-position-horizontal:left;mso-position-horizontal-relative:text">
                <v:textbox>
                  <w:txbxContent>
                    <w:p>
                      <w:pPr>
                        <w:pStyle w:val="TextBody"/>
                        <w:bidi w:val="0"/>
                        <w:spacing w:lineRule="atLeast" w:line="20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206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Consists of plan match under the Savings and Investment Plan. </w:t>
      </w:r>
      <w:r>
        <mc:AlternateContent>
          <mc:Choice Requires="wps">
            <w:drawing>
              <wp:anchor behindDoc="0" distT="50800" distB="0" distL="40640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801"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32pt;mso-wrap-distance-right:0pt;mso-wrap-distance-top:4pt;mso-wrap-distance-bottom:0pt;margin-top:4pt;mso-position-vertical:top;mso-position-vertical-relative:text;margin-left:84pt;mso-position-horizontal:left;mso-position-horizontal-relative:text">
                <v:textbox>
                  <w:txbxContent>
                    <w:p>
                      <w:pPr>
                        <w:pStyle w:val="TextBody"/>
                        <w:bidi w:val="0"/>
                        <w:spacing w:lineRule="atLeast" w:line="200" w:before="0" w:after="283"/>
                        <w:jc w:val="left"/>
                        <w:rPr/>
                      </w:pPr>
                      <w:r>
                        <w:rPr>
                          <w:spacing w:val="-1"/>
                        </w:rPr>
                        <w:t>(b)</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61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OF"/>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GRANTS OF PLAN-BASED AWARDS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provides information on the Annual Incentive Plan awards to each of the Company’s named executive officers in 2025 and the Performance Units, DRSUs and stock options granted in 2025 to each of the Company’s named executive officers under the Company’s long-term incentive program. The estimated future payouts of non-equity incentive plan awards listed in the table below depend on performance criteria described in footnote 2 below. There can be no assurance that such payouts will ever be realized.</w:t>
      </w:r>
      <w:r>
        <w:rPr>
          <w:rFonts w:ascii="Arial;Helvetica;sans-serif" w:hAnsi="Arial;Helvetica;sans-serif"/>
          <w:b w:val="false"/>
          <w:i w:val="false"/>
          <w:caps w:val="false"/>
          <w:smallCaps w:val="false"/>
          <w:color w:val="000000"/>
          <w:spacing w:val="4"/>
          <w:sz w:val="18"/>
        </w:rPr>
        <w:t xml:space="preserve"> </w:t>
      </w:r>
    </w:p>
    <w:tbl>
      <w:tblPr>
        <w:tblW w:w="16416" w:type="dxa"/>
        <w:jc w:val="left"/>
        <w:tblInd w:w="1020" w:type="dxa"/>
        <w:tblLayout w:type="fixed"/>
        <w:tblCellMar>
          <w:top w:w="0" w:type="dxa"/>
          <w:left w:w="0" w:type="dxa"/>
          <w:bottom w:w="28" w:type="dxa"/>
          <w:right w:w="0" w:type="dxa"/>
        </w:tblCellMar>
      </w:tblPr>
      <w:tblGrid>
        <w:gridCol w:w="124"/>
        <w:gridCol w:w="1000"/>
        <w:gridCol w:w="109"/>
        <w:gridCol w:w="109"/>
        <w:gridCol w:w="109"/>
        <w:gridCol w:w="109"/>
        <w:gridCol w:w="826"/>
        <w:gridCol w:w="109"/>
        <w:gridCol w:w="109"/>
        <w:gridCol w:w="109"/>
        <w:gridCol w:w="130"/>
        <w:gridCol w:w="130"/>
        <w:gridCol w:w="915"/>
        <w:gridCol w:w="13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109"/>
        <w:gridCol w:w="766"/>
        <w:gridCol w:w="109"/>
        <w:gridCol w:w="109"/>
        <w:gridCol w:w="109"/>
        <w:gridCol w:w="118"/>
        <w:gridCol w:w="118"/>
        <w:gridCol w:w="831"/>
        <w:gridCol w:w="119"/>
        <w:gridCol w:w="109"/>
        <w:gridCol w:w="109"/>
        <w:gridCol w:w="109"/>
        <w:gridCol w:w="226"/>
        <w:gridCol w:w="646"/>
        <w:gridCol w:w="109"/>
        <w:gridCol w:w="109"/>
        <w:gridCol w:w="109"/>
        <w:gridCol w:w="109"/>
        <w:gridCol w:w="226"/>
        <w:gridCol w:w="646"/>
        <w:gridCol w:w="109"/>
        <w:gridCol w:w="109"/>
        <w:gridCol w:w="109"/>
        <w:gridCol w:w="109"/>
        <w:gridCol w:w="226"/>
        <w:gridCol w:w="1066"/>
        <w:gridCol w:w="109"/>
        <w:gridCol w:w="154"/>
      </w:tblGrid>
      <w:tr>
        <w:trPr/>
        <w:tc>
          <w:tcPr>
            <w:tcW w:w="124"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00" w:type="dxa"/>
            <w:vMerge w:val="restart"/>
            <w:tcBorders>
              <w:bottom w:val="single" w:sz="6" w:space="0" w:color="002F56"/>
            </w:tcBorders>
            <w:shd w:fill="002F56" w:val="clear"/>
            <w:tcMar>
              <w:bottom w:w="31" w:type="dxa"/>
            </w:tcMar>
            <w:vAlign w:val="center"/>
          </w:tcPr>
          <w:p>
            <w:pPr>
              <w:pStyle w:val="TableContents"/>
              <w:bidi w:val="0"/>
              <w:spacing w:lineRule="atLeast" w:line="169" w:before="0" w:after="0"/>
              <w:jc w:val="left"/>
              <w:rPr>
                <w:spacing w:val="0"/>
              </w:rPr>
            </w:pPr>
            <w:r>
              <w:rPr>
                <w:spacing w:val="0"/>
              </w:rPr>
              <w:t xml:space="preserve">Name*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153" w:type="dxa"/>
            <w:gridSpan w:val="4"/>
            <w:vMerge w:val="restart"/>
            <w:tcBorders>
              <w:bottom w:val="single" w:sz="6" w:space="0" w:color="002F56"/>
            </w:tcBorders>
            <w:shd w:fill="002F56" w:val="clear"/>
            <w:tcMar>
              <w:bottom w:w="31" w:type="dxa"/>
            </w:tcMar>
            <w:vAlign w:val="center"/>
          </w:tcPr>
          <w:p>
            <w:pPr>
              <w:pStyle w:val="TableContents"/>
              <w:bidi w:val="0"/>
              <w:spacing w:lineRule="atLeast" w:line="169" w:before="0" w:after="0"/>
              <w:jc w:val="center"/>
              <w:rPr>
                <w:spacing w:val="0"/>
              </w:rPr>
            </w:pPr>
            <w:r>
              <w:rPr>
                <w:spacing w:val="0"/>
              </w:rPr>
              <w:t xml:space="preserve">Grant Date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306" w:type="dxa"/>
            <w:gridSpan w:val="4"/>
            <w:vMerge w:val="restart"/>
            <w:tcBorders>
              <w:bottom w:val="single" w:sz="6" w:space="0" w:color="002F56"/>
            </w:tcBorders>
            <w:shd w:fill="002F56" w:val="clear"/>
            <w:tcMar>
              <w:bottom w:w="31" w:type="dxa"/>
            </w:tcMar>
            <w:vAlign w:val="center"/>
          </w:tcPr>
          <w:p>
            <w:pPr>
              <w:pStyle w:val="TableContents"/>
              <w:bidi w:val="0"/>
              <w:spacing w:lineRule="atLeast" w:line="169" w:before="0" w:after="0"/>
              <w:jc w:val="center"/>
              <w:rPr/>
            </w:pPr>
            <w:r>
              <w:rPr>
                <w:spacing w:val="0"/>
              </w:rPr>
              <w:t xml:space="preserve">Performance </w:t>
              <w:br/>
              <w:t>Units</w:t>
            </w:r>
            <w:r>
              <w:rPr/>
              <w:t xml:space="preserve"> </w:t>
              <w:br/>
            </w:r>
            <w:r>
              <w:rPr>
                <w:spacing w:val="-2"/>
              </w:rPr>
              <w:t xml:space="preserv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4966" w:type="dxa"/>
            <w:gridSpan w:val="16"/>
            <w:tcBorders>
              <w:bottom w:val="single" w:sz="6" w:space="0" w:color="71B1C8"/>
            </w:tcBorders>
            <w:shd w:fill="002F56" w:val="clear"/>
            <w:tcMar>
              <w:bottom w:w="31" w:type="dxa"/>
            </w:tcMar>
            <w:vAlign w:val="center"/>
          </w:tcPr>
          <w:p>
            <w:pPr>
              <w:pStyle w:val="TableContents"/>
              <w:bidi w:val="0"/>
              <w:spacing w:before="0" w:after="0"/>
              <w:jc w:val="center"/>
              <w:rPr>
                <w:spacing w:val="0"/>
              </w:rPr>
            </w:pPr>
            <w:r>
              <w:rPr>
                <w:spacing w:val="0"/>
              </w:rPr>
              <w:t xml:space="preserve">Estimated Future Payouts Under </w:t>
              <w:br/>
              <w:t xml:space="preserve">Non-Equity Incentive Plan Awards </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3" w:type="dxa"/>
            <w:gridSpan w:val="4"/>
            <w:vMerge w:val="restart"/>
            <w:tcBorders>
              <w:bottom w:val="single" w:sz="6" w:space="0" w:color="002F56"/>
            </w:tcBorders>
            <w:shd w:fill="002F56" w:val="clear"/>
            <w:tcMar>
              <w:bottom w:w="31" w:type="dxa"/>
            </w:tcMar>
            <w:vAlign w:val="center"/>
          </w:tcPr>
          <w:p>
            <w:pPr>
              <w:pStyle w:val="TableContents"/>
              <w:bidi w:val="0"/>
              <w:spacing w:lineRule="atLeast" w:line="142" w:before="0" w:after="0"/>
              <w:jc w:val="center"/>
              <w:rPr/>
            </w:pPr>
            <w:r>
              <w:rPr>
                <w:spacing w:val="0"/>
              </w:rPr>
              <w:t xml:space="preserve">All Other </w:t>
              <w:br/>
              <w:t xml:space="preserve">Stock </w:t>
              <w:br/>
              <w:t xml:space="preserve">Awards: </w:t>
              <w:br/>
              <w:t xml:space="preserve">Number of </w:t>
              <w:br/>
              <w:t xml:space="preserve">Shares of </w:t>
              <w:br/>
              <w:t xml:space="preserve">Stock or </w:t>
              <w:br/>
              <w:t>Units</w:t>
            </w:r>
            <w:r>
              <w:rPr>
                <w:spacing w:val="-1"/>
                <w:sz w:val="9"/>
              </w:rPr>
              <w:t>(3)</w:t>
            </w:r>
            <w:r>
              <w:rPr/>
              <w:t xml:space="preserve"> </w:t>
              <w:br/>
            </w:r>
            <w:r>
              <w:rPr>
                <w:spacing w:val="-2"/>
              </w:rPr>
              <w:t xml:space="preserv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186" w:type="dxa"/>
            <w:gridSpan w:val="4"/>
            <w:vMerge w:val="restart"/>
            <w:tcBorders>
              <w:bottom w:val="single" w:sz="6" w:space="0" w:color="002F56"/>
            </w:tcBorders>
            <w:shd w:fill="002F56" w:val="clear"/>
            <w:tcMar>
              <w:bottom w:w="31" w:type="dxa"/>
            </w:tcMar>
            <w:vAlign w:val="center"/>
          </w:tcPr>
          <w:p>
            <w:pPr>
              <w:pStyle w:val="TableContents"/>
              <w:bidi w:val="0"/>
              <w:spacing w:lineRule="atLeast" w:line="142" w:before="0" w:after="0"/>
              <w:jc w:val="center"/>
              <w:rPr/>
            </w:pPr>
            <w:r>
              <w:rPr>
                <w:spacing w:val="0"/>
              </w:rPr>
              <w:t xml:space="preserve">All Other </w:t>
              <w:br/>
              <w:t xml:space="preserve">Option </w:t>
              <w:br/>
              <w:t xml:space="preserve">Awards: </w:t>
              <w:br/>
              <w:t xml:space="preserve">Number of </w:t>
              <w:br/>
              <w:t xml:space="preserve">Securities </w:t>
              <w:br/>
              <w:t xml:space="preserve">Underlying </w:t>
              <w:br/>
              <w:t>Options</w:t>
            </w:r>
            <w:r>
              <w:rPr>
                <w:spacing w:val="-1"/>
                <w:sz w:val="9"/>
              </w:rPr>
              <w:t>(4)</w:t>
            </w:r>
            <w:r>
              <w:rPr/>
              <w:t xml:space="preserve"> </w:t>
              <w:br/>
            </w:r>
            <w:r>
              <w:rPr>
                <w:spacing w:val="-2"/>
              </w:rPr>
              <w:t xml:space="preserv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0" w:type="dxa"/>
            <w:gridSpan w:val="4"/>
            <w:vMerge w:val="restart"/>
            <w:tcBorders>
              <w:bottom w:val="single" w:sz="6" w:space="0" w:color="002F56"/>
            </w:tcBorders>
            <w:shd w:fill="002F56" w:val="clear"/>
            <w:tcMar>
              <w:bottom w:w="31" w:type="dxa"/>
            </w:tcMar>
            <w:vAlign w:val="center"/>
          </w:tcPr>
          <w:p>
            <w:pPr>
              <w:pStyle w:val="TableContents"/>
              <w:bidi w:val="0"/>
              <w:spacing w:lineRule="atLeast" w:line="169" w:before="0" w:after="0"/>
              <w:jc w:val="center"/>
              <w:rPr/>
            </w:pPr>
            <w:r>
              <w:rPr>
                <w:spacing w:val="0"/>
              </w:rPr>
              <w:t xml:space="preserve">Grant </w:t>
              <w:br/>
              <w:t xml:space="preserve">Date </w:t>
              <w:br/>
              <w:t xml:space="preserve">Closing </w:t>
              <w:br/>
              <w:t>Price</w:t>
            </w:r>
            <w:r>
              <w:rPr/>
              <w:t xml:space="preserve"> </w:t>
              <w:br/>
            </w:r>
            <w:r>
              <w:rPr>
                <w:spacing w:val="-2"/>
              </w:rPr>
              <w:t xml:space="preserv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0" w:type="dxa"/>
            <w:gridSpan w:val="4"/>
            <w:vMerge w:val="restart"/>
            <w:tcBorders>
              <w:bottom w:val="single" w:sz="6" w:space="0" w:color="002F56"/>
            </w:tcBorders>
            <w:shd w:fill="002F56" w:val="clear"/>
            <w:tcMar>
              <w:bottom w:w="31" w:type="dxa"/>
            </w:tcMar>
            <w:vAlign w:val="center"/>
          </w:tcPr>
          <w:p>
            <w:pPr>
              <w:pStyle w:val="TableContents"/>
              <w:bidi w:val="0"/>
              <w:spacing w:lineRule="atLeast" w:line="142" w:before="0" w:after="0"/>
              <w:jc w:val="center"/>
              <w:rPr/>
            </w:pPr>
            <w:r>
              <w:rPr>
                <w:spacing w:val="0"/>
              </w:rPr>
              <w:t xml:space="preserve">Exercise or </w:t>
              <w:br/>
              <w:t xml:space="preserve">Base Price </w:t>
              <w:br/>
              <w:t xml:space="preserve">of Options </w:t>
              <w:br/>
              <w:t>Awards</w:t>
            </w:r>
            <w:r>
              <w:rPr>
                <w:spacing w:val="-1"/>
                <w:sz w:val="9"/>
              </w:rPr>
              <w:t>(5)</w:t>
            </w:r>
            <w:r>
              <w:rPr/>
              <w:t xml:space="preserve"> </w:t>
              <w:br/>
            </w:r>
            <w:r>
              <w:rPr>
                <w:spacing w:val="0"/>
              </w:rPr>
              <w:t xml:space="preserve">($/Sh)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510" w:type="dxa"/>
            <w:gridSpan w:val="4"/>
            <w:vMerge w:val="restart"/>
            <w:tcBorders>
              <w:bottom w:val="single" w:sz="6" w:space="0" w:color="002F56"/>
            </w:tcBorders>
            <w:shd w:fill="002F56" w:val="clear"/>
            <w:tcMar>
              <w:bottom w:w="31" w:type="dxa"/>
            </w:tcMar>
            <w:vAlign w:val="center"/>
          </w:tcPr>
          <w:p>
            <w:pPr>
              <w:pStyle w:val="TableContents"/>
              <w:bidi w:val="0"/>
              <w:spacing w:lineRule="atLeast" w:line="142" w:before="0" w:after="0"/>
              <w:jc w:val="center"/>
              <w:rPr/>
            </w:pPr>
            <w:r>
              <w:rPr>
                <w:spacing w:val="0"/>
              </w:rPr>
              <w:t xml:space="preserve">Grant Date </w:t>
              <w:br/>
              <w:t xml:space="preserve">Fair Value </w:t>
              <w:br/>
              <w:t xml:space="preserve">of Stock </w:t>
              <w:br/>
              <w:t xml:space="preserve">and </w:t>
              <w:br/>
              <w:t xml:space="preserve">Options </w:t>
              <w:br/>
              <w:t>Awards</w:t>
            </w:r>
            <w:r>
              <w:rPr>
                <w:spacing w:val="-1"/>
                <w:sz w:val="9"/>
              </w:rPr>
              <w:t>(6)</w:t>
            </w:r>
            <w:r>
              <w:rPr/>
              <w:t xml:space="preserve"> </w:t>
              <w:br/>
            </w:r>
            <w:r>
              <w:rPr>
                <w:spacing w:val="-2"/>
              </w:rPr>
              <w:t xml:space="preserve">($) </w:t>
            </w:r>
          </w:p>
        </w:tc>
        <w:tc>
          <w:tcPr>
            <w:tcW w:w="154" w:type="dxa"/>
            <w:vMerge w:val="restart"/>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continue"/>
            <w:tcBorders>
              <w:bottom w:val="single" w:sz="6" w:space="0" w:color="002F56"/>
            </w:tcBorders>
            <w:shd w:fill="002F56" w:val="clear"/>
            <w:vAlign w:val="center"/>
          </w:tcPr>
          <w:p>
            <w:pPr>
              <w:pStyle w:val="Normal"/>
              <w:bidi w:val="0"/>
              <w:jc w:val="left"/>
              <w:rPr/>
            </w:pPr>
            <w:r>
              <w:rPr/>
            </w:r>
          </w:p>
        </w:tc>
        <w:tc>
          <w:tcPr>
            <w:tcW w:w="1000" w:type="dxa"/>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153"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306"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510" w:type="dxa"/>
            <w:gridSpan w:val="4"/>
            <w:tcBorders>
              <w:bottom w:val="single" w:sz="6" w:space="0" w:color="002F56"/>
            </w:tcBorders>
            <w:shd w:fill="002F56" w:val="cle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510" w:type="dxa"/>
            <w:gridSpan w:val="4"/>
            <w:tcBorders>
              <w:bottom w:val="single" w:sz="6" w:space="0" w:color="002F56"/>
            </w:tcBorders>
            <w:shd w:fill="002F56" w:val="cle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510" w:type="dxa"/>
            <w:gridSpan w:val="4"/>
            <w:tcBorders>
              <w:bottom w:val="single" w:sz="6" w:space="0" w:color="002F56"/>
            </w:tcBorders>
            <w:shd w:fill="002F56" w:val="cle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3"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186"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0"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0"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510" w:type="dxa"/>
            <w:gridSpan w:val="4"/>
            <w:vMerge w:val="continue"/>
            <w:tcBorders>
              <w:bottom w:val="single" w:sz="6" w:space="0" w:color="002F56"/>
            </w:tcBorders>
            <w:shd w:fill="002F56" w:val="clear"/>
            <w:tcMar>
              <w:bottom w:w="31" w:type="dxa"/>
            </w:tcMar>
            <w:vAlign w:val="center"/>
          </w:tcPr>
          <w:p>
            <w:pPr>
              <w:pStyle w:val="Normal"/>
              <w:bidi w:val="0"/>
              <w:jc w:val="left"/>
              <w:rPr/>
            </w:pPr>
            <w:r>
              <w:rPr/>
            </w:r>
          </w:p>
        </w:tc>
        <w:tc>
          <w:tcPr>
            <w:tcW w:w="154" w:type="dxa"/>
            <w:vMerge w:val="continue"/>
            <w:tcBorders>
              <w:bottom w:val="single" w:sz="6" w:space="0" w:color="002F56"/>
            </w:tcBorders>
            <w:shd w:fill="002F56" w:val="clear"/>
            <w:vAlign w:val="center"/>
          </w:tcPr>
          <w:p>
            <w:pPr>
              <w:pStyle w:val="Normal"/>
              <w:bidi w:val="0"/>
              <w:jc w:val="left"/>
              <w:rPr/>
            </w:pPr>
            <w:r>
              <w:rPr/>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000" w:type="dxa"/>
            <w:vMerge w:val="restart"/>
            <w:tcBorders>
              <w:bottom w:val="single" w:sz="2" w:space="0" w:color="002F56"/>
            </w:tcBorders>
            <w:tcMar>
              <w:bottom w:w="41" w:type="dxa"/>
            </w:tcMar>
            <w:vAlign w:val="center"/>
          </w:tcPr>
          <w:p>
            <w:pPr>
              <w:pStyle w:val="TableContents"/>
              <w:bidi w:val="0"/>
              <w:spacing w:lineRule="atLeast" w:line="176" w:before="0" w:after="0"/>
              <w:jc w:val="left"/>
              <w:rPr>
                <w:spacing w:val="-1"/>
              </w:rPr>
            </w:pPr>
            <w:r>
              <w:rPr>
                <w:spacing w:val="-1"/>
              </w:rPr>
              <w:t xml:space="preserve">D.T. Dietrich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0"/>
              <w:jc w:val="right"/>
              <w:rPr/>
            </w:pPr>
            <w:r>
              <w:rPr/>
              <w:t>​</w:t>
            </w:r>
          </w:p>
        </w:tc>
        <w:tc>
          <w:tcPr>
            <w:tcW w:w="826" w:type="dxa"/>
            <w:tcBorders>
              <w:bottom w:val="single" w:sz="6" w:space="0" w:color="CCCCCC"/>
            </w:tcBorders>
            <w:tcMar>
              <w:bottom w:w="41" w:type="dxa"/>
            </w:tcMar>
            <w:vAlign w:val="center"/>
          </w:tcPr>
          <w:p>
            <w:pPr>
              <w:pStyle w:val="TableContents"/>
              <w:bidi w:val="0"/>
              <w:spacing w:lineRule="atLeast" w:line="176" w:before="0" w:after="0"/>
              <w:jc w:val="right"/>
              <w:rPr/>
            </w:pPr>
            <w:r>
              <w:rPr/>
              <w:t>      </w:t>
            </w:r>
            <w:r>
              <w:rPr>
                <w:sz w:val="9"/>
              </w:rPr>
              <w:t>(1)</w:t>
            </w:r>
            <w:r>
              <w:rPr>
                <w:sz w:val="11"/>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915"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328,125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1,312,500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2,625,000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7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831"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r>
              <w:rPr>
                <w:sz w:val="9"/>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28,875</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1,828,750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2,887,500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8,662,500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30,098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2,310,022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50" w:type="dxa"/>
            </w:tcMar>
            <w:vAlign w:val="center"/>
          </w:tcPr>
          <w:p>
            <w:pPr>
              <w:pStyle w:val="TableContents"/>
              <w:bidi w:val="0"/>
              <w:spacing w:before="0" w:after="283"/>
              <w:jc w:val="right"/>
              <w:rPr/>
            </w:pPr>
            <w:r>
              <w:rPr/>
              <w:t>​</w:t>
            </w:r>
          </w:p>
        </w:tc>
        <w:tc>
          <w:tcPr>
            <w:tcW w:w="826" w:type="dxa"/>
            <w:tcBorders>
              <w:bottom w:val="single" w:sz="6" w:space="0" w:color="002F56"/>
            </w:tcBorders>
            <w:tcMar>
              <w:bottom w:w="50" w:type="dxa"/>
            </w:tcMar>
            <w:vAlign w:val="center"/>
          </w:tcPr>
          <w:p>
            <w:pPr>
              <w:pStyle w:val="TableContents"/>
              <w:bidi w:val="0"/>
              <w:spacing w:before="0" w:after="283"/>
              <w:jc w:val="right"/>
              <w:rPr/>
            </w:pPr>
            <w:r>
              <w:rPr/>
              <w:t>1/21/2025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right"/>
              <w:rPr/>
            </w:pPr>
            <w:r>
              <w:rPr/>
              <w:t>​</w:t>
            </w:r>
          </w:p>
        </w:tc>
        <w:tc>
          <w:tcPr>
            <w:tcW w:w="915"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tcMar>
              <w:bottom w:w="50" w:type="dxa"/>
            </w:tcMar>
            <w:vAlign w:val="center"/>
          </w:tcPr>
          <w:p>
            <w:pPr>
              <w:pStyle w:val="TableContents"/>
              <w:bidi w:val="0"/>
              <w:spacing w:before="0" w:after="283"/>
              <w:jc w:val="right"/>
              <w:rPr/>
            </w:pPr>
            <w:r>
              <w:rPr/>
              <w:t>​</w:t>
            </w:r>
          </w:p>
        </w:tc>
        <w:tc>
          <w:tcPr>
            <w:tcW w:w="831" w:type="dxa"/>
            <w:tcBorders>
              <w:bottom w:val="single" w:sz="6" w:space="0" w:color="002F56"/>
            </w:tcBorders>
            <w:tcMar>
              <w:bottom w:w="50" w:type="dxa"/>
            </w:tcMar>
            <w:vAlign w:val="center"/>
          </w:tcPr>
          <w:p>
            <w:pPr>
              <w:pStyle w:val="TableContents"/>
              <w:bidi w:val="0"/>
              <w:spacing w:before="0" w:after="283"/>
              <w:jc w:val="right"/>
              <w:rPr/>
            </w:pPr>
            <w:r>
              <w:rPr/>
              <w:t>25,848</w:t>
            </w:r>
          </w:p>
        </w:tc>
        <w:tc>
          <w:tcPr>
            <w:tcW w:w="11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77.06</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76.75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1066" w:type="dxa"/>
            <w:tcBorders>
              <w:bottom w:val="single" w:sz="6" w:space="0" w:color="002F56"/>
            </w:tcBorders>
            <w:tcMar>
              <w:bottom w:w="50" w:type="dxa"/>
            </w:tcMar>
            <w:vAlign w:val="center"/>
          </w:tcPr>
          <w:p>
            <w:pPr>
              <w:pStyle w:val="TableContents"/>
              <w:bidi w:val="0"/>
              <w:spacing w:before="0" w:after="283"/>
              <w:jc w:val="right"/>
              <w:rPr/>
            </w:pPr>
            <w:r>
              <w:rPr/>
              <w:t xml:space="preserve">768,803 </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000" w:type="dxa"/>
            <w:vMerge w:val="restart"/>
            <w:tcBorders>
              <w:bottom w:val="single" w:sz="2" w:space="0" w:color="002F56"/>
            </w:tcBorders>
            <w:tcMar>
              <w:bottom w:w="41" w:type="dxa"/>
            </w:tcMar>
            <w:vAlign w:val="center"/>
          </w:tcPr>
          <w:p>
            <w:pPr>
              <w:pStyle w:val="TableContents"/>
              <w:bidi w:val="0"/>
              <w:spacing w:lineRule="atLeast" w:line="176" w:before="0" w:after="0"/>
              <w:jc w:val="left"/>
              <w:rPr>
                <w:spacing w:val="-1"/>
              </w:rPr>
            </w:pPr>
            <w:r>
              <w:rPr>
                <w:spacing w:val="-1"/>
              </w:rPr>
              <w:t xml:space="preserve">E.C. Aldag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0"/>
              <w:jc w:val="right"/>
              <w:rPr/>
            </w:pPr>
            <w:r>
              <w:rPr/>
              <w:t>​</w:t>
            </w:r>
          </w:p>
        </w:tc>
        <w:tc>
          <w:tcPr>
            <w:tcW w:w="826" w:type="dxa"/>
            <w:tcBorders>
              <w:bottom w:val="single" w:sz="6" w:space="0" w:color="CCCCCC"/>
            </w:tcBorders>
            <w:tcMar>
              <w:bottom w:w="41" w:type="dxa"/>
            </w:tcMar>
            <w:vAlign w:val="center"/>
          </w:tcPr>
          <w:p>
            <w:pPr>
              <w:pStyle w:val="TableContents"/>
              <w:bidi w:val="0"/>
              <w:spacing w:lineRule="atLeast" w:line="176" w:before="0" w:after="0"/>
              <w:jc w:val="right"/>
              <w:rPr/>
            </w:pPr>
            <w:r>
              <w:rPr/>
              <w:t>      </w:t>
            </w:r>
            <w:r>
              <w:rPr>
                <w:sz w:val="9"/>
              </w:rPr>
              <w:t>(1)</w:t>
            </w:r>
            <w:r>
              <w:rPr>
                <w:sz w:val="11"/>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915"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107,663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430,650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 xml:space="preserve">861,300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7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831"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r>
              <w:rPr>
                <w:sz w:val="9"/>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 xml:space="preserve">6,460 </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409,133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646,000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1,938,000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6,733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516,758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50" w:type="dxa"/>
            </w:tcMar>
            <w:vAlign w:val="center"/>
          </w:tcPr>
          <w:p>
            <w:pPr>
              <w:pStyle w:val="TableContents"/>
              <w:bidi w:val="0"/>
              <w:spacing w:before="0" w:after="283"/>
              <w:jc w:val="right"/>
              <w:rPr/>
            </w:pPr>
            <w:r>
              <w:rPr/>
              <w:t>​</w:t>
            </w:r>
          </w:p>
        </w:tc>
        <w:tc>
          <w:tcPr>
            <w:tcW w:w="826" w:type="dxa"/>
            <w:tcBorders>
              <w:bottom w:val="single" w:sz="6" w:space="0" w:color="002F56"/>
            </w:tcBorders>
            <w:tcMar>
              <w:bottom w:w="50" w:type="dxa"/>
            </w:tcMar>
            <w:vAlign w:val="center"/>
          </w:tcPr>
          <w:p>
            <w:pPr>
              <w:pStyle w:val="TableContents"/>
              <w:bidi w:val="0"/>
              <w:spacing w:before="0" w:after="283"/>
              <w:jc w:val="right"/>
              <w:rPr/>
            </w:pPr>
            <w:r>
              <w:rPr/>
              <w:t>1/21/2025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right"/>
              <w:rPr/>
            </w:pPr>
            <w:r>
              <w:rPr/>
              <w:t>​</w:t>
            </w:r>
          </w:p>
        </w:tc>
        <w:tc>
          <w:tcPr>
            <w:tcW w:w="915"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tcMar>
              <w:bottom w:w="50" w:type="dxa"/>
            </w:tcMar>
            <w:vAlign w:val="center"/>
          </w:tcPr>
          <w:p>
            <w:pPr>
              <w:pStyle w:val="TableContents"/>
              <w:bidi w:val="0"/>
              <w:spacing w:before="0" w:after="283"/>
              <w:jc w:val="right"/>
              <w:rPr/>
            </w:pPr>
            <w:r>
              <w:rPr/>
              <w:t>​</w:t>
            </w:r>
          </w:p>
        </w:tc>
        <w:tc>
          <w:tcPr>
            <w:tcW w:w="831" w:type="dxa"/>
            <w:tcBorders>
              <w:bottom w:val="single" w:sz="6" w:space="0" w:color="002F56"/>
            </w:tcBorders>
            <w:tcMar>
              <w:bottom w:w="50" w:type="dxa"/>
            </w:tcMar>
            <w:vAlign w:val="center"/>
          </w:tcPr>
          <w:p>
            <w:pPr>
              <w:pStyle w:val="TableContents"/>
              <w:bidi w:val="0"/>
              <w:spacing w:before="0" w:after="283"/>
              <w:jc w:val="right"/>
              <w:rPr/>
            </w:pPr>
            <w:r>
              <w:rPr/>
              <w:t>5,783</w:t>
            </w:r>
          </w:p>
        </w:tc>
        <w:tc>
          <w:tcPr>
            <w:tcW w:w="11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77.06</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76.75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1066" w:type="dxa"/>
            <w:tcBorders>
              <w:bottom w:val="single" w:sz="6" w:space="0" w:color="002F56"/>
            </w:tcBorders>
            <w:tcMar>
              <w:bottom w:w="50" w:type="dxa"/>
            </w:tcMar>
            <w:vAlign w:val="center"/>
          </w:tcPr>
          <w:p>
            <w:pPr>
              <w:pStyle w:val="TableContents"/>
              <w:bidi w:val="0"/>
              <w:spacing w:before="0" w:after="283"/>
              <w:jc w:val="right"/>
              <w:rPr/>
            </w:pPr>
            <w:r>
              <w:rPr/>
              <w:t xml:space="preserve">172,005 </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000" w:type="dxa"/>
            <w:vMerge w:val="restart"/>
            <w:tcBorders>
              <w:bottom w:val="single" w:sz="2" w:space="0" w:color="002F56"/>
            </w:tcBorders>
            <w:tcMar>
              <w:bottom w:w="41" w:type="dxa"/>
            </w:tcMar>
            <w:vAlign w:val="center"/>
          </w:tcPr>
          <w:p>
            <w:pPr>
              <w:pStyle w:val="TableContents"/>
              <w:bidi w:val="0"/>
              <w:spacing w:lineRule="atLeast" w:line="176" w:before="0" w:after="0"/>
              <w:jc w:val="left"/>
              <w:rPr>
                <w:spacing w:val="-1"/>
              </w:rPr>
            </w:pPr>
            <w:r>
              <w:rPr>
                <w:spacing w:val="-1"/>
              </w:rPr>
              <w:t xml:space="preserve">D.J. Monagle, III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0"/>
              <w:jc w:val="right"/>
              <w:rPr/>
            </w:pPr>
            <w:r>
              <w:rPr/>
              <w:t>​</w:t>
            </w:r>
          </w:p>
        </w:tc>
        <w:tc>
          <w:tcPr>
            <w:tcW w:w="826" w:type="dxa"/>
            <w:tcBorders>
              <w:bottom w:val="single" w:sz="6" w:space="0" w:color="CCCCCC"/>
            </w:tcBorders>
            <w:tcMar>
              <w:bottom w:w="41" w:type="dxa"/>
            </w:tcMar>
            <w:vAlign w:val="center"/>
          </w:tcPr>
          <w:p>
            <w:pPr>
              <w:pStyle w:val="TableContents"/>
              <w:bidi w:val="0"/>
              <w:spacing w:lineRule="atLeast" w:line="176" w:before="0" w:after="0"/>
              <w:jc w:val="right"/>
              <w:rPr/>
            </w:pPr>
            <w:r>
              <w:rPr/>
              <w:t>      </w:t>
            </w:r>
            <w:r>
              <w:rPr>
                <w:sz w:val="9"/>
              </w:rPr>
              <w:t>(1)</w:t>
            </w:r>
            <w:r>
              <w:rPr>
                <w:sz w:val="11"/>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915"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 xml:space="preserve">132,241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 xml:space="preserve">528,964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 xml:space="preserve">1,057,928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7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831"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r>
              <w:rPr>
                <w:sz w:val="9"/>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 xml:space="preserve">10,050 </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636,500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1,005,000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3,015,000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10,476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804,033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50" w:type="dxa"/>
            </w:tcMar>
            <w:vAlign w:val="center"/>
          </w:tcPr>
          <w:p>
            <w:pPr>
              <w:pStyle w:val="TableContents"/>
              <w:bidi w:val="0"/>
              <w:spacing w:before="0" w:after="283"/>
              <w:jc w:val="right"/>
              <w:rPr/>
            </w:pPr>
            <w:r>
              <w:rPr/>
              <w:t>​</w:t>
            </w:r>
          </w:p>
        </w:tc>
        <w:tc>
          <w:tcPr>
            <w:tcW w:w="826" w:type="dxa"/>
            <w:tcBorders>
              <w:bottom w:val="single" w:sz="6" w:space="0" w:color="002F56"/>
            </w:tcBorders>
            <w:tcMar>
              <w:bottom w:w="50" w:type="dxa"/>
            </w:tcMar>
            <w:vAlign w:val="center"/>
          </w:tcPr>
          <w:p>
            <w:pPr>
              <w:pStyle w:val="TableContents"/>
              <w:bidi w:val="0"/>
              <w:spacing w:before="0" w:after="283"/>
              <w:jc w:val="right"/>
              <w:rPr/>
            </w:pPr>
            <w:r>
              <w:rPr/>
              <w:t>1/21/2025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right"/>
              <w:rPr/>
            </w:pPr>
            <w:r>
              <w:rPr/>
              <w:t>​</w:t>
            </w:r>
          </w:p>
        </w:tc>
        <w:tc>
          <w:tcPr>
            <w:tcW w:w="915"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tcMar>
              <w:bottom w:w="50" w:type="dxa"/>
            </w:tcMar>
            <w:vAlign w:val="center"/>
          </w:tcPr>
          <w:p>
            <w:pPr>
              <w:pStyle w:val="TableContents"/>
              <w:bidi w:val="0"/>
              <w:spacing w:before="0" w:after="283"/>
              <w:jc w:val="right"/>
              <w:rPr/>
            </w:pPr>
            <w:r>
              <w:rPr/>
              <w:t>​</w:t>
            </w:r>
          </w:p>
        </w:tc>
        <w:tc>
          <w:tcPr>
            <w:tcW w:w="831" w:type="dxa"/>
            <w:tcBorders>
              <w:bottom w:val="single" w:sz="6" w:space="0" w:color="002F56"/>
            </w:tcBorders>
            <w:tcMar>
              <w:bottom w:w="50" w:type="dxa"/>
            </w:tcMar>
            <w:vAlign w:val="center"/>
          </w:tcPr>
          <w:p>
            <w:pPr>
              <w:pStyle w:val="TableContents"/>
              <w:bidi w:val="0"/>
              <w:spacing w:before="0" w:after="283"/>
              <w:jc w:val="right"/>
              <w:rPr/>
            </w:pPr>
            <w:r>
              <w:rPr/>
              <w:t>8,997</w:t>
            </w:r>
          </w:p>
        </w:tc>
        <w:tc>
          <w:tcPr>
            <w:tcW w:w="11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77.06</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76.75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1066" w:type="dxa"/>
            <w:tcBorders>
              <w:bottom w:val="single" w:sz="6" w:space="0" w:color="002F56"/>
            </w:tcBorders>
            <w:tcMar>
              <w:bottom w:w="50" w:type="dxa"/>
            </w:tcMar>
            <w:vAlign w:val="center"/>
          </w:tcPr>
          <w:p>
            <w:pPr>
              <w:pStyle w:val="TableContents"/>
              <w:bidi w:val="0"/>
              <w:spacing w:before="0" w:after="283"/>
              <w:jc w:val="right"/>
              <w:rPr/>
            </w:pPr>
            <w:r>
              <w:rPr/>
              <w:t xml:space="preserve">267,600 </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000" w:type="dxa"/>
            <w:vMerge w:val="restart"/>
            <w:tcBorders>
              <w:bottom w:val="single" w:sz="2" w:space="0" w:color="002F56"/>
            </w:tcBorders>
            <w:tcMar>
              <w:bottom w:w="41" w:type="dxa"/>
            </w:tcMar>
            <w:vAlign w:val="center"/>
          </w:tcPr>
          <w:p>
            <w:pPr>
              <w:pStyle w:val="TableContents"/>
              <w:bidi w:val="0"/>
              <w:spacing w:lineRule="atLeast" w:line="176" w:before="0" w:after="0"/>
              <w:jc w:val="left"/>
              <w:rPr>
                <w:spacing w:val="-1"/>
              </w:rPr>
            </w:pPr>
            <w:r>
              <w:rPr>
                <w:spacing w:val="-1"/>
              </w:rPr>
              <w:t xml:space="preserve">B. Argirakis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0"/>
              <w:jc w:val="right"/>
              <w:rPr/>
            </w:pPr>
            <w:r>
              <w:rPr/>
              <w:t>​</w:t>
            </w:r>
          </w:p>
        </w:tc>
        <w:tc>
          <w:tcPr>
            <w:tcW w:w="826" w:type="dxa"/>
            <w:tcBorders>
              <w:bottom w:val="single" w:sz="6" w:space="0" w:color="CCCCCC"/>
            </w:tcBorders>
            <w:tcMar>
              <w:bottom w:w="41" w:type="dxa"/>
            </w:tcMar>
            <w:vAlign w:val="center"/>
          </w:tcPr>
          <w:p>
            <w:pPr>
              <w:pStyle w:val="TableContents"/>
              <w:bidi w:val="0"/>
              <w:spacing w:lineRule="atLeast" w:line="176" w:before="0" w:after="0"/>
              <w:jc w:val="right"/>
              <w:rPr/>
            </w:pPr>
            <w:r>
              <w:rPr/>
              <w:t>      </w:t>
            </w:r>
            <w:r>
              <w:rPr>
                <w:sz w:val="9"/>
              </w:rPr>
              <w:t>(1)</w:t>
            </w:r>
            <w:r>
              <w:rPr>
                <w:sz w:val="11"/>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915"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126,751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507,003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1,014,006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7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831"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r>
              <w:rPr>
                <w:sz w:val="9"/>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8,957</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567,277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895,700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2,687,100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9,336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716,538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00" w:type="dxa"/>
            <w:vMerge w:val="continue"/>
            <w:tcBorders>
              <w:bottom w:val="single" w:sz="2" w:space="0" w:color="002F56"/>
            </w:tcBorders>
            <w:tcMar>
              <w:bottom w:w="41"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50" w:type="dxa"/>
            </w:tcMar>
            <w:vAlign w:val="center"/>
          </w:tcPr>
          <w:p>
            <w:pPr>
              <w:pStyle w:val="TableContents"/>
              <w:bidi w:val="0"/>
              <w:spacing w:before="0" w:after="283"/>
              <w:jc w:val="right"/>
              <w:rPr/>
            </w:pPr>
            <w:r>
              <w:rPr/>
              <w:t>​</w:t>
            </w:r>
          </w:p>
        </w:tc>
        <w:tc>
          <w:tcPr>
            <w:tcW w:w="826" w:type="dxa"/>
            <w:tcBorders>
              <w:bottom w:val="single" w:sz="6" w:space="0" w:color="002F56"/>
            </w:tcBorders>
            <w:tcMar>
              <w:bottom w:w="50" w:type="dxa"/>
            </w:tcMar>
            <w:vAlign w:val="center"/>
          </w:tcPr>
          <w:p>
            <w:pPr>
              <w:pStyle w:val="TableContents"/>
              <w:bidi w:val="0"/>
              <w:spacing w:before="0" w:after="283"/>
              <w:jc w:val="right"/>
              <w:rPr/>
            </w:pPr>
            <w:r>
              <w:rPr/>
              <w:t>1/21/2025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left"/>
              <w:rPr/>
            </w:pPr>
            <w:r>
              <w:rPr/>
              <w:t>​</w:t>
            </w:r>
          </w:p>
        </w:tc>
        <w:tc>
          <w:tcPr>
            <w:tcW w:w="130" w:type="dxa"/>
            <w:tcBorders>
              <w:bottom w:val="single" w:sz="6" w:space="0" w:color="002F56"/>
            </w:tcBorders>
            <w:vAlign w:val="center"/>
          </w:tcPr>
          <w:p>
            <w:pPr>
              <w:pStyle w:val="TableContents"/>
              <w:bidi w:val="0"/>
              <w:spacing w:before="0" w:after="283"/>
              <w:jc w:val="right"/>
              <w:rPr/>
            </w:pPr>
            <w:r>
              <w:rPr/>
              <w:t>​</w:t>
            </w:r>
          </w:p>
        </w:tc>
        <w:tc>
          <w:tcPr>
            <w:tcW w:w="915"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vAlign w:val="center"/>
          </w:tcPr>
          <w:p>
            <w:pPr>
              <w:pStyle w:val="TableContents"/>
              <w:bidi w:val="0"/>
              <w:spacing w:before="0" w:after="283"/>
              <w:jc w:val="right"/>
              <w:rPr/>
            </w:pPr>
            <w:r>
              <w:rPr/>
              <w:t>​</w:t>
            </w:r>
          </w:p>
        </w:tc>
        <w:tc>
          <w:tcPr>
            <w:tcW w:w="10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vAlign w:val="center"/>
          </w:tcPr>
          <w:p>
            <w:pPr>
              <w:pStyle w:val="TableContents"/>
              <w:bidi w:val="0"/>
              <w:spacing w:before="0" w:after="283"/>
              <w:jc w:val="left"/>
              <w:rPr/>
            </w:pPr>
            <w:r>
              <w:rPr/>
              <w:t>​</w:t>
            </w:r>
          </w:p>
        </w:tc>
        <w:tc>
          <w:tcPr>
            <w:tcW w:w="118" w:type="dxa"/>
            <w:tcBorders>
              <w:bottom w:val="single" w:sz="6" w:space="0" w:color="002F56"/>
            </w:tcBorders>
            <w:tcMar>
              <w:bottom w:w="50" w:type="dxa"/>
            </w:tcMar>
            <w:vAlign w:val="center"/>
          </w:tcPr>
          <w:p>
            <w:pPr>
              <w:pStyle w:val="TableContents"/>
              <w:bidi w:val="0"/>
              <w:spacing w:before="0" w:after="283"/>
              <w:jc w:val="right"/>
              <w:rPr/>
            </w:pPr>
            <w:r>
              <w:rPr/>
              <w:t>​</w:t>
            </w:r>
          </w:p>
        </w:tc>
        <w:tc>
          <w:tcPr>
            <w:tcW w:w="831" w:type="dxa"/>
            <w:tcBorders>
              <w:bottom w:val="single" w:sz="6" w:space="0" w:color="002F56"/>
            </w:tcBorders>
            <w:tcMar>
              <w:bottom w:w="50" w:type="dxa"/>
            </w:tcMar>
            <w:vAlign w:val="center"/>
          </w:tcPr>
          <w:p>
            <w:pPr>
              <w:pStyle w:val="TableContents"/>
              <w:bidi w:val="0"/>
              <w:spacing w:before="0" w:after="283"/>
              <w:jc w:val="right"/>
              <w:rPr/>
            </w:pPr>
            <w:r>
              <w:rPr/>
              <w:t>8,018</w:t>
            </w:r>
          </w:p>
        </w:tc>
        <w:tc>
          <w:tcPr>
            <w:tcW w:w="11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77.06</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646" w:type="dxa"/>
            <w:tcBorders>
              <w:bottom w:val="single" w:sz="6" w:space="0" w:color="002F56"/>
            </w:tcBorders>
            <w:tcMar>
              <w:bottom w:w="50" w:type="dxa"/>
            </w:tcMar>
            <w:vAlign w:val="center"/>
          </w:tcPr>
          <w:p>
            <w:pPr>
              <w:pStyle w:val="TableContents"/>
              <w:bidi w:val="0"/>
              <w:spacing w:before="0" w:after="283"/>
              <w:jc w:val="right"/>
              <w:rPr/>
            </w:pPr>
            <w:r>
              <w:rPr/>
              <w:t>76.75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6" w:type="dxa"/>
            <w:tcBorders>
              <w:bottom w:val="single" w:sz="6" w:space="0" w:color="002F56"/>
            </w:tcBorders>
            <w:tcMar>
              <w:bottom w:w="50" w:type="dxa"/>
            </w:tcMar>
            <w:vAlign w:val="center"/>
          </w:tcPr>
          <w:p>
            <w:pPr>
              <w:pStyle w:val="TableContents"/>
              <w:bidi w:val="0"/>
              <w:spacing w:before="0" w:after="283"/>
              <w:jc w:val="right"/>
              <w:rPr/>
            </w:pPr>
            <w:r>
              <w:rPr/>
              <w:t>$</w:t>
            </w:r>
          </w:p>
        </w:tc>
        <w:tc>
          <w:tcPr>
            <w:tcW w:w="1066" w:type="dxa"/>
            <w:tcBorders>
              <w:bottom w:val="single" w:sz="6" w:space="0" w:color="002F56"/>
            </w:tcBorders>
            <w:tcMar>
              <w:bottom w:w="50" w:type="dxa"/>
            </w:tcMar>
            <w:vAlign w:val="center"/>
          </w:tcPr>
          <w:p>
            <w:pPr>
              <w:pStyle w:val="TableContents"/>
              <w:bidi w:val="0"/>
              <w:spacing w:before="0" w:after="283"/>
              <w:jc w:val="right"/>
              <w:rPr/>
            </w:pPr>
            <w:r>
              <w:rPr/>
              <w:t xml:space="preserve">238,481 </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000" w:type="dxa"/>
            <w:vMerge w:val="restart"/>
            <w:tcBorders>
              <w:bottom w:val="single" w:sz="12" w:space="0" w:color="71B1C8"/>
            </w:tcBorders>
            <w:tcMar>
              <w:bottom w:w="50" w:type="dxa"/>
            </w:tcMar>
            <w:vAlign w:val="center"/>
          </w:tcPr>
          <w:p>
            <w:pPr>
              <w:pStyle w:val="TableContents"/>
              <w:bidi w:val="0"/>
              <w:spacing w:lineRule="atLeast" w:line="176" w:before="0" w:after="0"/>
              <w:jc w:val="left"/>
              <w:rPr>
                <w:spacing w:val="-1"/>
              </w:rPr>
            </w:pPr>
            <w:r>
              <w:rPr>
                <w:spacing w:val="-1"/>
              </w:rPr>
              <w:t xml:space="preserve">J. J. Hastings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0"/>
              <w:jc w:val="right"/>
              <w:rPr/>
            </w:pPr>
            <w:r>
              <w:rPr/>
              <w:t>​</w:t>
            </w:r>
          </w:p>
        </w:tc>
        <w:tc>
          <w:tcPr>
            <w:tcW w:w="826" w:type="dxa"/>
            <w:tcBorders>
              <w:bottom w:val="single" w:sz="6" w:space="0" w:color="CCCCCC"/>
            </w:tcBorders>
            <w:tcMar>
              <w:bottom w:w="41" w:type="dxa"/>
            </w:tcMar>
            <w:vAlign w:val="center"/>
          </w:tcPr>
          <w:p>
            <w:pPr>
              <w:pStyle w:val="TableContents"/>
              <w:bidi w:val="0"/>
              <w:spacing w:lineRule="atLeast" w:line="176" w:before="0" w:after="0"/>
              <w:jc w:val="right"/>
              <w:rPr/>
            </w:pPr>
            <w:r>
              <w:rPr/>
              <w:t>      </w:t>
            </w:r>
            <w:r>
              <w:rPr>
                <w:sz w:val="9"/>
              </w:rPr>
              <w:t>(1)</w:t>
            </w:r>
            <w:r>
              <w:rPr>
                <w:sz w:val="11"/>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915"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122,786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491,144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 xml:space="preserve">982,288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7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831"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64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66" w:type="dxa"/>
            <w:tcBorders>
              <w:bottom w:val="single" w:sz="6" w:space="0" w:color="CCCCCC"/>
            </w:tcBorders>
            <w:tcMar>
              <w:bottom w:w="41" w:type="dxa"/>
            </w:tcMar>
            <w:vAlign w:val="center"/>
          </w:tcPr>
          <w:p>
            <w:pPr>
              <w:pStyle w:val="TableContents"/>
              <w:bidi w:val="0"/>
              <w:spacing w:lineRule="atLeast" w:line="176"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00" w:type="dxa"/>
            <w:vMerge w:val="continue"/>
            <w:tcBorders>
              <w:bottom w:val="single" w:sz="12" w:space="0" w:color="71B1C8"/>
            </w:tcBorders>
            <w:tcMar>
              <w:bottom w:w="50"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r>
              <w:rPr>
                <w:sz w:val="9"/>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8,022</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508,060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802,200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2,406,600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00" w:type="dxa"/>
            <w:vMerge w:val="continue"/>
            <w:tcBorders>
              <w:bottom w:val="single" w:sz="12" w:space="0" w:color="71B1C8"/>
            </w:tcBorders>
            <w:tcMar>
              <w:bottom w:w="50"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826" w:type="dxa"/>
            <w:tcBorders>
              <w:bottom w:val="single" w:sz="6" w:space="0" w:color="CCCCCC"/>
            </w:tcBorders>
            <w:tcMar>
              <w:bottom w:w="58" w:type="dxa"/>
            </w:tcMar>
            <w:vAlign w:val="center"/>
          </w:tcPr>
          <w:p>
            <w:pPr>
              <w:pStyle w:val="TableContents"/>
              <w:bidi w:val="0"/>
              <w:spacing w:before="0" w:after="283"/>
              <w:jc w:val="right"/>
              <w:rPr/>
            </w:pPr>
            <w:r>
              <w:rPr/>
              <w:t>1/21/2025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vAlign w:val="center"/>
          </w:tcPr>
          <w:p>
            <w:pPr>
              <w:pStyle w:val="TableContents"/>
              <w:bidi w:val="0"/>
              <w:spacing w:before="0" w:after="283"/>
              <w:jc w:val="left"/>
              <w:rPr/>
            </w:pPr>
            <w:r>
              <w:rPr/>
              <w:t>​</w:t>
            </w:r>
          </w:p>
        </w:tc>
        <w:tc>
          <w:tcPr>
            <w:tcW w:w="130" w:type="dxa"/>
            <w:tcBorders>
              <w:bottom w:val="single" w:sz="6" w:space="0" w:color="CCCCCC"/>
            </w:tcBorders>
            <w:tcMar>
              <w:bottom w:w="58" w:type="dxa"/>
            </w:tcMar>
            <w:vAlign w:val="center"/>
          </w:tcPr>
          <w:p>
            <w:pPr>
              <w:pStyle w:val="TableContents"/>
              <w:bidi w:val="0"/>
              <w:spacing w:before="0" w:after="283"/>
              <w:jc w:val="right"/>
              <w:rPr/>
            </w:pPr>
            <w:r>
              <w:rPr/>
              <w:t>​</w:t>
            </w:r>
          </w:p>
        </w:tc>
        <w:tc>
          <w:tcPr>
            <w:tcW w:w="915" w:type="dxa"/>
            <w:tcBorders>
              <w:bottom w:val="single" w:sz="6" w:space="0" w:color="CCCCCC"/>
            </w:tcBorders>
            <w:tcMar>
              <w:bottom w:w="58"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8" w:type="dxa"/>
            </w:tcMar>
            <w:vAlign w:val="center"/>
          </w:tcPr>
          <w:p>
            <w:pPr>
              <w:pStyle w:val="TableContents"/>
              <w:bidi w:val="0"/>
              <w:spacing w:before="0" w:after="283"/>
              <w:jc w:val="right"/>
              <w:rPr/>
            </w:pPr>
            <w:r>
              <w:rPr/>
              <w:t>​</w:t>
            </w:r>
          </w:p>
        </w:tc>
        <w:tc>
          <w:tcPr>
            <w:tcW w:w="766" w:type="dxa"/>
            <w:tcBorders>
              <w:bottom w:val="single" w:sz="6" w:space="0" w:color="CCCCCC"/>
            </w:tcBorders>
            <w:tcMar>
              <w:bottom w:w="58" w:type="dxa"/>
            </w:tcMar>
            <w:vAlign w:val="center"/>
          </w:tcPr>
          <w:p>
            <w:pPr>
              <w:pStyle w:val="TableContents"/>
              <w:bidi w:val="0"/>
              <w:spacing w:before="0" w:after="283"/>
              <w:jc w:val="right"/>
              <w:rPr/>
            </w:pPr>
            <w:r>
              <w:rPr/>
              <w:t>8,362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vAlign w:val="center"/>
          </w:tcPr>
          <w:p>
            <w:pPr>
              <w:pStyle w:val="TableContents"/>
              <w:bidi w:val="0"/>
              <w:spacing w:before="0" w:after="283"/>
              <w:jc w:val="left"/>
              <w:rPr/>
            </w:pPr>
            <w:r>
              <w:rPr/>
              <w:t>​</w:t>
            </w:r>
          </w:p>
        </w:tc>
        <w:tc>
          <w:tcPr>
            <w:tcW w:w="118" w:type="dxa"/>
            <w:tcBorders>
              <w:bottom w:val="single" w:sz="6" w:space="0" w:color="CCCCCC"/>
            </w:tcBorders>
            <w:tcMar>
              <w:bottom w:w="58" w:type="dxa"/>
            </w:tcMar>
            <w:vAlign w:val="center"/>
          </w:tcPr>
          <w:p>
            <w:pPr>
              <w:pStyle w:val="TableContents"/>
              <w:bidi w:val="0"/>
              <w:spacing w:before="0" w:after="283"/>
              <w:jc w:val="right"/>
              <w:rPr/>
            </w:pPr>
            <w:r>
              <w:rPr/>
              <w:t>​</w:t>
            </w:r>
          </w:p>
        </w:tc>
        <w:tc>
          <w:tcPr>
            <w:tcW w:w="831" w:type="dxa"/>
            <w:tcBorders>
              <w:bottom w:val="single" w:sz="6" w:space="0" w:color="CCCCCC"/>
            </w:tcBorders>
            <w:tcMar>
              <w:bottom w:w="58" w:type="dxa"/>
            </w:tcMar>
            <w:vAlign w:val="center"/>
          </w:tcPr>
          <w:p>
            <w:pPr>
              <w:pStyle w:val="TableContents"/>
              <w:bidi w:val="0"/>
              <w:spacing w:before="0" w:after="283"/>
              <w:jc w:val="right"/>
              <w:rPr/>
            </w:pPr>
            <w:r>
              <w:rPr/>
              <w:t>​</w:t>
            </w:r>
          </w:p>
        </w:tc>
        <w:tc>
          <w:tcPr>
            <w:tcW w:w="11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646" w:type="dxa"/>
            <w:tcBorders>
              <w:bottom w:val="single" w:sz="6" w:space="0" w:color="CCCCCC"/>
            </w:tcBorders>
            <w:tcMar>
              <w:bottom w:w="58"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6" w:type="dxa"/>
            <w:tcBorders>
              <w:bottom w:val="single" w:sz="6" w:space="0" w:color="CCCCCC"/>
            </w:tcBorders>
            <w:tcMar>
              <w:bottom w:w="58" w:type="dxa"/>
            </w:tcMar>
            <w:vAlign w:val="center"/>
          </w:tcPr>
          <w:p>
            <w:pPr>
              <w:pStyle w:val="TableContents"/>
              <w:bidi w:val="0"/>
              <w:spacing w:before="0" w:after="283"/>
              <w:jc w:val="right"/>
              <w:rPr/>
            </w:pPr>
            <w:r>
              <w:rPr/>
              <w:t>$</w:t>
            </w:r>
          </w:p>
        </w:tc>
        <w:tc>
          <w:tcPr>
            <w:tcW w:w="1066" w:type="dxa"/>
            <w:tcBorders>
              <w:bottom w:val="single" w:sz="6" w:space="0" w:color="CCCCCC"/>
            </w:tcBorders>
            <w:tcMar>
              <w:bottom w:w="58" w:type="dxa"/>
            </w:tcMar>
            <w:vAlign w:val="center"/>
          </w:tcPr>
          <w:p>
            <w:pPr>
              <w:pStyle w:val="TableContents"/>
              <w:bidi w:val="0"/>
              <w:spacing w:before="0" w:after="283"/>
              <w:jc w:val="right"/>
              <w:rPr/>
            </w:pPr>
            <w:r>
              <w:rPr/>
              <w:t xml:space="preserve">641,784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00" w:type="dxa"/>
            <w:vMerge w:val="continue"/>
            <w:tcBorders>
              <w:bottom w:val="single" w:sz="12" w:space="0" w:color="71B1C8"/>
            </w:tcBorders>
            <w:tcMar>
              <w:bottom w:w="50"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51" w:type="dxa"/>
            </w:tcMar>
            <w:vAlign w:val="center"/>
          </w:tcPr>
          <w:p>
            <w:pPr>
              <w:pStyle w:val="TableContents"/>
              <w:bidi w:val="0"/>
              <w:spacing w:before="0" w:after="283"/>
              <w:jc w:val="right"/>
              <w:rPr/>
            </w:pPr>
            <w:r>
              <w:rPr/>
              <w:t>​</w:t>
            </w:r>
          </w:p>
        </w:tc>
        <w:tc>
          <w:tcPr>
            <w:tcW w:w="826" w:type="dxa"/>
            <w:tcBorders>
              <w:bottom w:val="single" w:sz="12" w:space="0" w:color="71B1C8"/>
            </w:tcBorders>
            <w:tcMar>
              <w:bottom w:w="51" w:type="dxa"/>
            </w:tcMar>
            <w:vAlign w:val="center"/>
          </w:tcPr>
          <w:p>
            <w:pPr>
              <w:pStyle w:val="TableContents"/>
              <w:bidi w:val="0"/>
              <w:spacing w:before="0" w:after="283"/>
              <w:jc w:val="right"/>
              <w:rPr/>
            </w:pPr>
            <w:r>
              <w:rPr/>
              <w:t>1/21/2025</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30" w:type="dxa"/>
            <w:tcBorders>
              <w:bottom w:val="single" w:sz="12" w:space="0" w:color="71B1C8"/>
            </w:tcBorders>
            <w:vAlign w:val="center"/>
          </w:tcPr>
          <w:p>
            <w:pPr>
              <w:pStyle w:val="TableContents"/>
              <w:bidi w:val="0"/>
              <w:spacing w:before="0" w:after="283"/>
              <w:jc w:val="left"/>
              <w:rPr/>
            </w:pPr>
            <w:r>
              <w:rPr/>
              <w:t>​</w:t>
            </w:r>
          </w:p>
        </w:tc>
        <w:tc>
          <w:tcPr>
            <w:tcW w:w="130" w:type="dxa"/>
            <w:tcBorders>
              <w:bottom w:val="single" w:sz="12" w:space="0" w:color="71B1C8"/>
            </w:tcBorders>
            <w:tcMar>
              <w:bottom w:w="51" w:type="dxa"/>
            </w:tcMar>
            <w:vAlign w:val="center"/>
          </w:tcPr>
          <w:p>
            <w:pPr>
              <w:pStyle w:val="TableContents"/>
              <w:bidi w:val="0"/>
              <w:spacing w:before="0" w:after="283"/>
              <w:jc w:val="right"/>
              <w:rPr/>
            </w:pPr>
            <w:r>
              <w:rPr/>
              <w:t>​</w:t>
            </w:r>
          </w:p>
        </w:tc>
        <w:tc>
          <w:tcPr>
            <w:tcW w:w="915" w:type="dxa"/>
            <w:tcBorders>
              <w:bottom w:val="single" w:sz="12" w:space="0" w:color="71B1C8"/>
            </w:tcBorders>
            <w:tcMar>
              <w:bottom w:w="51" w:type="dxa"/>
            </w:tcMar>
            <w:vAlign w:val="center"/>
          </w:tcPr>
          <w:p>
            <w:pPr>
              <w:pStyle w:val="TableContents"/>
              <w:bidi w:val="0"/>
              <w:spacing w:before="0" w:after="283"/>
              <w:jc w:val="right"/>
              <w:rPr/>
            </w:pPr>
            <w:r>
              <w:rPr/>
              <w:t>​</w:t>
            </w:r>
          </w:p>
        </w:tc>
        <w:tc>
          <w:tcPr>
            <w:tcW w:w="131"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6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6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6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51" w:type="dxa"/>
            </w:tcMar>
            <w:vAlign w:val="center"/>
          </w:tcPr>
          <w:p>
            <w:pPr>
              <w:pStyle w:val="TableContents"/>
              <w:bidi w:val="0"/>
              <w:spacing w:before="0" w:after="283"/>
              <w:jc w:val="right"/>
              <w:rPr/>
            </w:pPr>
            <w:r>
              <w:rPr/>
              <w:t>​</w:t>
            </w:r>
          </w:p>
        </w:tc>
        <w:tc>
          <w:tcPr>
            <w:tcW w:w="76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8" w:type="dxa"/>
            <w:tcBorders>
              <w:bottom w:val="single" w:sz="12" w:space="0" w:color="71B1C8"/>
            </w:tcBorders>
            <w:vAlign w:val="center"/>
          </w:tcPr>
          <w:p>
            <w:pPr>
              <w:pStyle w:val="TableContents"/>
              <w:bidi w:val="0"/>
              <w:spacing w:before="0" w:after="283"/>
              <w:jc w:val="left"/>
              <w:rPr/>
            </w:pPr>
            <w:r>
              <w:rPr/>
              <w:t>​</w:t>
            </w:r>
          </w:p>
        </w:tc>
        <w:tc>
          <w:tcPr>
            <w:tcW w:w="118" w:type="dxa"/>
            <w:tcBorders>
              <w:bottom w:val="single" w:sz="12" w:space="0" w:color="71B1C8"/>
            </w:tcBorders>
            <w:tcMar>
              <w:bottom w:w="51" w:type="dxa"/>
            </w:tcMar>
            <w:vAlign w:val="center"/>
          </w:tcPr>
          <w:p>
            <w:pPr>
              <w:pStyle w:val="TableContents"/>
              <w:bidi w:val="0"/>
              <w:spacing w:before="0" w:after="283"/>
              <w:jc w:val="right"/>
              <w:rPr/>
            </w:pPr>
            <w:r>
              <w:rPr/>
              <w:t>​</w:t>
            </w:r>
          </w:p>
        </w:tc>
        <w:tc>
          <w:tcPr>
            <w:tcW w:w="831" w:type="dxa"/>
            <w:tcBorders>
              <w:bottom w:val="single" w:sz="12" w:space="0" w:color="71B1C8"/>
            </w:tcBorders>
            <w:tcMar>
              <w:bottom w:w="51" w:type="dxa"/>
            </w:tcMar>
            <w:vAlign w:val="center"/>
          </w:tcPr>
          <w:p>
            <w:pPr>
              <w:pStyle w:val="TableContents"/>
              <w:bidi w:val="0"/>
              <w:spacing w:before="0" w:after="283"/>
              <w:jc w:val="right"/>
              <w:rPr/>
            </w:pPr>
            <w:r>
              <w:rPr/>
              <w:t>7,181</w:t>
            </w:r>
          </w:p>
        </w:tc>
        <w:tc>
          <w:tcPr>
            <w:tcW w:w="11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6" w:type="dxa"/>
            <w:tcBorders>
              <w:bottom w:val="single" w:sz="12" w:space="0" w:color="71B1C8"/>
            </w:tcBorders>
            <w:tcMar>
              <w:bottom w:w="51" w:type="dxa"/>
            </w:tcMar>
            <w:vAlign w:val="center"/>
          </w:tcPr>
          <w:p>
            <w:pPr>
              <w:pStyle w:val="TableContents"/>
              <w:bidi w:val="0"/>
              <w:spacing w:before="0" w:after="283"/>
              <w:jc w:val="right"/>
              <w:rPr/>
            </w:pPr>
            <w:r>
              <w:rPr/>
              <w:t>$</w:t>
            </w:r>
          </w:p>
        </w:tc>
        <w:tc>
          <w:tcPr>
            <w:tcW w:w="646" w:type="dxa"/>
            <w:tcBorders>
              <w:bottom w:val="single" w:sz="12" w:space="0" w:color="71B1C8"/>
            </w:tcBorders>
            <w:tcMar>
              <w:bottom w:w="51" w:type="dxa"/>
            </w:tcMar>
            <w:vAlign w:val="center"/>
          </w:tcPr>
          <w:p>
            <w:pPr>
              <w:pStyle w:val="TableContents"/>
              <w:bidi w:val="0"/>
              <w:spacing w:before="0" w:after="283"/>
              <w:jc w:val="right"/>
              <w:rPr/>
            </w:pPr>
            <w:r>
              <w:rPr/>
              <w:t>77.06</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6" w:type="dxa"/>
            <w:tcBorders>
              <w:bottom w:val="single" w:sz="12" w:space="0" w:color="71B1C8"/>
            </w:tcBorders>
            <w:tcMar>
              <w:bottom w:w="51" w:type="dxa"/>
            </w:tcMar>
            <w:vAlign w:val="center"/>
          </w:tcPr>
          <w:p>
            <w:pPr>
              <w:pStyle w:val="TableContents"/>
              <w:bidi w:val="0"/>
              <w:spacing w:before="0" w:after="283"/>
              <w:jc w:val="right"/>
              <w:rPr/>
            </w:pPr>
            <w:r>
              <w:rPr/>
              <w:t>$</w:t>
            </w:r>
          </w:p>
        </w:tc>
        <w:tc>
          <w:tcPr>
            <w:tcW w:w="646" w:type="dxa"/>
            <w:tcBorders>
              <w:bottom w:val="single" w:sz="12" w:space="0" w:color="71B1C8"/>
            </w:tcBorders>
            <w:tcMar>
              <w:bottom w:w="51" w:type="dxa"/>
            </w:tcMar>
            <w:vAlign w:val="center"/>
          </w:tcPr>
          <w:p>
            <w:pPr>
              <w:pStyle w:val="TableContents"/>
              <w:bidi w:val="0"/>
              <w:spacing w:before="0" w:after="283"/>
              <w:jc w:val="right"/>
              <w:rPr/>
            </w:pPr>
            <w:r>
              <w:rPr/>
              <w:t>76.75</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6" w:type="dxa"/>
            <w:tcBorders>
              <w:bottom w:val="single" w:sz="12" w:space="0" w:color="71B1C8"/>
            </w:tcBorders>
            <w:tcMar>
              <w:bottom w:w="51" w:type="dxa"/>
            </w:tcMar>
            <w:vAlign w:val="center"/>
          </w:tcPr>
          <w:p>
            <w:pPr>
              <w:pStyle w:val="TableContents"/>
              <w:bidi w:val="0"/>
              <w:spacing w:before="0" w:after="283"/>
              <w:jc w:val="right"/>
              <w:rPr/>
            </w:pPr>
            <w:r>
              <w:rPr/>
              <w:t>$</w:t>
            </w:r>
          </w:p>
        </w:tc>
        <w:tc>
          <w:tcPr>
            <w:tcW w:w="1066" w:type="dxa"/>
            <w:tcBorders>
              <w:bottom w:val="single" w:sz="12" w:space="0" w:color="71B1C8"/>
            </w:tcBorders>
            <w:tcMar>
              <w:bottom w:w="51" w:type="dxa"/>
            </w:tcMar>
            <w:vAlign w:val="center"/>
          </w:tcPr>
          <w:p>
            <w:pPr>
              <w:pStyle w:val="TableContents"/>
              <w:bidi w:val="0"/>
              <w:spacing w:before="0" w:after="283"/>
              <w:jc w:val="right"/>
              <w:rPr/>
            </w:pPr>
            <w:r>
              <w:rPr/>
              <w:t>213,586</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Company did not have any equity incentive plans during 2025, nor does it currently have such plans. Accordingly, the columns entitled “Estimated Future Payouts Under Equity Incentive Plan Awards” have been omitted from this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823">
                <wp:simplePos x="0" y="0"/>
                <wp:positionH relativeFrom="column">
                  <wp:align>left</wp:align>
                </wp:positionH>
                <wp:positionV relativeFrom="line">
                  <wp:align>top</wp:align>
                </wp:positionV>
                <wp:extent cx="254000" cy="254000"/>
                <wp:effectExtent l="0" t="0" r="0" b="0"/>
                <wp:wrapSquare wrapText="right"/>
                <wp:docPr id="802" name="Frame51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caps w:val="false"/>
          <w:smallCaps w:val="false"/>
          <w:color w:val="000000"/>
          <w:sz w:val="16"/>
        </w:rPr>
      </w:pPr>
      <w:r>
        <w:rPr>
          <w:rFonts w:ascii="Arial;Helvetica;sans-serif" w:hAnsi="Arial;Helvetica;sans-serif"/>
          <w:b w:val="false"/>
          <w:i w:val="false"/>
          <w:caps w:val="false"/>
          <w:smallCaps w:val="false"/>
          <w:color w:val="000000"/>
          <w:spacing w:val="-1"/>
          <w:sz w:val="16"/>
        </w:rPr>
        <w:t>Represents threshold, target and maximum payout levels under our 2025 Annual Incentive Plan. The actual amount of incentive awards earned by each named executive officer in 2025 is reported in the Summary Compensation Table under note (*). For a more detailed discussion of the 2025 Annual Incentive Plan, see “</w:t>
      </w:r>
      <w:r>
        <w:rPr>
          <w:rFonts w:ascii="Arial;Helvetica;sans-serif" w:hAnsi="Arial;Helvetica;sans-serif"/>
          <w:b w:val="false"/>
          <w:i/>
          <w:caps w:val="false"/>
          <w:smallCaps w:val="false"/>
          <w:color w:val="000000"/>
          <w:sz w:val="16"/>
        </w:rPr>
        <w:t>Compensation Discussion and Analysis — What We Pay and Why: Elements of Our Compensation Program for Named Executive Officers — Annual Incentives</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24">
                <wp:simplePos x="0" y="0"/>
                <wp:positionH relativeFrom="column">
                  <wp:align>left</wp:align>
                </wp:positionH>
                <wp:positionV relativeFrom="line">
                  <wp:align>top</wp:align>
                </wp:positionV>
                <wp:extent cx="254000" cy="254000"/>
                <wp:effectExtent l="0" t="0" r="0" b="0"/>
                <wp:wrapSquare wrapText="right"/>
                <wp:docPr id="803" name="Frame51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val="false"/>
                                <w:caps w:val="false"/>
                                <w:smallCaps w:val="false"/>
                                <w:spacing w:val="-1"/>
                                <w:sz w:val="16"/>
                              </w:rPr>
                              <w:t>(1)</w:t>
                            </w:r>
                            <w:r>
                              <w:rPr>
                                <w:i/>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i/>
                          <w:sz w:val="16"/>
                        </w:rPr>
                      </w:pPr>
                      <w:r>
                        <w:rPr>
                          <w:i w:val="false"/>
                          <w:caps w:val="false"/>
                          <w:smallCaps w:val="false"/>
                          <w:spacing w:val="-1"/>
                          <w:sz w:val="16"/>
                        </w:rPr>
                        <w:t>(1)</w:t>
                      </w:r>
                      <w:r>
                        <w:rPr>
                          <w:i/>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Represents the number of Performance Units granted to the named executive officers in 2025 under the Company’s long-term incentive program and estimated threshold, target and maximum payouts. Performance Units vest at the end of a three-year performance period. For the 2025 — 2027 performance period, the value of each performance unit is based on three metrics: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25">
                <wp:simplePos x="0" y="0"/>
                <wp:positionH relativeFrom="column">
                  <wp:align>left</wp:align>
                </wp:positionH>
                <wp:positionV relativeFrom="line">
                  <wp:align>top</wp:align>
                </wp:positionV>
                <wp:extent cx="254000" cy="254000"/>
                <wp:effectExtent l="0" t="0" r="0" b="0"/>
                <wp:wrapSquare wrapText="right"/>
                <wp:docPr id="804" name="Frame52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Company’s ROC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330200" distR="0" simplePos="0" locked="0" layoutInCell="1" allowOverlap="1" relativeHeight="826">
                <wp:simplePos x="0" y="0"/>
                <wp:positionH relativeFrom="column">
                  <wp:align>left</wp:align>
                </wp:positionH>
                <wp:positionV relativeFrom="line">
                  <wp:align>top</wp:align>
                </wp:positionV>
                <wp:extent cx="254000" cy="254000"/>
                <wp:effectExtent l="0" t="0" r="0" b="0"/>
                <wp:wrapSquare wrapText="right"/>
                <wp:docPr id="805" name="Frame52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6pt;mso-wrap-distance-right:0pt;mso-wrap-distance-top:3pt;mso-wrap-distance-bottom:0pt;margin-top:3pt;mso-position-vertical:top;mso-position-vertical-relative:text;margin-left:26pt;mso-position-horizontal:left;mso-position-horizontal-relative:text">
                <v:textbox>
                  <w:txbxContent>
                    <w:p>
                      <w:pPr>
                        <w:pStyle w:val="TextBody"/>
                        <w:bidi w:val="0"/>
                        <w:spacing w:lineRule="atLeast" w:line="200" w:before="0" w:after="283"/>
                        <w:jc w:val="left"/>
                        <w:rPr>
                          <w:sz w:val="16"/>
                        </w:rPr>
                      </w:pPr>
                      <w:r>
                        <w:rPr>
                          <w:spacing w:val="-1"/>
                          <w:sz w:val="16"/>
                        </w:rPr>
                        <w:t>(i)</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Company’s stock performance comparison to the S&amp;P Small Cap 600 Index and the Russell 2000 Index, and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330200" distR="0" simplePos="0" locked="0" layoutInCell="1" allowOverlap="1" relativeHeight="827">
                <wp:simplePos x="0" y="0"/>
                <wp:positionH relativeFrom="column">
                  <wp:align>left</wp:align>
                </wp:positionH>
                <wp:positionV relativeFrom="line">
                  <wp:align>top</wp:align>
                </wp:positionV>
                <wp:extent cx="254000" cy="254000"/>
                <wp:effectExtent l="0" t="0" r="0" b="0"/>
                <wp:wrapSquare wrapText="right"/>
                <wp:docPr id="806" name="Frame52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(ii)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6pt;mso-wrap-distance-right:0pt;mso-wrap-distance-top:3pt;mso-wrap-distance-bottom:0pt;margin-top:3pt;mso-position-vertical:top;mso-position-vertical-relative:text;margin-left:26pt;mso-position-horizontal:left;mso-position-horizontal-relative:text">
                <v:textbox>
                  <w:txbxContent>
                    <w:p>
                      <w:pPr>
                        <w:pStyle w:val="TextBody"/>
                        <w:bidi w:val="0"/>
                        <w:spacing w:lineRule="atLeast" w:line="200" w:before="0" w:after="283"/>
                        <w:jc w:val="left"/>
                        <w:rPr>
                          <w:sz w:val="16"/>
                        </w:rPr>
                      </w:pPr>
                      <w:r>
                        <w:rPr>
                          <w:spacing w:val="-1"/>
                          <w:sz w:val="16"/>
                        </w:rPr>
                        <w:t>(ii)</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Company’s stock performance comparison to a Peer Group Index.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330200" distR="0" simplePos="0" locked="0" layoutInCell="1" allowOverlap="1" relativeHeight="828">
                <wp:simplePos x="0" y="0"/>
                <wp:positionH relativeFrom="column">
                  <wp:align>left</wp:align>
                </wp:positionH>
                <wp:positionV relativeFrom="line">
                  <wp:align>top</wp:align>
                </wp:positionV>
                <wp:extent cx="254000" cy="254000"/>
                <wp:effectExtent l="0" t="0" r="0" b="0"/>
                <wp:wrapSquare wrapText="right"/>
                <wp:docPr id="807" name="Frame52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(iii)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6pt;mso-wrap-distance-right:0pt;mso-wrap-distance-top:3pt;mso-wrap-distance-bottom:0pt;margin-top:3pt;mso-position-vertical:top;mso-position-vertical-relative:text;margin-left:26pt;mso-position-horizontal:left;mso-position-horizontal-relative:text">
                <v:textbox>
                  <w:txbxContent>
                    <w:p>
                      <w:pPr>
                        <w:pStyle w:val="TextBody"/>
                        <w:bidi w:val="0"/>
                        <w:spacing w:lineRule="atLeast" w:line="200" w:before="0" w:after="283"/>
                        <w:jc w:val="left"/>
                        <w:rPr>
                          <w:sz w:val="16"/>
                        </w:rPr>
                      </w:pPr>
                      <w:r>
                        <w:rPr>
                          <w:spacing w:val="-1"/>
                          <w:sz w:val="16"/>
                        </w:rPr>
                        <w:t>(iii)</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190" w:before="44"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If performance does not meet minimum threshold levels, the Performance Unit will be worth $0. At threshold performance for each of the metrics, a Performance Unit is worth $63.33; at target performance, $100 per unit; at maximum performance, $300 per unit. The Performance Unit value for the 2025 — 2027 performance period will be paid out (subject to meeting the above performance criteria) in early 2028. For a more detailed discussion of Performance Units, see “</w:t>
      </w:r>
      <w:r>
        <w:rPr>
          <w:rFonts w:ascii="Arial;Helvetica;sans-serif" w:hAnsi="Arial;Helvetica;sans-serif"/>
          <w:b w:val="false"/>
          <w:i/>
          <w:caps w:val="false"/>
          <w:smallCaps w:val="false"/>
          <w:color w:val="000000"/>
          <w:sz w:val="16"/>
        </w:rPr>
        <w:t>Compensation Discussion and Analysis — What We Pay and Why: Elements of Our Compensation Program for Named Executive Officers — Long-term Incentives</w:t>
      </w:r>
      <w:r>
        <w:rPr>
          <w:rFonts w:ascii="Arial;Helvetica;sans-serif" w:hAnsi="Arial;Helvetica;sans-serif"/>
          <w:b w:val="false"/>
          <w:i w:val="false"/>
          <w:caps w:val="false"/>
          <w:smallCaps w:val="false"/>
          <w:color w:val="000000"/>
          <w:spacing w:val="-1"/>
          <w:sz w:val="16"/>
        </w:rPr>
        <w: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DRSUs vest in three equal annual installments beginning on the first anniversary of the grant date (subject to accelerated vesting in specified circumstances). DRSUs are not credited with dividends or dividend equivalents prior to vesting.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29">
                <wp:simplePos x="0" y="0"/>
                <wp:positionH relativeFrom="column">
                  <wp:align>left</wp:align>
                </wp:positionH>
                <wp:positionV relativeFrom="line">
                  <wp:align>top</wp:align>
                </wp:positionV>
                <wp:extent cx="254000" cy="254000"/>
                <wp:effectExtent l="0" t="0" r="0" b="0"/>
                <wp:wrapSquare wrapText="right"/>
                <wp:docPr id="808" name="Frame52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(3)</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Options vest in three equal annual installments beginning on the first anniversary of the grant date and expire on the tenth anniversary of the grant date (subject to accelerated vesting in specified circumstances).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30">
                <wp:simplePos x="0" y="0"/>
                <wp:positionH relativeFrom="column">
                  <wp:align>left</wp:align>
                </wp:positionH>
                <wp:positionV relativeFrom="line">
                  <wp:align>top</wp:align>
                </wp:positionV>
                <wp:extent cx="254000" cy="254000"/>
                <wp:effectExtent l="0" t="0" r="0" b="0"/>
                <wp:wrapSquare wrapText="right"/>
                <wp:docPr id="809" name="Frame52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(4)</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62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OEAA"/>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exercise price of option awards is determined by the average of the high and low price of the Company’s common stock on the grant date. Accordingly, the exercise price of option awards granted on January 21, 2025 is $76.75. The closing price of the Company’s common stock on January 21, 2025 was $77.06.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76200" distR="0" simplePos="0" locked="0" layoutInCell="1" allowOverlap="1" relativeHeight="831">
                <wp:simplePos x="0" y="0"/>
                <wp:positionH relativeFrom="column">
                  <wp:align>left</wp:align>
                </wp:positionH>
                <wp:positionV relativeFrom="line">
                  <wp:posOffset>635</wp:posOffset>
                </wp:positionV>
                <wp:extent cx="254000" cy="350520"/>
                <wp:effectExtent l="0" t="0" r="0" b="0"/>
                <wp:wrapSquare wrapText="right"/>
                <wp:docPr id="810"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grant date fair value of each DRSU is determined by the average of the high and low price of the Company’s common stock on the grant date. Accordingly, the per share grant date fair value of each DRSU granted on January 21, 2025 is $76.75. The grant date fair value, calculated in accordance with FASB ASC Topic 718 using the Black-Scholes valuation method, of each option granted on January 21, 2025 is $29.743.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762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11"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5.2pt;mso-wrap-distance-bottom:0pt;margin-top:5.2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(6)</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90" w:before="304"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OUTSTANDING EQUITY AWARDS AT FISCAL YEAR-END  —</w:t>
      </w:r>
      <w:r>
        <w:rPr>
          <w:rFonts w:ascii="Arial;Helvetica;sans-serif" w:hAnsi="Arial;Helvetica;sans-serif"/>
          <w:b w:val="false"/>
          <w:i w:val="false"/>
          <w:caps w:val="false"/>
          <w:smallCaps w:val="false"/>
          <w:color w:val="000000"/>
          <w:sz w:val="34"/>
        </w:rPr>
        <w:t>​</w:t>
      </w:r>
      <w:r>
        <w:rPr>
          <w:rFonts w:ascii="Arial;Helvetica;sans-serif" w:hAnsi="Arial;Helvetica;sans-serif"/>
          <w:b w:val="false"/>
          <w:i w:val="false"/>
          <w:caps w:val="false"/>
          <w:smallCaps w:val="false"/>
          <w:color w:val="000000"/>
          <w:spacing w:val="-3"/>
          <w:sz w:val="34"/>
        </w:rPr>
        <w:t xml:space="preserve">2025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shows the number of shares of the Company’s common stock covered by exercisable and unexercisable options and unvested DRSUs held by the Company’s named executive officers as of December 31, 2025.</w:t>
      </w:r>
      <w:r>
        <w:rPr>
          <w:rFonts w:ascii="Arial;Helvetica;sans-serif" w:hAnsi="Arial;Helvetica;sans-serif"/>
          <w:b w:val="false"/>
          <w:i w:val="false"/>
          <w:caps w:val="false"/>
          <w:smallCaps w:val="false"/>
          <w:color w:val="000000"/>
          <w:spacing w:val="4"/>
          <w:sz w:val="18"/>
        </w:rPr>
        <w:t xml:space="preserve"> </w:t>
      </w:r>
    </w:p>
    <w:tbl>
      <w:tblPr>
        <w:tblW w:w="13799" w:type="dxa"/>
        <w:jc w:val="left"/>
        <w:tblInd w:w="1020" w:type="dxa"/>
        <w:tblLayout w:type="fixed"/>
        <w:tblCellMar>
          <w:top w:w="0" w:type="dxa"/>
          <w:left w:w="0" w:type="dxa"/>
          <w:bottom w:w="28" w:type="dxa"/>
          <w:right w:w="0" w:type="dxa"/>
        </w:tblCellMar>
      </w:tblPr>
      <w:tblGrid>
        <w:gridCol w:w="124"/>
        <w:gridCol w:w="864"/>
        <w:gridCol w:w="109"/>
        <w:gridCol w:w="109"/>
        <w:gridCol w:w="128"/>
        <w:gridCol w:w="128"/>
        <w:gridCol w:w="904"/>
        <w:gridCol w:w="131"/>
        <w:gridCol w:w="109"/>
        <w:gridCol w:w="109"/>
        <w:gridCol w:w="145"/>
        <w:gridCol w:w="145"/>
        <w:gridCol w:w="1020"/>
        <w:gridCol w:w="146"/>
        <w:gridCol w:w="109"/>
        <w:gridCol w:w="109"/>
        <w:gridCol w:w="1291"/>
        <w:gridCol w:w="109"/>
        <w:gridCol w:w="109"/>
        <w:gridCol w:w="109"/>
        <w:gridCol w:w="109"/>
        <w:gridCol w:w="646"/>
        <w:gridCol w:w="109"/>
        <w:gridCol w:w="109"/>
        <w:gridCol w:w="109"/>
        <w:gridCol w:w="109"/>
        <w:gridCol w:w="109"/>
        <w:gridCol w:w="769"/>
        <w:gridCol w:w="109"/>
        <w:gridCol w:w="109"/>
        <w:gridCol w:w="109"/>
        <w:gridCol w:w="109"/>
        <w:gridCol w:w="109"/>
        <w:gridCol w:w="796"/>
        <w:gridCol w:w="109"/>
        <w:gridCol w:w="109"/>
        <w:gridCol w:w="109"/>
        <w:gridCol w:w="109"/>
        <w:gridCol w:w="109"/>
        <w:gridCol w:w="1066"/>
        <w:gridCol w:w="109"/>
        <w:gridCol w:w="109"/>
        <w:gridCol w:w="109"/>
        <w:gridCol w:w="1036"/>
        <w:gridCol w:w="109"/>
        <w:gridCol w:w="109"/>
        <w:gridCol w:w="1036"/>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864"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6979" w:type="dxa"/>
            <w:gridSpan w:val="25"/>
            <w:tcBorders>
              <w:bottom w:val="single" w:sz="6" w:space="0" w:color="71B1C8"/>
            </w:tcBorders>
            <w:shd w:fill="002F56" w:val="clear"/>
            <w:tcMar>
              <w:bottom w:w="38" w:type="dxa"/>
            </w:tcMar>
            <w:vAlign w:val="center"/>
          </w:tcPr>
          <w:p>
            <w:pPr>
              <w:pStyle w:val="TableContents"/>
              <w:bidi w:val="0"/>
              <w:spacing w:lineRule="atLeast" w:line="142" w:before="0" w:after="0"/>
              <w:jc w:val="center"/>
              <w:rPr/>
            </w:pPr>
            <w:r>
              <w:rPr>
                <w:spacing w:val="0"/>
              </w:rPr>
              <w:t>Option Awards</w:t>
            </w:r>
            <w:r>
              <w:rPr>
                <w:spacing w:val="-1"/>
                <w:sz w:val="9"/>
              </w:rPr>
              <w:t>(1)</w:t>
            </w:r>
            <w:r>
              <w:rPr/>
              <w:t xml:space="preserve"> </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5242" w:type="dxa"/>
            <w:gridSpan w:val="16"/>
            <w:tcBorders>
              <w:bottom w:val="single" w:sz="6" w:space="0" w:color="71B1C8"/>
            </w:tcBorders>
            <w:shd w:fill="002F56" w:val="clear"/>
            <w:tcMar>
              <w:bottom w:w="38"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864" w:type="dxa"/>
            <w:tcBorders>
              <w:bottom w:val="single" w:sz="6" w:space="0" w:color="002F56"/>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91"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Exercisable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56"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Unexercisable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91" w:type="dxa"/>
            <w:tcBorders>
              <w:bottom w:val="single" w:sz="6" w:space="0" w:color="002F56"/>
            </w:tcBorders>
            <w:shd w:fill="002F56" w:val="clear"/>
            <w:vAlign w:val="center"/>
          </w:tcPr>
          <w:p>
            <w:pPr>
              <w:pStyle w:val="TableContents"/>
              <w:bidi w:val="0"/>
              <w:spacing w:before="0" w:after="0"/>
              <w:jc w:val="center"/>
              <w:rPr/>
            </w:pPr>
            <w:r>
              <w:rPr>
                <w:spacing w:val="0"/>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Options</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973"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Option </w:t>
              <w:br/>
              <w:t xml:space="preserve">Exercise </w:t>
              <w:br/>
              <w:t>Price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6" w:type="dxa"/>
            <w:gridSpan w:val="4"/>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Option </w:t>
              <w:br/>
              <w:t xml:space="preserve">Expiration </w:t>
              <w:br/>
              <w:t xml:space="preserve">Date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123"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Number of </w:t>
              <w:br/>
              <w:t xml:space="preserve">Shares of </w:t>
              <w:br/>
              <w:t xml:space="preserve">Units of </w:t>
              <w:br/>
              <w:t xml:space="preserve">Stock that </w:t>
              <w:br/>
              <w:t xml:space="preserve">Have Not </w:t>
              <w:br/>
              <w:t>Vested</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Market Value </w:t>
              <w:br/>
              <w:t xml:space="preserve">of Shares of </w:t>
              <w:br/>
              <w:t xml:space="preserve">Units of </w:t>
              <w:br/>
              <w:t xml:space="preserve">Stock that </w:t>
              <w:br/>
              <w:t xml:space="preserve">Have Not </w:t>
              <w:br/>
              <w:t>Vested</w:t>
            </w:r>
            <w:r>
              <w:rPr>
                <w:spacing w:val="-1"/>
                <w:sz w:val="9"/>
              </w:rPr>
              <w:t>(2)</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36" w:type="dxa"/>
            <w:tcBorders>
              <w:bottom w:val="single" w:sz="6" w:space="0" w:color="002F56"/>
            </w:tcBorders>
            <w:shd w:fill="002F56" w:val="clear"/>
            <w:vAlign w:val="center"/>
          </w:tcPr>
          <w:p>
            <w:pPr>
              <w:pStyle w:val="TableContents"/>
              <w:bidi w:val="0"/>
              <w:spacing w:before="0" w:after="0"/>
              <w:jc w:val="center"/>
              <w:rPr/>
            </w:pPr>
            <w:r>
              <w:rPr>
                <w:spacing w:val="0"/>
              </w:rPr>
              <w:t xml:space="preserve">Equity </w:t>
              <w:br/>
              <w:t xml:space="preserve">Incentive Plan </w:t>
              <w:br/>
              <w:t xml:space="preserve">Awards: </w:t>
              <w:br/>
              <w:t xml:space="preserve">Number of </w:t>
              <w:br/>
              <w:t xml:space="preserve">Unearned </w:t>
              <w:br/>
              <w:t xml:space="preserve">Shares, Units </w:t>
              <w:br/>
              <w:t xml:space="preserve">or Other </w:t>
              <w:br/>
              <w:t xml:space="preserve">Rights that </w:t>
              <w:br/>
              <w:t xml:space="preserve">Have Not </w:t>
              <w:br/>
              <w:t>Vested</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36" w:type="dxa"/>
            <w:tcBorders>
              <w:bottom w:val="single" w:sz="6" w:space="0" w:color="002F56"/>
            </w:tcBorders>
            <w:shd w:fill="002F56" w:val="clear"/>
            <w:vAlign w:val="center"/>
          </w:tcPr>
          <w:p>
            <w:pPr>
              <w:pStyle w:val="TableContents"/>
              <w:bidi w:val="0"/>
              <w:spacing w:before="0" w:after="0"/>
              <w:jc w:val="center"/>
              <w:rPr/>
            </w:pPr>
            <w:r>
              <w:rPr>
                <w:spacing w:val="0"/>
              </w:rPr>
              <w:t xml:space="preserve">Equity </w:t>
              <w:br/>
              <w:t xml:space="preserve">Incentive Plan </w:t>
              <w:br/>
              <w:t xml:space="preserve">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w:t>
            </w:r>
            <w:r>
              <w:rPr/>
              <w:t xml:space="preserve"> </w:t>
              <w:br/>
            </w:r>
            <w:r>
              <w:rPr>
                <w:spacing w:val="-2"/>
              </w:rPr>
              <w:t xml:space="preserve">($) </w:t>
            </w:r>
          </w:p>
        </w:tc>
        <w:tc>
          <w:tcPr>
            <w:tcW w:w="154"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864" w:type="dxa"/>
            <w:vMerge w:val="restart"/>
            <w:tcBorders>
              <w:bottom w:val="single" w:sz="2" w:space="0" w:color="002F56"/>
            </w:tcBorders>
            <w:tcMar>
              <w:bottom w:w="56" w:type="dxa"/>
            </w:tcMar>
            <w:vAlign w:val="center"/>
          </w:tcPr>
          <w:p>
            <w:pPr>
              <w:pStyle w:val="TableContents"/>
              <w:bidi w:val="0"/>
              <w:spacing w:lineRule="atLeast" w:line="188" w:before="0" w:after="0"/>
              <w:jc w:val="left"/>
              <w:rPr>
                <w:spacing w:val="-1"/>
              </w:rPr>
            </w:pPr>
            <w:r>
              <w:rPr>
                <w:spacing w:val="-1"/>
              </w:rPr>
              <w:t xml:space="preserve">D.T. Dietrich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lineRule="atLeast" w:line="188" w:before="0" w:after="283"/>
              <w:jc w:val="right"/>
              <w:rPr/>
            </w:pPr>
            <w:r>
              <w:rPr/>
              <w:t>21,568</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lineRule="atLeast" w:line="188" w:before="0" w:after="283"/>
              <w:jc w:val="right"/>
              <w:rPr/>
            </w:pPr>
            <w:r>
              <w:rPr/>
              <w:t>78.03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lineRule="atLeast" w:line="188" w:before="0" w:after="283"/>
              <w:jc w:val="right"/>
              <w:rPr/>
            </w:pPr>
            <w:r>
              <w:rPr/>
              <w:t>1/17/2027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24,795</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3,670</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73.70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3/13/2028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50,486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54.44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1/22/2029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57,191</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57.67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49,966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1/26/2031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 xml:space="preserve">49,210 </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69.81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1/25/2032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 xml:space="preserve">38,213 </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19,106</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1/24/2033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9,461</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18,921</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66.72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25,848</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76.75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864"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28" w:type="dxa"/>
            <w:tcBorders>
              <w:bottom w:val="single" w:sz="6" w:space="0" w:color="002F56"/>
            </w:tcBorders>
            <w:vAlign w:val="center"/>
          </w:tcPr>
          <w:p>
            <w:pPr>
              <w:pStyle w:val="TableContents"/>
              <w:bidi w:val="0"/>
              <w:spacing w:before="0" w:after="283"/>
              <w:jc w:val="left"/>
              <w:rPr/>
            </w:pPr>
            <w:r>
              <w:rPr/>
              <w:t>​</w:t>
            </w:r>
          </w:p>
        </w:tc>
        <w:tc>
          <w:tcPr>
            <w:tcW w:w="128" w:type="dxa"/>
            <w:tcBorders>
              <w:bottom w:val="single" w:sz="6" w:space="0" w:color="002F56"/>
            </w:tcBorders>
            <w:vAlign w:val="center"/>
          </w:tcPr>
          <w:p>
            <w:pPr>
              <w:pStyle w:val="TableContents"/>
              <w:bidi w:val="0"/>
              <w:spacing w:before="0" w:after="283"/>
              <w:jc w:val="right"/>
              <w:rPr/>
            </w:pPr>
            <w:r>
              <w:rPr/>
              <w:t>​</w:t>
            </w:r>
          </w:p>
        </w:tc>
        <w:tc>
          <w:tcPr>
            <w:tcW w:w="904"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45" w:type="dxa"/>
            <w:tcBorders>
              <w:bottom w:val="single" w:sz="6" w:space="0" w:color="002F56"/>
            </w:tcBorders>
            <w:vAlign w:val="center"/>
          </w:tcPr>
          <w:p>
            <w:pPr>
              <w:pStyle w:val="TableContents"/>
              <w:bidi w:val="0"/>
              <w:spacing w:before="0" w:after="283"/>
              <w:jc w:val="left"/>
              <w:rPr/>
            </w:pPr>
            <w:r>
              <w:rPr/>
              <w:t>​</w:t>
            </w:r>
          </w:p>
        </w:tc>
        <w:tc>
          <w:tcPr>
            <w:tcW w:w="145" w:type="dxa"/>
            <w:tcBorders>
              <w:bottom w:val="single" w:sz="6" w:space="0" w:color="002F56"/>
            </w:tcBorders>
            <w:vAlign w:val="center"/>
          </w:tcPr>
          <w:p>
            <w:pPr>
              <w:pStyle w:val="TableContents"/>
              <w:bidi w:val="0"/>
              <w:spacing w:before="0" w:after="283"/>
              <w:jc w:val="right"/>
              <w:rPr/>
            </w:pPr>
            <w:r>
              <w:rPr/>
              <w:t>​</w:t>
            </w:r>
          </w:p>
        </w:tc>
        <w:tc>
          <w:tcPr>
            <w:tcW w:w="1020" w:type="dxa"/>
            <w:tcBorders>
              <w:bottom w:val="single" w:sz="6" w:space="0" w:color="002F56"/>
            </w:tcBorders>
            <w:vAlign w:val="center"/>
          </w:tcPr>
          <w:p>
            <w:pPr>
              <w:pStyle w:val="TableContents"/>
              <w:bidi w:val="0"/>
              <w:spacing w:before="0" w:after="283"/>
              <w:jc w:val="right"/>
              <w:rPr/>
            </w:pPr>
            <w:r>
              <w:rPr/>
              <w:t>​</w:t>
            </w:r>
          </w:p>
        </w:tc>
        <w:tc>
          <w:tcPr>
            <w:tcW w:w="14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9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64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9"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796" w:type="dxa"/>
            <w:tcBorders>
              <w:bottom w:val="single" w:sz="6" w:space="0" w:color="002F56"/>
            </w:tcBorders>
            <w:tcMar>
              <w:bottom w:w="49" w:type="dxa"/>
            </w:tcMar>
            <w:vAlign w:val="center"/>
          </w:tcPr>
          <w:p>
            <w:pPr>
              <w:pStyle w:val="TableContents"/>
              <w:bidi w:val="0"/>
              <w:spacing w:before="0" w:after="283"/>
              <w:jc w:val="right"/>
              <w:rPr/>
            </w:pPr>
            <w:r>
              <w:rPr/>
              <w:t>63,253</w:t>
            </w:r>
            <w:r>
              <w:rPr>
                <w:sz w:val="10"/>
              </w:rPr>
              <w:t>(3)</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3,855,270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3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36"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64" w:type="dxa"/>
            <w:vMerge w:val="restart"/>
            <w:tcBorders/>
            <w:tcMar>
              <w:bottom w:w="0" w:type="dxa"/>
            </w:tcMar>
            <w:vAlign w:val="center"/>
          </w:tcPr>
          <w:p>
            <w:pPr>
              <w:pStyle w:val="TableContents"/>
              <w:bidi w:val="0"/>
              <w:spacing w:lineRule="atLeast" w:line="188" w:before="0" w:after="0"/>
              <w:jc w:val="left"/>
              <w:rPr>
                <w:spacing w:val="-1"/>
              </w:rPr>
            </w:pPr>
            <w:r>
              <w:rPr>
                <w:spacing w:val="-1"/>
              </w:rPr>
              <w:t xml:space="preserve">E.C. Aldag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lineRule="atLeast" w:line="188" w:before="0" w:after="283"/>
              <w:jc w:val="right"/>
              <w:rPr/>
            </w:pPr>
            <w:r>
              <w:rPr/>
              <w:t>1,439</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lineRule="atLeast" w:line="188" w:before="0" w:after="283"/>
              <w:jc w:val="right"/>
              <w:rPr/>
            </w:pPr>
            <w:r>
              <w:rPr/>
              <w:t>76.38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lineRule="atLeast" w:line="188" w:before="0" w:after="283"/>
              <w:jc w:val="right"/>
              <w:rPr/>
            </w:pPr>
            <w:r>
              <w:rPr/>
              <w:t>1/23/2028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2,777</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54.44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1/22/2029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2,860</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57.67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1,301</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1/26/2031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1,476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69.81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1/25/2032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6,326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3,162</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1/24/2033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1,926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3,852</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66.72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vAlign w:val="center"/>
          </w:tcPr>
          <w:p>
            <w:pPr>
              <w:pStyle w:val="TableContents"/>
              <w:bidi w:val="0"/>
              <w:spacing w:before="0" w:after="283"/>
              <w:jc w:val="left"/>
              <w:rPr/>
            </w:pPr>
            <w:r>
              <w:rPr/>
              <w:t>​</w:t>
            </w:r>
          </w:p>
        </w:tc>
        <w:tc>
          <w:tcPr>
            <w:tcW w:w="145" w:type="dxa"/>
            <w:tcBorders>
              <w:bottom w:val="single" w:sz="6" w:space="0" w:color="CCCCCC"/>
            </w:tcBorders>
            <w:tcMar>
              <w:bottom w:w="56" w:type="dxa"/>
            </w:tcMar>
            <w:vAlign w:val="center"/>
          </w:tcPr>
          <w:p>
            <w:pPr>
              <w:pStyle w:val="TableContents"/>
              <w:bidi w:val="0"/>
              <w:spacing w:before="0" w:after="283"/>
              <w:jc w:val="right"/>
              <w:rPr/>
            </w:pPr>
            <w:r>
              <w:rPr/>
              <w:t>​</w:t>
            </w:r>
          </w:p>
        </w:tc>
        <w:tc>
          <w:tcPr>
            <w:tcW w:w="1020" w:type="dxa"/>
            <w:tcBorders>
              <w:bottom w:val="single" w:sz="6" w:space="0" w:color="CCCCCC"/>
            </w:tcBorders>
            <w:tcMar>
              <w:bottom w:w="56" w:type="dxa"/>
            </w:tcMar>
            <w:vAlign w:val="center"/>
          </w:tcPr>
          <w:p>
            <w:pPr>
              <w:pStyle w:val="TableContents"/>
              <w:bidi w:val="0"/>
              <w:spacing w:before="0" w:after="283"/>
              <w:jc w:val="right"/>
              <w:rPr/>
            </w:pPr>
            <w:r>
              <w:rPr/>
              <w:t>5,783</w:t>
            </w:r>
          </w:p>
        </w:tc>
        <w:tc>
          <w:tcPr>
            <w:tcW w:w="14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76.75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020"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13,059</w:t>
            </w:r>
            <w:r>
              <w:rPr>
                <w:sz w:val="10"/>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795,946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63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tbl>
      <w:tblPr>
        <w:tblW w:w="14382" w:type="dxa"/>
        <w:jc w:val="left"/>
        <w:tblInd w:w="1020" w:type="dxa"/>
        <w:tblLayout w:type="fixed"/>
        <w:tblCellMar>
          <w:top w:w="0" w:type="dxa"/>
          <w:left w:w="0" w:type="dxa"/>
          <w:bottom w:w="28" w:type="dxa"/>
          <w:right w:w="0" w:type="dxa"/>
        </w:tblCellMar>
      </w:tblPr>
      <w:tblGrid>
        <w:gridCol w:w="124"/>
        <w:gridCol w:w="1447"/>
        <w:gridCol w:w="109"/>
        <w:gridCol w:w="109"/>
        <w:gridCol w:w="128"/>
        <w:gridCol w:w="128"/>
        <w:gridCol w:w="904"/>
        <w:gridCol w:w="131"/>
        <w:gridCol w:w="109"/>
        <w:gridCol w:w="109"/>
        <w:gridCol w:w="163"/>
        <w:gridCol w:w="163"/>
        <w:gridCol w:w="966"/>
        <w:gridCol w:w="164"/>
        <w:gridCol w:w="109"/>
        <w:gridCol w:w="109"/>
        <w:gridCol w:w="1291"/>
        <w:gridCol w:w="109"/>
        <w:gridCol w:w="109"/>
        <w:gridCol w:w="109"/>
        <w:gridCol w:w="109"/>
        <w:gridCol w:w="646"/>
        <w:gridCol w:w="109"/>
        <w:gridCol w:w="109"/>
        <w:gridCol w:w="109"/>
        <w:gridCol w:w="109"/>
        <w:gridCol w:w="109"/>
        <w:gridCol w:w="769"/>
        <w:gridCol w:w="109"/>
        <w:gridCol w:w="109"/>
        <w:gridCol w:w="109"/>
        <w:gridCol w:w="109"/>
        <w:gridCol w:w="109"/>
        <w:gridCol w:w="796"/>
        <w:gridCol w:w="109"/>
        <w:gridCol w:w="109"/>
        <w:gridCol w:w="109"/>
        <w:gridCol w:w="109"/>
        <w:gridCol w:w="109"/>
        <w:gridCol w:w="1066"/>
        <w:gridCol w:w="109"/>
        <w:gridCol w:w="109"/>
        <w:gridCol w:w="109"/>
        <w:gridCol w:w="1036"/>
        <w:gridCol w:w="109"/>
        <w:gridCol w:w="109"/>
        <w:gridCol w:w="1036"/>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1447"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6979" w:type="dxa"/>
            <w:gridSpan w:val="25"/>
            <w:tcBorders>
              <w:bottom w:val="single" w:sz="6" w:space="0" w:color="71B1C8"/>
            </w:tcBorders>
            <w:shd w:fill="002F56" w:val="clear"/>
            <w:tcMar>
              <w:bottom w:w="38" w:type="dxa"/>
            </w:tcMar>
            <w:vAlign w:val="center"/>
          </w:tcPr>
          <w:p>
            <w:pPr>
              <w:pStyle w:val="TableContents"/>
              <w:bidi w:val="0"/>
              <w:spacing w:lineRule="atLeast" w:line="142" w:before="0" w:after="0"/>
              <w:jc w:val="center"/>
              <w:rPr/>
            </w:pPr>
            <w:r>
              <w:rPr>
                <w:spacing w:val="0"/>
              </w:rPr>
              <w:t>Option Awards</w:t>
            </w:r>
            <w:r>
              <w:rPr>
                <w:spacing w:val="-1"/>
                <w:sz w:val="9"/>
              </w:rPr>
              <w:t>(1)</w:t>
            </w:r>
            <w:r>
              <w:rPr/>
              <w:t xml:space="preserve"> </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5242" w:type="dxa"/>
            <w:gridSpan w:val="16"/>
            <w:tcBorders>
              <w:bottom w:val="single" w:sz="6" w:space="0" w:color="71B1C8"/>
            </w:tcBorders>
            <w:shd w:fill="002F56" w:val="clear"/>
            <w:tcMar>
              <w:bottom w:w="38"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1447" w:type="dxa"/>
            <w:tcBorders>
              <w:bottom w:val="single" w:sz="6" w:space="0" w:color="002F56"/>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91"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Exercisable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56"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Number of </w:t>
              <w:br/>
              <w:t xml:space="preserve">Securities </w:t>
              <w:br/>
              <w:t xml:space="preserve">Underlying </w:t>
              <w:br/>
              <w:t xml:space="preserve">Unexercised </w:t>
              <w:br/>
              <w:t xml:space="preserve">Options </w:t>
              <w:br/>
              <w:t>Unexercisable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91" w:type="dxa"/>
            <w:tcBorders>
              <w:bottom w:val="single" w:sz="6" w:space="0" w:color="002F56"/>
            </w:tcBorders>
            <w:shd w:fill="002F56" w:val="clear"/>
            <w:vAlign w:val="center"/>
          </w:tcPr>
          <w:p>
            <w:pPr>
              <w:pStyle w:val="TableContents"/>
              <w:bidi w:val="0"/>
              <w:spacing w:before="0" w:after="0"/>
              <w:jc w:val="center"/>
              <w:rPr/>
            </w:pPr>
            <w:r>
              <w:rPr>
                <w:spacing w:val="0"/>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Options</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973"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Option </w:t>
              <w:br/>
              <w:t xml:space="preserve">Exercise </w:t>
              <w:br/>
              <w:t>Price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6" w:type="dxa"/>
            <w:gridSpan w:val="4"/>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Option </w:t>
              <w:br/>
              <w:t xml:space="preserve">Expiration </w:t>
              <w:br/>
              <w:t xml:space="preserve">Date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123"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Number of </w:t>
              <w:br/>
              <w:t xml:space="preserve">Shares of </w:t>
              <w:br/>
              <w:t xml:space="preserve">Units of </w:t>
              <w:br/>
              <w:t xml:space="preserve">Stock that </w:t>
              <w:br/>
              <w:t xml:space="preserve">Have Not </w:t>
              <w:br/>
              <w:t>Vested</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Market Value </w:t>
              <w:br/>
              <w:t xml:space="preserve">of Shares of </w:t>
              <w:br/>
              <w:t xml:space="preserve">Units of </w:t>
              <w:br/>
              <w:t xml:space="preserve">Stock that </w:t>
              <w:br/>
              <w:t xml:space="preserve">Have Not </w:t>
              <w:br/>
              <w:t>Vested</w:t>
            </w:r>
            <w:r>
              <w:rPr>
                <w:spacing w:val="-1"/>
                <w:sz w:val="9"/>
              </w:rPr>
              <w:t>(2)</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36" w:type="dxa"/>
            <w:tcBorders>
              <w:bottom w:val="single" w:sz="6" w:space="0" w:color="002F56"/>
            </w:tcBorders>
            <w:shd w:fill="002F56" w:val="clear"/>
            <w:vAlign w:val="center"/>
          </w:tcPr>
          <w:p>
            <w:pPr>
              <w:pStyle w:val="TableContents"/>
              <w:bidi w:val="0"/>
              <w:spacing w:before="0" w:after="0"/>
              <w:jc w:val="center"/>
              <w:rPr/>
            </w:pPr>
            <w:r>
              <w:rPr>
                <w:spacing w:val="0"/>
              </w:rPr>
              <w:t xml:space="preserve">Equity </w:t>
              <w:br/>
              <w:t xml:space="preserve">Incentive Plan </w:t>
              <w:br/>
              <w:t xml:space="preserve">Awards: </w:t>
              <w:br/>
              <w:t xml:space="preserve">Number of </w:t>
              <w:br/>
              <w:t xml:space="preserve">Unearned </w:t>
              <w:br/>
              <w:t xml:space="preserve">Shares, Units </w:t>
              <w:br/>
              <w:t xml:space="preserve">or Other </w:t>
              <w:br/>
              <w:t xml:space="preserve">Rights that </w:t>
              <w:br/>
              <w:t xml:space="preserve">Have Not </w:t>
              <w:br/>
              <w:t>Vested</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36" w:type="dxa"/>
            <w:tcBorders>
              <w:bottom w:val="single" w:sz="6" w:space="0" w:color="002F56"/>
            </w:tcBorders>
            <w:shd w:fill="002F56" w:val="clear"/>
            <w:vAlign w:val="center"/>
          </w:tcPr>
          <w:p>
            <w:pPr>
              <w:pStyle w:val="TableContents"/>
              <w:bidi w:val="0"/>
              <w:spacing w:before="0" w:after="0"/>
              <w:jc w:val="center"/>
              <w:rPr/>
            </w:pPr>
            <w:r>
              <w:rPr>
                <w:spacing w:val="0"/>
              </w:rPr>
              <w:t xml:space="preserve">Equity </w:t>
              <w:br/>
              <w:t xml:space="preserve">Incentive Plan </w:t>
              <w:br/>
              <w:t xml:space="preserve">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w:t>
            </w:r>
            <w:r>
              <w:rPr/>
              <w:t xml:space="preserve"> </w:t>
              <w:br/>
            </w:r>
            <w:r>
              <w:rPr>
                <w:spacing w:val="-2"/>
              </w:rPr>
              <w:t xml:space="preserve">($) </w:t>
            </w:r>
          </w:p>
        </w:tc>
        <w:tc>
          <w:tcPr>
            <w:tcW w:w="154"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447" w:type="dxa"/>
            <w:vMerge w:val="restart"/>
            <w:tcBorders>
              <w:bottom w:val="single" w:sz="2" w:space="0" w:color="002F56"/>
            </w:tcBorders>
            <w:tcMar>
              <w:bottom w:w="56" w:type="dxa"/>
            </w:tcMar>
            <w:vAlign w:val="center"/>
          </w:tcPr>
          <w:p>
            <w:pPr>
              <w:pStyle w:val="TableContents"/>
              <w:bidi w:val="0"/>
              <w:spacing w:lineRule="atLeast" w:line="188" w:before="0" w:after="0"/>
              <w:jc w:val="left"/>
              <w:rPr>
                <w:spacing w:val="-1"/>
              </w:rPr>
            </w:pPr>
            <w:r>
              <w:rPr>
                <w:spacing w:val="-1"/>
              </w:rPr>
              <w:t xml:space="preserve">D.J. Monagle, </w:t>
              <w:br/>
              <w:t xml:space="preserve">III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lineRule="atLeast" w:line="188" w:before="0" w:after="283"/>
              <w:jc w:val="right"/>
              <w:rPr/>
            </w:pPr>
            <w:r>
              <w:rPr/>
              <w:t>11,543</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lineRule="atLeast" w:line="188" w:before="0" w:after="283"/>
              <w:jc w:val="right"/>
              <w:rPr/>
            </w:pPr>
            <w:r>
              <w:rPr/>
              <w:t>78.03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lineRule="atLeast" w:line="188" w:before="0" w:after="283"/>
              <w:jc w:val="right"/>
              <w:rPr/>
            </w:pPr>
            <w:r>
              <w:rPr/>
              <w:t>1/17/2027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12,295</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17,943</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54.44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1/22/2029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18,131</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57.67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16,315</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1/26/2031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16,346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69.81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1/25/2032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12,088</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6,044</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1/24/2033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3,259</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6,218</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66.72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8,997</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76.75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28" w:type="dxa"/>
            <w:tcBorders>
              <w:bottom w:val="single" w:sz="6" w:space="0" w:color="002F56"/>
            </w:tcBorders>
            <w:vAlign w:val="center"/>
          </w:tcPr>
          <w:p>
            <w:pPr>
              <w:pStyle w:val="TableContents"/>
              <w:bidi w:val="0"/>
              <w:spacing w:before="0" w:after="283"/>
              <w:jc w:val="left"/>
              <w:rPr/>
            </w:pPr>
            <w:r>
              <w:rPr/>
              <w:t>​</w:t>
            </w:r>
          </w:p>
        </w:tc>
        <w:tc>
          <w:tcPr>
            <w:tcW w:w="128" w:type="dxa"/>
            <w:tcBorders>
              <w:bottom w:val="single" w:sz="6" w:space="0" w:color="002F56"/>
            </w:tcBorders>
            <w:vAlign w:val="center"/>
          </w:tcPr>
          <w:p>
            <w:pPr>
              <w:pStyle w:val="TableContents"/>
              <w:bidi w:val="0"/>
              <w:spacing w:before="0" w:after="283"/>
              <w:jc w:val="right"/>
              <w:rPr/>
            </w:pPr>
            <w:r>
              <w:rPr/>
              <w:t>​</w:t>
            </w:r>
          </w:p>
        </w:tc>
        <w:tc>
          <w:tcPr>
            <w:tcW w:w="904"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63" w:type="dxa"/>
            <w:tcBorders>
              <w:bottom w:val="single" w:sz="6" w:space="0" w:color="002F56"/>
            </w:tcBorders>
            <w:vAlign w:val="center"/>
          </w:tcPr>
          <w:p>
            <w:pPr>
              <w:pStyle w:val="TableContents"/>
              <w:bidi w:val="0"/>
              <w:spacing w:before="0" w:after="283"/>
              <w:jc w:val="left"/>
              <w:rPr/>
            </w:pPr>
            <w:r>
              <w:rPr/>
              <w:t>​</w:t>
            </w:r>
          </w:p>
        </w:tc>
        <w:tc>
          <w:tcPr>
            <w:tcW w:w="163" w:type="dxa"/>
            <w:tcBorders>
              <w:bottom w:val="single" w:sz="6" w:space="0" w:color="002F56"/>
            </w:tcBorders>
            <w:vAlign w:val="center"/>
          </w:tcPr>
          <w:p>
            <w:pPr>
              <w:pStyle w:val="TableContents"/>
              <w:bidi w:val="0"/>
              <w:spacing w:before="0" w:after="283"/>
              <w:jc w:val="right"/>
              <w:rPr/>
            </w:pPr>
            <w:r>
              <w:rPr/>
              <w:t>​</w:t>
            </w:r>
          </w:p>
        </w:tc>
        <w:tc>
          <w:tcPr>
            <w:tcW w:w="966" w:type="dxa"/>
            <w:tcBorders>
              <w:bottom w:val="single" w:sz="6" w:space="0" w:color="002F56"/>
            </w:tcBorders>
            <w:vAlign w:val="center"/>
          </w:tcPr>
          <w:p>
            <w:pPr>
              <w:pStyle w:val="TableContents"/>
              <w:bidi w:val="0"/>
              <w:spacing w:before="0" w:after="283"/>
              <w:jc w:val="right"/>
              <w:rPr/>
            </w:pPr>
            <w:r>
              <w:rPr/>
              <w:t>​</w:t>
            </w:r>
          </w:p>
        </w:tc>
        <w:tc>
          <w:tcPr>
            <w:tcW w:w="164"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9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64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9"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796" w:type="dxa"/>
            <w:tcBorders>
              <w:bottom w:val="single" w:sz="6" w:space="0" w:color="002F56"/>
            </w:tcBorders>
            <w:tcMar>
              <w:bottom w:w="49" w:type="dxa"/>
            </w:tcMar>
            <w:vAlign w:val="center"/>
          </w:tcPr>
          <w:p>
            <w:pPr>
              <w:pStyle w:val="TableContents"/>
              <w:bidi w:val="0"/>
              <w:spacing w:before="0" w:after="283"/>
              <w:jc w:val="right"/>
              <w:rPr/>
            </w:pPr>
            <w:r>
              <w:rPr/>
              <w:t>21,584</w:t>
            </w:r>
            <w:r>
              <w:rPr>
                <w:sz w:val="10"/>
              </w:rPr>
              <w:t>(5)</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1,315,545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3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36"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447" w:type="dxa"/>
            <w:vMerge w:val="restart"/>
            <w:tcBorders>
              <w:bottom w:val="single" w:sz="2" w:space="0" w:color="002F56"/>
            </w:tcBorders>
            <w:tcMar>
              <w:bottom w:w="56" w:type="dxa"/>
            </w:tcMar>
            <w:vAlign w:val="center"/>
          </w:tcPr>
          <w:p>
            <w:pPr>
              <w:pStyle w:val="TableContents"/>
              <w:bidi w:val="0"/>
              <w:spacing w:lineRule="atLeast" w:line="188" w:before="0" w:after="0"/>
              <w:jc w:val="left"/>
              <w:rPr>
                <w:spacing w:val="-1"/>
              </w:rPr>
            </w:pPr>
            <w:r>
              <w:rPr>
                <w:spacing w:val="-1"/>
              </w:rPr>
              <w:t xml:space="preserve">B. Argirakis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lineRule="atLeast" w:line="188" w:before="0" w:after="283"/>
              <w:jc w:val="right"/>
              <w:rPr/>
            </w:pPr>
            <w:r>
              <w:rPr/>
              <w:t>4,271</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lineRule="atLeast" w:line="188" w:before="0" w:after="283"/>
              <w:jc w:val="right"/>
              <w:rPr/>
            </w:pPr>
            <w:r>
              <w:rPr/>
              <w:t>78.03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lineRule="atLeast" w:line="188" w:before="0" w:after="283"/>
              <w:jc w:val="right"/>
              <w:rPr/>
            </w:pPr>
            <w:r>
              <w:rPr/>
              <w:t>1/17/2027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5,164</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8,835</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54.44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1/22/2029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10,008</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57.67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10,132</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1/26/2031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11,176</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69.81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1/25/2032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9,179</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4,589</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1/24/2033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2,789</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5,578</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66.72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8,018</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76.75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44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28" w:type="dxa"/>
            <w:tcBorders>
              <w:bottom w:val="single" w:sz="6" w:space="0" w:color="002F56"/>
            </w:tcBorders>
            <w:vAlign w:val="center"/>
          </w:tcPr>
          <w:p>
            <w:pPr>
              <w:pStyle w:val="TableContents"/>
              <w:bidi w:val="0"/>
              <w:spacing w:before="0" w:after="283"/>
              <w:jc w:val="left"/>
              <w:rPr/>
            </w:pPr>
            <w:r>
              <w:rPr/>
              <w:t>​</w:t>
            </w:r>
          </w:p>
        </w:tc>
        <w:tc>
          <w:tcPr>
            <w:tcW w:w="128" w:type="dxa"/>
            <w:tcBorders>
              <w:bottom w:val="single" w:sz="6" w:space="0" w:color="002F56"/>
            </w:tcBorders>
            <w:vAlign w:val="center"/>
          </w:tcPr>
          <w:p>
            <w:pPr>
              <w:pStyle w:val="TableContents"/>
              <w:bidi w:val="0"/>
              <w:spacing w:before="0" w:after="283"/>
              <w:jc w:val="right"/>
              <w:rPr/>
            </w:pPr>
            <w:r>
              <w:rPr/>
              <w:t>​</w:t>
            </w:r>
          </w:p>
        </w:tc>
        <w:tc>
          <w:tcPr>
            <w:tcW w:w="904" w:type="dxa"/>
            <w:tcBorders>
              <w:bottom w:val="single" w:sz="6" w:space="0" w:color="002F56"/>
            </w:tcBorders>
            <w:vAlign w:val="center"/>
          </w:tcPr>
          <w:p>
            <w:pPr>
              <w:pStyle w:val="TableContents"/>
              <w:bidi w:val="0"/>
              <w:spacing w:before="0" w:after="283"/>
              <w:jc w:val="righ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63" w:type="dxa"/>
            <w:tcBorders>
              <w:bottom w:val="single" w:sz="6" w:space="0" w:color="002F56"/>
            </w:tcBorders>
            <w:vAlign w:val="center"/>
          </w:tcPr>
          <w:p>
            <w:pPr>
              <w:pStyle w:val="TableContents"/>
              <w:bidi w:val="0"/>
              <w:spacing w:before="0" w:after="283"/>
              <w:jc w:val="left"/>
              <w:rPr/>
            </w:pPr>
            <w:r>
              <w:rPr/>
              <w:t>​</w:t>
            </w:r>
          </w:p>
        </w:tc>
        <w:tc>
          <w:tcPr>
            <w:tcW w:w="163" w:type="dxa"/>
            <w:tcBorders>
              <w:bottom w:val="single" w:sz="6" w:space="0" w:color="002F56"/>
            </w:tcBorders>
            <w:vAlign w:val="center"/>
          </w:tcPr>
          <w:p>
            <w:pPr>
              <w:pStyle w:val="TableContents"/>
              <w:bidi w:val="0"/>
              <w:spacing w:before="0" w:after="283"/>
              <w:jc w:val="right"/>
              <w:rPr/>
            </w:pPr>
            <w:r>
              <w:rPr/>
              <w:t>​</w:t>
            </w:r>
          </w:p>
        </w:tc>
        <w:tc>
          <w:tcPr>
            <w:tcW w:w="966" w:type="dxa"/>
            <w:tcBorders>
              <w:bottom w:val="single" w:sz="6" w:space="0" w:color="002F56"/>
            </w:tcBorders>
            <w:vAlign w:val="center"/>
          </w:tcPr>
          <w:p>
            <w:pPr>
              <w:pStyle w:val="TableContents"/>
              <w:bidi w:val="0"/>
              <w:spacing w:before="0" w:after="283"/>
              <w:jc w:val="right"/>
              <w:rPr/>
            </w:pPr>
            <w:r>
              <w:rPr/>
              <w:t>​</w:t>
            </w:r>
          </w:p>
        </w:tc>
        <w:tc>
          <w:tcPr>
            <w:tcW w:w="164"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91"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646"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right"/>
              <w:rPr/>
            </w:pPr>
            <w:r>
              <w:rPr/>
              <w:t>​</w:t>
            </w:r>
          </w:p>
        </w:tc>
        <w:tc>
          <w:tcPr>
            <w:tcW w:w="769" w:type="dxa"/>
            <w:tcBorders>
              <w:bottom w:val="single" w:sz="6" w:space="0" w:color="002F56"/>
            </w:tcBorders>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796" w:type="dxa"/>
            <w:tcBorders>
              <w:bottom w:val="single" w:sz="6" w:space="0" w:color="002F56"/>
            </w:tcBorders>
            <w:tcMar>
              <w:bottom w:w="49" w:type="dxa"/>
            </w:tcMar>
            <w:vAlign w:val="center"/>
          </w:tcPr>
          <w:p>
            <w:pPr>
              <w:pStyle w:val="TableContents"/>
              <w:bidi w:val="0"/>
              <w:spacing w:before="0" w:after="283"/>
              <w:jc w:val="right"/>
              <w:rPr/>
            </w:pPr>
            <w:r>
              <w:rPr/>
              <w:t>18,502</w:t>
            </w:r>
            <w:r>
              <w:rPr>
                <w:sz w:val="10"/>
              </w:rPr>
              <w:t>(6)</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1,127,697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3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36"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447" w:type="dxa"/>
            <w:vMerge w:val="restart"/>
            <w:tcBorders>
              <w:bottom w:val="single" w:sz="12" w:space="0" w:color="71B1C8"/>
            </w:tcBorders>
            <w:vAlign w:val="center"/>
          </w:tcPr>
          <w:p>
            <w:pPr>
              <w:pStyle w:val="TableContents"/>
              <w:bidi w:val="0"/>
              <w:spacing w:lineRule="atLeast" w:line="188" w:before="0" w:after="0"/>
              <w:jc w:val="left"/>
              <w:rPr>
                <w:spacing w:val="-1"/>
              </w:rPr>
            </w:pPr>
            <w:r>
              <w:rPr>
                <w:spacing w:val="-1"/>
              </w:rPr>
              <w:t xml:space="preserve">J.J. Hastings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lineRule="atLeast" w:line="188" w:before="0" w:after="283"/>
              <w:jc w:val="right"/>
              <w:rPr/>
            </w:pPr>
            <w:r>
              <w:rPr/>
              <w:t>7,653</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lineRule="atLeast" w:line="188" w:before="0" w:after="283"/>
              <w:jc w:val="right"/>
              <w:rPr/>
            </w:pPr>
            <w:r>
              <w:rPr/>
              <w:t>78.03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lineRule="atLeast" w:line="188" w:before="0" w:after="283"/>
              <w:jc w:val="right"/>
              <w:rPr/>
            </w:pPr>
            <w:r>
              <w:rPr/>
              <w:t>1/17/2027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8,083</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1,847</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74.38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6/1/2028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13,830</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1/26/2031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14,451</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69.81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1/25/2032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10,484</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5,241</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66.08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1/24/2033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2,674</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5,346</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66.72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1/23/2034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vAlign w:val="center"/>
          </w:tcPr>
          <w:p>
            <w:pPr>
              <w:pStyle w:val="TableContents"/>
              <w:bidi w:val="0"/>
              <w:spacing w:before="0" w:after="283"/>
              <w:jc w:val="left"/>
              <w:rPr/>
            </w:pPr>
            <w:r>
              <w:rPr/>
              <w:t>​</w:t>
            </w:r>
          </w:p>
        </w:tc>
        <w:tc>
          <w:tcPr>
            <w:tcW w:w="128" w:type="dxa"/>
            <w:tcBorders>
              <w:bottom w:val="single" w:sz="6" w:space="0" w:color="CCCCCC"/>
            </w:tcBorders>
            <w:tcMar>
              <w:bottom w:w="56" w:type="dxa"/>
            </w:tcMar>
            <w:vAlign w:val="center"/>
          </w:tcPr>
          <w:p>
            <w:pPr>
              <w:pStyle w:val="TableContents"/>
              <w:bidi w:val="0"/>
              <w:spacing w:before="0" w:after="283"/>
              <w:jc w:val="right"/>
              <w:rPr/>
            </w:pPr>
            <w:r>
              <w:rPr/>
              <w:t>​</w:t>
            </w:r>
          </w:p>
        </w:tc>
        <w:tc>
          <w:tcPr>
            <w:tcW w:w="904" w:type="dxa"/>
            <w:tcBorders>
              <w:bottom w:val="single" w:sz="6" w:space="0" w:color="CCCCCC"/>
            </w:tcBorders>
            <w:tcMar>
              <w:bottom w:w="56" w:type="dxa"/>
            </w:tcMar>
            <w:vAlign w:val="center"/>
          </w:tcPr>
          <w:p>
            <w:pPr>
              <w:pStyle w:val="TableContents"/>
              <w:bidi w:val="0"/>
              <w:spacing w:before="0" w:after="283"/>
              <w:jc w:val="righ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vAlign w:val="center"/>
          </w:tcPr>
          <w:p>
            <w:pPr>
              <w:pStyle w:val="TableContents"/>
              <w:bidi w:val="0"/>
              <w:spacing w:before="0" w:after="283"/>
              <w:jc w:val="left"/>
              <w:rPr/>
            </w:pPr>
            <w:r>
              <w:rPr/>
              <w:t>​</w:t>
            </w:r>
          </w:p>
        </w:tc>
        <w:tc>
          <w:tcPr>
            <w:tcW w:w="163" w:type="dxa"/>
            <w:tcBorders>
              <w:bottom w:val="single" w:sz="6" w:space="0" w:color="CCCCCC"/>
            </w:tcBorders>
            <w:tcMar>
              <w:bottom w:w="56" w:type="dxa"/>
            </w:tcMar>
            <w:vAlign w:val="center"/>
          </w:tcPr>
          <w:p>
            <w:pPr>
              <w:pStyle w:val="TableContents"/>
              <w:bidi w:val="0"/>
              <w:spacing w:before="0" w:after="283"/>
              <w:jc w:val="right"/>
              <w:rPr/>
            </w:pPr>
            <w:r>
              <w:rPr/>
              <w:t>​</w:t>
            </w:r>
          </w:p>
        </w:tc>
        <w:tc>
          <w:tcPr>
            <w:tcW w:w="966" w:type="dxa"/>
            <w:tcBorders>
              <w:bottom w:val="single" w:sz="6" w:space="0" w:color="CCCCCC"/>
            </w:tcBorders>
            <w:tcMar>
              <w:bottom w:w="56" w:type="dxa"/>
            </w:tcMar>
            <w:vAlign w:val="center"/>
          </w:tcPr>
          <w:p>
            <w:pPr>
              <w:pStyle w:val="TableContents"/>
              <w:bidi w:val="0"/>
              <w:spacing w:before="0" w:after="283"/>
              <w:jc w:val="right"/>
              <w:rPr/>
            </w:pPr>
            <w:r>
              <w:rPr/>
              <w:t>7,181</w:t>
            </w:r>
          </w:p>
        </w:tc>
        <w:tc>
          <w:tcPr>
            <w:tcW w:w="16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91"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646" w:type="dxa"/>
            <w:tcBorders>
              <w:bottom w:val="single" w:sz="6" w:space="0" w:color="CCCCCC"/>
            </w:tcBorders>
            <w:tcMar>
              <w:bottom w:w="56" w:type="dxa"/>
            </w:tcMar>
            <w:vAlign w:val="center"/>
          </w:tcPr>
          <w:p>
            <w:pPr>
              <w:pStyle w:val="TableContents"/>
              <w:bidi w:val="0"/>
              <w:spacing w:before="0" w:after="283"/>
              <w:jc w:val="right"/>
              <w:rPr/>
            </w:pPr>
            <w:r>
              <w:rPr/>
              <w:t>76.75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69" w:type="dxa"/>
            <w:tcBorders>
              <w:bottom w:val="single" w:sz="6" w:space="0" w:color="CCCCCC"/>
            </w:tcBorders>
            <w:tcMar>
              <w:bottom w:w="56" w:type="dxa"/>
            </w:tcMar>
            <w:vAlign w:val="center"/>
          </w:tcPr>
          <w:p>
            <w:pPr>
              <w:pStyle w:val="TableContents"/>
              <w:bidi w:val="0"/>
              <w:spacing w:before="0" w:after="283"/>
              <w:jc w:val="right"/>
              <w:rPr/>
            </w:pPr>
            <w:r>
              <w:rPr/>
              <w:t>1/21/2035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79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36" w:type="dxa"/>
            <w:tcBorders>
              <w:bottom w:val="single" w:sz="6" w:space="0" w:color="CCCCCC"/>
            </w:tcBorders>
            <w:tcMar>
              <w:bottom w:w="56" w:type="dxa"/>
            </w:tcMar>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447" w:type="dxa"/>
            <w:vMerge w:val="continue"/>
            <w:tcBorders>
              <w:bottom w:val="single" w:sz="12" w:space="0" w:color="71B1C8"/>
            </w:tcBorders>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28" w:type="dxa"/>
            <w:tcBorders>
              <w:bottom w:val="single" w:sz="12" w:space="0" w:color="71B1C8"/>
            </w:tcBorders>
            <w:vAlign w:val="center"/>
          </w:tcPr>
          <w:p>
            <w:pPr>
              <w:pStyle w:val="TableContents"/>
              <w:bidi w:val="0"/>
              <w:spacing w:before="0" w:after="283"/>
              <w:jc w:val="left"/>
              <w:rPr/>
            </w:pPr>
            <w:r>
              <w:rPr/>
              <w:t>​</w:t>
            </w:r>
          </w:p>
        </w:tc>
        <w:tc>
          <w:tcPr>
            <w:tcW w:w="128" w:type="dxa"/>
            <w:tcBorders>
              <w:bottom w:val="single" w:sz="12" w:space="0" w:color="71B1C8"/>
            </w:tcBorders>
            <w:tcMar>
              <w:bottom w:w="48" w:type="dxa"/>
            </w:tcMar>
            <w:vAlign w:val="center"/>
          </w:tcPr>
          <w:p>
            <w:pPr>
              <w:pStyle w:val="TableContents"/>
              <w:bidi w:val="0"/>
              <w:spacing w:before="0" w:after="283"/>
              <w:jc w:val="right"/>
              <w:rPr/>
            </w:pPr>
            <w:r>
              <w:rPr/>
              <w:t>​</w:t>
            </w:r>
          </w:p>
        </w:tc>
        <w:tc>
          <w:tcPr>
            <w:tcW w:w="904" w:type="dxa"/>
            <w:tcBorders>
              <w:bottom w:val="single" w:sz="12" w:space="0" w:color="71B1C8"/>
            </w:tcBorders>
            <w:tcMar>
              <w:bottom w:w="48" w:type="dxa"/>
            </w:tcMar>
            <w:vAlign w:val="center"/>
          </w:tcPr>
          <w:p>
            <w:pPr>
              <w:pStyle w:val="TableContents"/>
              <w:bidi w:val="0"/>
              <w:spacing w:before="0" w:after="283"/>
              <w:jc w:val="right"/>
              <w:rPr/>
            </w:pPr>
            <w:r>
              <w:rPr/>
              <w:t>​</w:t>
            </w:r>
          </w:p>
        </w:tc>
        <w:tc>
          <w:tcPr>
            <w:tcW w:w="131"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63" w:type="dxa"/>
            <w:tcBorders>
              <w:bottom w:val="single" w:sz="12" w:space="0" w:color="71B1C8"/>
            </w:tcBorders>
            <w:vAlign w:val="center"/>
          </w:tcPr>
          <w:p>
            <w:pPr>
              <w:pStyle w:val="TableContents"/>
              <w:bidi w:val="0"/>
              <w:spacing w:before="0" w:after="283"/>
              <w:jc w:val="left"/>
              <w:rPr/>
            </w:pPr>
            <w:r>
              <w:rPr/>
              <w:t>​</w:t>
            </w:r>
          </w:p>
        </w:tc>
        <w:tc>
          <w:tcPr>
            <w:tcW w:w="163" w:type="dxa"/>
            <w:tcBorders>
              <w:bottom w:val="single" w:sz="12" w:space="0" w:color="71B1C8"/>
            </w:tcBorders>
            <w:tcMar>
              <w:bottom w:w="48" w:type="dxa"/>
            </w:tcMar>
            <w:vAlign w:val="center"/>
          </w:tcPr>
          <w:p>
            <w:pPr>
              <w:pStyle w:val="TableContents"/>
              <w:bidi w:val="0"/>
              <w:spacing w:before="0" w:after="283"/>
              <w:jc w:val="right"/>
              <w:rPr/>
            </w:pPr>
            <w:r>
              <w:rPr/>
              <w:t>​</w:t>
            </w:r>
          </w:p>
        </w:tc>
        <w:tc>
          <w:tcPr>
            <w:tcW w:w="966" w:type="dxa"/>
            <w:tcBorders>
              <w:bottom w:val="single" w:sz="12" w:space="0" w:color="71B1C8"/>
            </w:tcBorders>
            <w:tcMar>
              <w:bottom w:w="48" w:type="dxa"/>
            </w:tcMar>
            <w:vAlign w:val="center"/>
          </w:tcPr>
          <w:p>
            <w:pPr>
              <w:pStyle w:val="TableContents"/>
              <w:bidi w:val="0"/>
              <w:spacing w:before="0" w:after="283"/>
              <w:jc w:val="right"/>
              <w:rPr/>
            </w:pPr>
            <w:r>
              <w:rPr/>
              <w:t>​</w:t>
            </w:r>
          </w:p>
        </w:tc>
        <w:tc>
          <w:tcPr>
            <w:tcW w:w="164"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91" w:type="dxa"/>
            <w:tcBorders>
              <w:bottom w:val="single" w:sz="12" w:space="0" w:color="71B1C8"/>
            </w:tcBorders>
            <w:tcMar>
              <w:bottom w:w="48" w:type="dxa"/>
            </w:tcMar>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646" w:type="dxa"/>
            <w:tcBorders>
              <w:bottom w:val="single" w:sz="12" w:space="0" w:color="71B1C8"/>
            </w:tcBorders>
            <w:tcMar>
              <w:bottom w:w="48"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769" w:type="dxa"/>
            <w:tcBorders>
              <w:bottom w:val="single" w:sz="12" w:space="0" w:color="71B1C8"/>
            </w:tcBorders>
            <w:tcMar>
              <w:bottom w:w="48"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796" w:type="dxa"/>
            <w:tcBorders>
              <w:bottom w:val="single" w:sz="12" w:space="0" w:color="71B1C8"/>
            </w:tcBorders>
            <w:tcMar>
              <w:bottom w:w="48" w:type="dxa"/>
            </w:tcMar>
            <w:vAlign w:val="center"/>
          </w:tcPr>
          <w:p>
            <w:pPr>
              <w:pStyle w:val="TableContents"/>
              <w:bidi w:val="0"/>
              <w:spacing w:before="0" w:after="283"/>
              <w:jc w:val="right"/>
              <w:rPr/>
            </w:pPr>
            <w:r>
              <w:rPr/>
              <w:t>17,639</w:t>
            </w:r>
            <w:r>
              <w:rPr>
                <w:sz w:val="10"/>
              </w:rPr>
              <w:t>(7)</w:t>
            </w:r>
            <w:r>
              <w:rPr/>
              <w:t xml:space="preserve">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8" w:type="dxa"/>
            </w:tcMar>
            <w:vAlign w:val="center"/>
          </w:tcPr>
          <w:p>
            <w:pPr>
              <w:pStyle w:val="TableContents"/>
              <w:bidi w:val="0"/>
              <w:spacing w:before="0" w:after="283"/>
              <w:jc w:val="right"/>
              <w:rPr/>
            </w:pPr>
            <w:r>
              <w:rPr/>
              <w:t xml:space="preserve">1,075,097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36" w:type="dxa"/>
            <w:tcBorders>
              <w:bottom w:val="single" w:sz="12" w:space="0" w:color="71B1C8"/>
            </w:tcBorders>
            <w:tcMar>
              <w:bottom w:w="48" w:type="dxa"/>
            </w:tcMar>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36" w:type="dxa"/>
            <w:tcBorders>
              <w:bottom w:val="single" w:sz="12" w:space="0" w:color="71B1C8"/>
            </w:tcBorders>
            <w:tcMar>
              <w:bottom w:w="48" w:type="dxa"/>
            </w:tcMar>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46"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Option awards vest in three equal annual installments beginning on the first anniversary of the grant date and expire on the tenth anniversary of the grant date, subject to accelerated vesting in specified circumstances. The grant date is ten years earlier than the expiration date reported in the Option Expiration Date column.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2710" distB="0" distL="76200" distR="0" simplePos="0" locked="0" layoutInCell="1" allowOverlap="1" relativeHeight="833">
                <wp:simplePos x="0" y="0"/>
                <wp:positionH relativeFrom="column">
                  <wp:align>left</wp:align>
                </wp:positionH>
                <wp:positionV relativeFrom="line">
                  <wp:align>top</wp:align>
                </wp:positionV>
                <wp:extent cx="254000" cy="350520"/>
                <wp:effectExtent l="0" t="0" r="0" b="0"/>
                <wp:wrapSquare wrapText="right"/>
                <wp:docPr id="812"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7.3pt;mso-wrap-distance-bottom:0pt;margin-top:7.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market value is calculated by multiplying the number of DRSUs by $60.95, the closing price of the Company’s common stock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76200" distR="0" simplePos="0" locked="0" layoutInCell="1" allowOverlap="1" relativeHeight="834">
                <wp:simplePos x="0" y="0"/>
                <wp:positionH relativeFrom="column">
                  <wp:align>left</wp:align>
                </wp:positionH>
                <wp:positionV relativeFrom="line">
                  <wp:align>top</wp:align>
                </wp:positionV>
                <wp:extent cx="254000" cy="350520"/>
                <wp:effectExtent l="0" t="0" r="0" b="0"/>
                <wp:wrapSquare wrapText="right"/>
                <wp:docPr id="813"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5pt;mso-wrap-distance-bottom:0pt;margin-top:5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Consists of unvested portions of the following: 33,371 DRSU’s granted on January 24, 2023 and vesting in three equal annual installments beginning January 24, 2024. 33,049 DRSUs granted on January 23, 2024 and vesting in three equal annual installments beginning January 23, 2025. 30,098 DRSUs granted on January 21, 2025 and vesting in three equal annual installments beginning January 21,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76200" distR="0" simplePos="0" locked="0" layoutInCell="1" allowOverlap="1" relativeHeight="835">
                <wp:simplePos x="0" y="0"/>
                <wp:positionH relativeFrom="column">
                  <wp:align>left</wp:align>
                </wp:positionH>
                <wp:positionV relativeFrom="line">
                  <wp:align>top</wp:align>
                </wp:positionV>
                <wp:extent cx="254000" cy="350520"/>
                <wp:effectExtent l="0" t="0" r="0" b="0"/>
                <wp:wrapSquare wrapText="right"/>
                <wp:docPr id="814"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5pt;mso-wrap-distance-bottom:0pt;margin-top:5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Consists of unvested portions of the following: 5,524 DRSUs granted on January 24, 2023 and vesting in three equal annual installments beginning January 24, 2024. 6,728 DRSUs granted on January 23, 2024 and vesting in three equal annual installments beginning January 23, 2025. 6,733 DRSUs granted on January 21, 2025 and vesting in three equal annual installments beginning January 21,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76200" distR="0" simplePos="0" locked="0" layoutInCell="1" allowOverlap="1" relativeHeight="836">
                <wp:simplePos x="0" y="0"/>
                <wp:positionH relativeFrom="column">
                  <wp:align>left</wp:align>
                </wp:positionH>
                <wp:positionV relativeFrom="line">
                  <wp:align>top</wp:align>
                </wp:positionV>
                <wp:extent cx="254000" cy="350520"/>
                <wp:effectExtent l="0" t="0" r="0" b="0"/>
                <wp:wrapSquare wrapText="right"/>
                <wp:docPr id="815"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5pt;mso-wrap-distance-bottom:0pt;margin-top:5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64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OEAS"/>
      <w:bookmarkEnd w:id="87"/>
      <w:r>
        <w:rPr>
          <w:rFonts w:ascii="calibri;arial;sans-serif" w:hAnsi="calibri;arial;sans-serif"/>
          <w:b w:val="false"/>
          <w:i w:val="false"/>
          <w:caps w:val="false"/>
          <w:smallCaps w:val="false"/>
          <w:color w:val="000000"/>
          <w:sz w:val="16"/>
        </w:rPr>
        <w:t>​</w:t>
      </w:r>
      <w:bookmarkStart w:id="88" w:name="tPB2"/>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Consists of unvested portions of the following: 10,557 DRSUs granted on January 24, 2023 and vesting in three equal annual installments beginning January 24, 2024. 11,384 DRSUs granted on January 23, 2024 and vesting in three equal annual installments beginning January 23, 2025. 10,476 DRSUs granted on January 21, 2025 and vesting in three equal annual installments beginning January 21,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76200" distR="0" simplePos="0" locked="0" layoutInCell="1" allowOverlap="1" relativeHeight="837">
                <wp:simplePos x="0" y="0"/>
                <wp:positionH relativeFrom="column">
                  <wp:align>left</wp:align>
                </wp:positionH>
                <wp:positionV relativeFrom="line">
                  <wp:posOffset>635</wp:posOffset>
                </wp:positionV>
                <wp:extent cx="254000" cy="254000"/>
                <wp:effectExtent l="0" t="0" r="0" b="0"/>
                <wp:wrapSquare wrapText="right"/>
                <wp:docPr id="816" name="Frame53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(5)</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Consists of unvested portions of the following: 8,016 DRSUs granted on January 24, 2023 and vesting in three equal annual installments beginning January 24, 2024. 9,742 DRSUs granted on January 23, 2024 and vesting in three equal annual installments beginning January 23, 2025. 9,336 DRSUs granted on January 21, 2025 and vesting in three equal annual installments beginning January 21,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38">
                <wp:simplePos x="0" y="0"/>
                <wp:positionH relativeFrom="column">
                  <wp:align>left</wp:align>
                </wp:positionH>
                <wp:positionV relativeFrom="line">
                  <wp:align>top</wp:align>
                </wp:positionV>
                <wp:extent cx="254000" cy="254000"/>
                <wp:effectExtent l="0" t="0" r="0" b="0"/>
                <wp:wrapSquare wrapText="right"/>
                <wp:docPr id="817" name="Frame53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(6)</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Consists of unvested portions of the following: 9,155 DRSUs granted on January 24, 2023 and vesting in three equal annual installments beginning January 24, 2024. 9,339 DRSUs granted on January 23, 2024 and vesting in three equal annual installments beginning January 23, 2025. 8,362 DRSUs granted on January 21, 2025 and vesting in three equal annual installments beginning January 21,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39">
                <wp:simplePos x="0" y="0"/>
                <wp:positionH relativeFrom="column">
                  <wp:align>left</wp:align>
                </wp:positionH>
                <wp:positionV relativeFrom="line">
                  <wp:align>top</wp:align>
                </wp:positionV>
                <wp:extent cx="254000" cy="254000"/>
                <wp:effectExtent l="0" t="0" r="0" b="0"/>
                <wp:wrapSquare wrapText="right"/>
                <wp:docPr id="818" name="Frame53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(7)</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OPTION EXERCISES AND STOCK VESTED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discloses the number of shares acquired through option exercises and vesting of DRSUs and the value at the time of exercise and vesting by the named executive officers during 2025.</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1409"/>
        <w:gridCol w:w="109"/>
        <w:gridCol w:w="109"/>
        <w:gridCol w:w="167"/>
        <w:gridCol w:w="167"/>
        <w:gridCol w:w="1176"/>
        <w:gridCol w:w="167"/>
        <w:gridCol w:w="109"/>
        <w:gridCol w:w="109"/>
        <w:gridCol w:w="141"/>
        <w:gridCol w:w="141"/>
        <w:gridCol w:w="1154"/>
        <w:gridCol w:w="141"/>
        <w:gridCol w:w="109"/>
        <w:gridCol w:w="109"/>
        <w:gridCol w:w="169"/>
        <w:gridCol w:w="169"/>
        <w:gridCol w:w="1192"/>
        <w:gridCol w:w="169"/>
        <w:gridCol w:w="109"/>
        <w:gridCol w:w="109"/>
        <w:gridCol w:w="130"/>
        <w:gridCol w:w="130"/>
        <w:gridCol w:w="1275"/>
        <w:gridCol w:w="130"/>
        <w:gridCol w:w="162"/>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14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3472" w:type="dxa"/>
            <w:gridSpan w:val="10"/>
            <w:tcBorders>
              <w:bottom w:val="single" w:sz="6" w:space="0" w:color="71B1C8"/>
            </w:tcBorders>
            <w:shd w:fill="002F56" w:val="clear"/>
            <w:tcMar>
              <w:bottom w:w="55"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3582" w:type="dxa"/>
            <w:gridSpan w:val="10"/>
            <w:tcBorders>
              <w:bottom w:val="single" w:sz="6" w:space="0" w:color="71B1C8"/>
            </w:tcBorders>
            <w:shd w:fill="002F56" w:val="clear"/>
            <w:tcMar>
              <w:bottom w:w="55" w:type="dxa"/>
            </w:tcMar>
            <w:vAlign w:val="center"/>
          </w:tcPr>
          <w:p>
            <w:pPr>
              <w:pStyle w:val="TableContents"/>
              <w:bidi w:val="0"/>
              <w:spacing w:before="0" w:after="0"/>
              <w:jc w:val="center"/>
              <w:rPr>
                <w:spacing w:val="0"/>
              </w:rPr>
            </w:pPr>
            <w:r>
              <w:rPr>
                <w:spacing w:val="0"/>
              </w:rPr>
              <w:t xml:space="preserve">Stock Awards </w:t>
            </w:r>
          </w:p>
        </w:tc>
        <w:tc>
          <w:tcPr>
            <w:tcW w:w="162"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1409" w:type="dxa"/>
            <w:tcBorders/>
            <w:shd w:fill="002F56" w:val="clear"/>
            <w:tcMar>
              <w:bottom w:w="0" w:type="dxa"/>
            </w:tcMar>
            <w:vAlign w:val="center"/>
          </w:tcPr>
          <w:p>
            <w:pPr>
              <w:pStyle w:val="TableContents"/>
              <w:bidi w:val="0"/>
              <w:spacing w:before="0" w:after="0"/>
              <w:jc w:val="left"/>
              <w:rPr>
                <w:spacing w:val="0"/>
              </w:rPr>
            </w:pPr>
            <w:r>
              <w:rPr>
                <w:spacing w:val="0"/>
              </w:rPr>
              <w:t xml:space="preserve">Name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677" w:type="dxa"/>
            <w:gridSpan w:val="4"/>
            <w:tcBorders/>
            <w:shd w:fill="002F56" w:val="clear"/>
            <w:tcMar>
              <w:bottom w:w="0" w:type="dxa"/>
            </w:tcMar>
            <w:vAlign w:val="center"/>
          </w:tcPr>
          <w:p>
            <w:pPr>
              <w:pStyle w:val="TableContents"/>
              <w:bidi w:val="0"/>
              <w:spacing w:before="0" w:after="0"/>
              <w:jc w:val="center"/>
              <w:rPr/>
            </w:pPr>
            <w:r>
              <w:rPr>
                <w:spacing w:val="0"/>
              </w:rPr>
              <w:t xml:space="preserve">Number of Shares </w:t>
              <w:br/>
              <w:t>Acquired on Exercise</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577" w:type="dxa"/>
            <w:gridSpan w:val="4"/>
            <w:tcBorders/>
            <w:shd w:fill="002F56" w:val="clear"/>
            <w:tcMar>
              <w:bottom w:w="0" w:type="dxa"/>
            </w:tcMar>
            <w:vAlign w:val="center"/>
          </w:tcPr>
          <w:p>
            <w:pPr>
              <w:pStyle w:val="TableContents"/>
              <w:bidi w:val="0"/>
              <w:spacing w:before="0" w:after="0"/>
              <w:jc w:val="center"/>
              <w:rPr/>
            </w:pPr>
            <w:r>
              <w:rPr>
                <w:spacing w:val="0"/>
              </w:rPr>
              <w:t xml:space="preserve">Value Realized on </w:t>
              <w:br/>
              <w:t>Exercise</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699" w:type="dxa"/>
            <w:gridSpan w:val="4"/>
            <w:tcBorders/>
            <w:shd w:fill="002F56" w:val="clear"/>
            <w:tcMar>
              <w:bottom w:w="0" w:type="dxa"/>
            </w:tcMar>
            <w:vAlign w:val="center"/>
          </w:tcPr>
          <w:p>
            <w:pPr>
              <w:pStyle w:val="TableContents"/>
              <w:bidi w:val="0"/>
              <w:spacing w:lineRule="atLeast" w:line="142" w:before="0" w:after="0"/>
              <w:jc w:val="center"/>
              <w:rPr/>
            </w:pPr>
            <w:r>
              <w:rPr>
                <w:spacing w:val="0"/>
              </w:rPr>
              <w:t xml:space="preserve">Number of Shares </w:t>
              <w:br/>
              <w:t>Acquired on Vesting</w:t>
            </w:r>
            <w:r>
              <w:rPr>
                <w:spacing w:val="-2"/>
                <w:sz w:val="11"/>
              </w:rPr>
              <w:t>(1)</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665" w:type="dxa"/>
            <w:gridSpan w:val="4"/>
            <w:tcBorders/>
            <w:shd w:fill="002F56" w:val="clear"/>
            <w:tcMar>
              <w:bottom w:w="0" w:type="dxa"/>
            </w:tcMar>
            <w:vAlign w:val="center"/>
          </w:tcPr>
          <w:p>
            <w:pPr>
              <w:pStyle w:val="TableContents"/>
              <w:bidi w:val="0"/>
              <w:spacing w:before="0" w:after="0"/>
              <w:jc w:val="center"/>
              <w:rPr/>
            </w:pPr>
            <w:r>
              <w:rPr>
                <w:spacing w:val="0"/>
              </w:rPr>
              <w:t xml:space="preserve">Value Realized on </w:t>
              <w:br/>
              <w:t>Vesting</w:t>
            </w:r>
            <w:r>
              <w:rPr/>
              <w:t xml:space="preserve"> </w:t>
              <w:br/>
            </w:r>
            <w:r>
              <w:rPr>
                <w:spacing w:val="-2"/>
              </w:rPr>
              <w:t xml:space="preserve">($) </w:t>
            </w:r>
          </w:p>
        </w:tc>
        <w:tc>
          <w:tcPr>
            <w:tcW w:w="162"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40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tcMar>
              <w:bottom w:w="43" w:type="dxa"/>
            </w:tcMar>
            <w:vAlign w:val="center"/>
          </w:tcPr>
          <w:p>
            <w:pPr>
              <w:pStyle w:val="TableContents"/>
              <w:bidi w:val="0"/>
              <w:spacing w:before="0" w:after="283"/>
              <w:jc w:val="right"/>
              <w:rPr/>
            </w:pPr>
            <w:r>
              <w:rPr/>
              <w:t>​</w:t>
            </w:r>
          </w:p>
        </w:tc>
        <w:tc>
          <w:tcPr>
            <w:tcW w:w="1176" w:type="dxa"/>
            <w:tcBorders>
              <w:bottom w:val="single" w:sz="6" w:space="0" w:color="BFBFBF"/>
            </w:tcBorders>
            <w:tcMar>
              <w:bottom w:w="43" w:type="dxa"/>
            </w:tcMar>
            <w:vAlign w:val="center"/>
          </w:tcPr>
          <w:p>
            <w:pPr>
              <w:pStyle w:val="TableContents"/>
              <w:bidi w:val="0"/>
              <w:spacing w:before="0" w:after="283"/>
              <w:jc w:val="right"/>
              <w:rPr/>
            </w:pPr>
            <w:r>
              <w:rPr/>
              <w:t>—</w:t>
            </w:r>
          </w:p>
        </w:tc>
        <w:tc>
          <w:tcPr>
            <w:tcW w:w="16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tcMar>
              <w:bottom w:w="43" w:type="dxa"/>
            </w:tcMar>
            <w:vAlign w:val="center"/>
          </w:tcPr>
          <w:p>
            <w:pPr>
              <w:pStyle w:val="TableContents"/>
              <w:bidi w:val="0"/>
              <w:spacing w:before="0" w:after="283"/>
              <w:jc w:val="right"/>
              <w:rPr/>
            </w:pPr>
            <w:r>
              <w:rPr/>
              <w:t>​</w:t>
            </w:r>
          </w:p>
        </w:tc>
        <w:tc>
          <w:tcPr>
            <w:tcW w:w="1154" w:type="dxa"/>
            <w:tcBorders>
              <w:bottom w:val="single" w:sz="6" w:space="0" w:color="BFBFBF"/>
            </w:tcBorders>
            <w:tcMar>
              <w:bottom w:w="43" w:type="dxa"/>
            </w:tcMar>
            <w:vAlign w:val="center"/>
          </w:tcPr>
          <w:p>
            <w:pPr>
              <w:pStyle w:val="TableContents"/>
              <w:bidi w:val="0"/>
              <w:spacing w:before="0" w:after="283"/>
              <w:jc w:val="righ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tcMar>
              <w:bottom w:w="43" w:type="dxa"/>
            </w:tcMar>
            <w:vAlign w:val="center"/>
          </w:tcPr>
          <w:p>
            <w:pPr>
              <w:pStyle w:val="TableContents"/>
              <w:bidi w:val="0"/>
              <w:spacing w:before="0" w:after="283"/>
              <w:jc w:val="right"/>
              <w:rPr/>
            </w:pPr>
            <w:r>
              <w:rPr/>
              <w:t>​</w:t>
            </w:r>
          </w:p>
        </w:tc>
        <w:tc>
          <w:tcPr>
            <w:tcW w:w="1192" w:type="dxa"/>
            <w:tcBorders>
              <w:bottom w:val="single" w:sz="6" w:space="0" w:color="BFBFBF"/>
            </w:tcBorders>
            <w:tcMar>
              <w:bottom w:w="43" w:type="dxa"/>
            </w:tcMar>
            <w:vAlign w:val="center"/>
          </w:tcPr>
          <w:p>
            <w:pPr>
              <w:pStyle w:val="TableContents"/>
              <w:bidi w:val="0"/>
              <w:spacing w:before="0" w:after="283"/>
              <w:jc w:val="right"/>
              <w:rPr/>
            </w:pPr>
            <w:r>
              <w:rPr/>
              <w:t>51,690</w:t>
            </w:r>
          </w:p>
        </w:tc>
        <w:tc>
          <w:tcPr>
            <w:tcW w:w="16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tcMar>
              <w:bottom w:w="43" w:type="dxa"/>
            </w:tcMar>
            <w:vAlign w:val="center"/>
          </w:tcPr>
          <w:p>
            <w:pPr>
              <w:pStyle w:val="TableContents"/>
              <w:bidi w:val="0"/>
              <w:spacing w:before="0" w:after="283"/>
              <w:jc w:val="right"/>
              <w:rPr/>
            </w:pPr>
            <w:r>
              <w:rPr/>
              <w:t>​</w:t>
            </w:r>
          </w:p>
        </w:tc>
        <w:tc>
          <w:tcPr>
            <w:tcW w:w="1275" w:type="dxa"/>
            <w:tcBorders>
              <w:bottom w:val="single" w:sz="6" w:space="0" w:color="BFBFBF"/>
            </w:tcBorders>
            <w:tcMar>
              <w:bottom w:w="43" w:type="dxa"/>
            </w:tcMar>
            <w:vAlign w:val="center"/>
          </w:tcPr>
          <w:p>
            <w:pPr>
              <w:pStyle w:val="TableContents"/>
              <w:bidi w:val="0"/>
              <w:spacing w:before="0" w:after="283"/>
              <w:jc w:val="right"/>
              <w:rPr/>
            </w:pPr>
            <w:r>
              <w:rPr/>
              <w:t>4,568,238</w:t>
            </w:r>
          </w:p>
        </w:tc>
        <w:tc>
          <w:tcPr>
            <w:tcW w:w="130" w:type="dxa"/>
            <w:tcBorders>
              <w:bottom w:val="single" w:sz="6" w:space="0" w:color="BFBFBF"/>
            </w:tcBorders>
            <w:vAlign w:val="center"/>
          </w:tcPr>
          <w:p>
            <w:pPr>
              <w:pStyle w:val="TableContents"/>
              <w:bidi w:val="0"/>
              <w:spacing w:before="0" w:after="283"/>
              <w:jc w:val="left"/>
              <w:rPr/>
            </w:pPr>
            <w:r>
              <w:rPr/>
              <w:t>​</w:t>
            </w:r>
          </w:p>
        </w:tc>
        <w:tc>
          <w:tcPr>
            <w:tcW w:w="162"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40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tcMar>
              <w:bottom w:w="43" w:type="dxa"/>
            </w:tcMar>
            <w:vAlign w:val="center"/>
          </w:tcPr>
          <w:p>
            <w:pPr>
              <w:pStyle w:val="TableContents"/>
              <w:bidi w:val="0"/>
              <w:spacing w:before="0" w:after="283"/>
              <w:jc w:val="right"/>
              <w:rPr/>
            </w:pPr>
            <w:r>
              <w:rPr/>
              <w:t>​</w:t>
            </w:r>
          </w:p>
        </w:tc>
        <w:tc>
          <w:tcPr>
            <w:tcW w:w="1176" w:type="dxa"/>
            <w:tcBorders>
              <w:bottom w:val="single" w:sz="6" w:space="0" w:color="BFBFBF"/>
            </w:tcBorders>
            <w:tcMar>
              <w:bottom w:w="43" w:type="dxa"/>
            </w:tcMar>
            <w:vAlign w:val="center"/>
          </w:tcPr>
          <w:p>
            <w:pPr>
              <w:pStyle w:val="TableContents"/>
              <w:bidi w:val="0"/>
              <w:spacing w:before="0" w:after="283"/>
              <w:jc w:val="right"/>
              <w:rPr/>
            </w:pPr>
            <w:r>
              <w:rPr/>
              <w:t>—</w:t>
            </w:r>
          </w:p>
        </w:tc>
        <w:tc>
          <w:tcPr>
            <w:tcW w:w="16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tcMar>
              <w:bottom w:w="43" w:type="dxa"/>
            </w:tcMar>
            <w:vAlign w:val="center"/>
          </w:tcPr>
          <w:p>
            <w:pPr>
              <w:pStyle w:val="TableContents"/>
              <w:bidi w:val="0"/>
              <w:spacing w:before="0" w:after="283"/>
              <w:jc w:val="right"/>
              <w:rPr/>
            </w:pPr>
            <w:r>
              <w:rPr/>
              <w:t>​</w:t>
            </w:r>
          </w:p>
        </w:tc>
        <w:tc>
          <w:tcPr>
            <w:tcW w:w="1154" w:type="dxa"/>
            <w:tcBorders>
              <w:bottom w:val="single" w:sz="6" w:space="0" w:color="BFBFBF"/>
            </w:tcBorders>
            <w:tcMar>
              <w:bottom w:w="43" w:type="dxa"/>
            </w:tcMar>
            <w:vAlign w:val="center"/>
          </w:tcPr>
          <w:p>
            <w:pPr>
              <w:pStyle w:val="TableContents"/>
              <w:bidi w:val="0"/>
              <w:spacing w:before="0" w:after="283"/>
              <w:jc w:val="righ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tcMar>
              <w:bottom w:w="43" w:type="dxa"/>
            </w:tcMar>
            <w:vAlign w:val="center"/>
          </w:tcPr>
          <w:p>
            <w:pPr>
              <w:pStyle w:val="TableContents"/>
              <w:bidi w:val="0"/>
              <w:spacing w:before="0" w:after="283"/>
              <w:jc w:val="right"/>
              <w:rPr/>
            </w:pPr>
            <w:r>
              <w:rPr/>
              <w:t>​</w:t>
            </w:r>
          </w:p>
        </w:tc>
        <w:tc>
          <w:tcPr>
            <w:tcW w:w="1192" w:type="dxa"/>
            <w:tcBorders>
              <w:bottom w:val="single" w:sz="6" w:space="0" w:color="BFBFBF"/>
            </w:tcBorders>
            <w:tcMar>
              <w:bottom w:w="43" w:type="dxa"/>
            </w:tcMar>
            <w:vAlign w:val="center"/>
          </w:tcPr>
          <w:p>
            <w:pPr>
              <w:pStyle w:val="TableContents"/>
              <w:bidi w:val="0"/>
              <w:spacing w:before="0" w:after="283"/>
              <w:jc w:val="right"/>
              <w:rPr/>
            </w:pPr>
            <w:r>
              <w:rPr/>
              <w:t>4,970</w:t>
            </w:r>
          </w:p>
        </w:tc>
        <w:tc>
          <w:tcPr>
            <w:tcW w:w="16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tcMar>
              <w:bottom w:w="43" w:type="dxa"/>
            </w:tcMar>
            <w:vAlign w:val="center"/>
          </w:tcPr>
          <w:p>
            <w:pPr>
              <w:pStyle w:val="TableContents"/>
              <w:bidi w:val="0"/>
              <w:spacing w:before="0" w:after="283"/>
              <w:jc w:val="right"/>
              <w:rPr/>
            </w:pPr>
            <w:r>
              <w:rPr/>
              <w:t>​</w:t>
            </w:r>
          </w:p>
        </w:tc>
        <w:tc>
          <w:tcPr>
            <w:tcW w:w="1275" w:type="dxa"/>
            <w:tcBorders>
              <w:bottom w:val="single" w:sz="6" w:space="0" w:color="BFBFBF"/>
            </w:tcBorders>
            <w:tcMar>
              <w:bottom w:w="43" w:type="dxa"/>
            </w:tcMar>
            <w:vAlign w:val="center"/>
          </w:tcPr>
          <w:p>
            <w:pPr>
              <w:pStyle w:val="TableContents"/>
              <w:bidi w:val="0"/>
              <w:spacing w:before="0" w:after="283"/>
              <w:jc w:val="right"/>
              <w:rPr/>
            </w:pPr>
            <w:r>
              <w:rPr/>
              <w:t>395,762</w:t>
            </w:r>
          </w:p>
        </w:tc>
        <w:tc>
          <w:tcPr>
            <w:tcW w:w="130" w:type="dxa"/>
            <w:tcBorders>
              <w:bottom w:val="single" w:sz="6" w:space="0" w:color="BFBFBF"/>
            </w:tcBorders>
            <w:vAlign w:val="center"/>
          </w:tcPr>
          <w:p>
            <w:pPr>
              <w:pStyle w:val="TableContents"/>
              <w:bidi w:val="0"/>
              <w:spacing w:before="0" w:after="283"/>
              <w:jc w:val="left"/>
              <w:rPr/>
            </w:pPr>
            <w:r>
              <w:rPr/>
              <w:t>​</w:t>
            </w:r>
          </w:p>
        </w:tc>
        <w:tc>
          <w:tcPr>
            <w:tcW w:w="162"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40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D.J. Monagle, III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tcMar>
              <w:bottom w:w="43" w:type="dxa"/>
            </w:tcMar>
            <w:vAlign w:val="center"/>
          </w:tcPr>
          <w:p>
            <w:pPr>
              <w:pStyle w:val="TableContents"/>
              <w:bidi w:val="0"/>
              <w:spacing w:before="0" w:after="283"/>
              <w:jc w:val="right"/>
              <w:rPr/>
            </w:pPr>
            <w:r>
              <w:rPr/>
              <w:t>​</w:t>
            </w:r>
          </w:p>
        </w:tc>
        <w:tc>
          <w:tcPr>
            <w:tcW w:w="1176" w:type="dxa"/>
            <w:tcBorders>
              <w:bottom w:val="single" w:sz="6" w:space="0" w:color="BFBFBF"/>
            </w:tcBorders>
            <w:tcMar>
              <w:bottom w:w="43" w:type="dxa"/>
            </w:tcMar>
            <w:vAlign w:val="center"/>
          </w:tcPr>
          <w:p>
            <w:pPr>
              <w:pStyle w:val="TableContents"/>
              <w:bidi w:val="0"/>
              <w:spacing w:before="0" w:after="283"/>
              <w:jc w:val="right"/>
              <w:rPr/>
            </w:pPr>
            <w:r>
              <w:rPr/>
              <w:t>23,093</w:t>
            </w:r>
          </w:p>
        </w:tc>
        <w:tc>
          <w:tcPr>
            <w:tcW w:w="16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tcMar>
              <w:bottom w:w="43" w:type="dxa"/>
            </w:tcMar>
            <w:vAlign w:val="center"/>
          </w:tcPr>
          <w:p>
            <w:pPr>
              <w:pStyle w:val="TableContents"/>
              <w:bidi w:val="0"/>
              <w:spacing w:before="0" w:after="283"/>
              <w:jc w:val="right"/>
              <w:rPr/>
            </w:pPr>
            <w:r>
              <w:rPr/>
              <w:t>​</w:t>
            </w:r>
          </w:p>
        </w:tc>
        <w:tc>
          <w:tcPr>
            <w:tcW w:w="1154" w:type="dxa"/>
            <w:tcBorders>
              <w:bottom w:val="single" w:sz="6" w:space="0" w:color="BFBFBF"/>
            </w:tcBorders>
            <w:tcMar>
              <w:bottom w:w="43" w:type="dxa"/>
            </w:tcMar>
            <w:vAlign w:val="center"/>
          </w:tcPr>
          <w:p>
            <w:pPr>
              <w:pStyle w:val="TableContents"/>
              <w:bidi w:val="0"/>
              <w:spacing w:before="0" w:after="283"/>
              <w:jc w:val="right"/>
              <w:rPr/>
            </w:pPr>
            <w:r>
              <w:rPr/>
              <w:t>545,408</w:t>
            </w:r>
          </w:p>
        </w:tc>
        <w:tc>
          <w:tcPr>
            <w:tcW w:w="141"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tcMar>
              <w:bottom w:w="43" w:type="dxa"/>
            </w:tcMar>
            <w:vAlign w:val="center"/>
          </w:tcPr>
          <w:p>
            <w:pPr>
              <w:pStyle w:val="TableContents"/>
              <w:bidi w:val="0"/>
              <w:spacing w:before="0" w:after="283"/>
              <w:jc w:val="right"/>
              <w:rPr/>
            </w:pPr>
            <w:r>
              <w:rPr/>
              <w:t>​</w:t>
            </w:r>
          </w:p>
        </w:tc>
        <w:tc>
          <w:tcPr>
            <w:tcW w:w="1192" w:type="dxa"/>
            <w:tcBorders>
              <w:bottom w:val="single" w:sz="6" w:space="0" w:color="BFBFBF"/>
            </w:tcBorders>
            <w:tcMar>
              <w:bottom w:w="43" w:type="dxa"/>
            </w:tcMar>
            <w:vAlign w:val="center"/>
          </w:tcPr>
          <w:p>
            <w:pPr>
              <w:pStyle w:val="TableContents"/>
              <w:bidi w:val="0"/>
              <w:spacing w:before="0" w:after="283"/>
              <w:jc w:val="right"/>
              <w:rPr/>
            </w:pPr>
            <w:r>
              <w:rPr/>
              <w:t>17,129</w:t>
            </w:r>
          </w:p>
        </w:tc>
        <w:tc>
          <w:tcPr>
            <w:tcW w:w="16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tcMar>
              <w:bottom w:w="43" w:type="dxa"/>
            </w:tcMar>
            <w:vAlign w:val="center"/>
          </w:tcPr>
          <w:p>
            <w:pPr>
              <w:pStyle w:val="TableContents"/>
              <w:bidi w:val="0"/>
              <w:spacing w:before="0" w:after="283"/>
              <w:jc w:val="right"/>
              <w:rPr/>
            </w:pPr>
            <w:r>
              <w:rPr/>
              <w:t>​</w:t>
            </w:r>
          </w:p>
        </w:tc>
        <w:tc>
          <w:tcPr>
            <w:tcW w:w="1275" w:type="dxa"/>
            <w:tcBorders>
              <w:bottom w:val="single" w:sz="6" w:space="0" w:color="BFBFBF"/>
            </w:tcBorders>
            <w:tcMar>
              <w:bottom w:w="43" w:type="dxa"/>
            </w:tcMar>
            <w:vAlign w:val="center"/>
          </w:tcPr>
          <w:p>
            <w:pPr>
              <w:pStyle w:val="TableContents"/>
              <w:bidi w:val="0"/>
              <w:spacing w:before="0" w:after="283"/>
              <w:jc w:val="right"/>
              <w:rPr/>
            </w:pPr>
            <w:r>
              <w:rPr/>
              <w:t>1,514,322</w:t>
            </w:r>
          </w:p>
        </w:tc>
        <w:tc>
          <w:tcPr>
            <w:tcW w:w="130" w:type="dxa"/>
            <w:tcBorders>
              <w:bottom w:val="single" w:sz="6" w:space="0" w:color="BFBFBF"/>
            </w:tcBorders>
            <w:vAlign w:val="center"/>
          </w:tcPr>
          <w:p>
            <w:pPr>
              <w:pStyle w:val="TableContents"/>
              <w:bidi w:val="0"/>
              <w:spacing w:before="0" w:after="283"/>
              <w:jc w:val="left"/>
              <w:rPr/>
            </w:pPr>
            <w:r>
              <w:rPr/>
              <w:t>​</w:t>
            </w:r>
          </w:p>
        </w:tc>
        <w:tc>
          <w:tcPr>
            <w:tcW w:w="162"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140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vAlign w:val="center"/>
          </w:tcPr>
          <w:p>
            <w:pPr>
              <w:pStyle w:val="TableContents"/>
              <w:bidi w:val="0"/>
              <w:spacing w:before="0" w:after="283"/>
              <w:jc w:val="left"/>
              <w:rPr/>
            </w:pPr>
            <w:r>
              <w:rPr/>
              <w:t>​</w:t>
            </w:r>
          </w:p>
        </w:tc>
        <w:tc>
          <w:tcPr>
            <w:tcW w:w="167" w:type="dxa"/>
            <w:tcBorders>
              <w:bottom w:val="single" w:sz="6" w:space="0" w:color="BFBFBF"/>
            </w:tcBorders>
            <w:tcMar>
              <w:bottom w:w="43" w:type="dxa"/>
            </w:tcMar>
            <w:vAlign w:val="center"/>
          </w:tcPr>
          <w:p>
            <w:pPr>
              <w:pStyle w:val="TableContents"/>
              <w:bidi w:val="0"/>
              <w:spacing w:before="0" w:after="283"/>
              <w:jc w:val="right"/>
              <w:rPr/>
            </w:pPr>
            <w:r>
              <w:rPr/>
              <w:t>​</w:t>
            </w:r>
          </w:p>
        </w:tc>
        <w:tc>
          <w:tcPr>
            <w:tcW w:w="1176" w:type="dxa"/>
            <w:tcBorders>
              <w:bottom w:val="single" w:sz="6" w:space="0" w:color="BFBFBF"/>
            </w:tcBorders>
            <w:tcMar>
              <w:bottom w:w="43" w:type="dxa"/>
            </w:tcMar>
            <w:vAlign w:val="center"/>
          </w:tcPr>
          <w:p>
            <w:pPr>
              <w:pStyle w:val="TableContents"/>
              <w:bidi w:val="0"/>
              <w:spacing w:before="0" w:after="283"/>
              <w:jc w:val="right"/>
              <w:rPr/>
            </w:pPr>
            <w:r>
              <w:rPr/>
              <w:t>6,501</w:t>
            </w:r>
          </w:p>
        </w:tc>
        <w:tc>
          <w:tcPr>
            <w:tcW w:w="167"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vAlign w:val="center"/>
          </w:tcPr>
          <w:p>
            <w:pPr>
              <w:pStyle w:val="TableContents"/>
              <w:bidi w:val="0"/>
              <w:spacing w:before="0" w:after="283"/>
              <w:jc w:val="left"/>
              <w:rPr/>
            </w:pPr>
            <w:r>
              <w:rPr/>
              <w:t>​</w:t>
            </w:r>
          </w:p>
        </w:tc>
        <w:tc>
          <w:tcPr>
            <w:tcW w:w="141" w:type="dxa"/>
            <w:tcBorders>
              <w:bottom w:val="single" w:sz="6" w:space="0" w:color="BFBFBF"/>
            </w:tcBorders>
            <w:tcMar>
              <w:bottom w:w="43" w:type="dxa"/>
            </w:tcMar>
            <w:vAlign w:val="center"/>
          </w:tcPr>
          <w:p>
            <w:pPr>
              <w:pStyle w:val="TableContents"/>
              <w:bidi w:val="0"/>
              <w:spacing w:before="0" w:after="283"/>
              <w:jc w:val="right"/>
              <w:rPr/>
            </w:pPr>
            <w:r>
              <w:rPr/>
              <w:t>​</w:t>
            </w:r>
          </w:p>
        </w:tc>
        <w:tc>
          <w:tcPr>
            <w:tcW w:w="1154" w:type="dxa"/>
            <w:tcBorders>
              <w:bottom w:val="single" w:sz="6" w:space="0" w:color="BFBFBF"/>
            </w:tcBorders>
            <w:tcMar>
              <w:bottom w:w="43" w:type="dxa"/>
            </w:tcMar>
            <w:vAlign w:val="center"/>
          </w:tcPr>
          <w:p>
            <w:pPr>
              <w:pStyle w:val="TableContents"/>
              <w:bidi w:val="0"/>
              <w:spacing w:before="0" w:after="283"/>
              <w:jc w:val="right"/>
              <w:rPr/>
            </w:pPr>
            <w:r>
              <w:rPr/>
              <w:t>132,568</w:t>
            </w:r>
          </w:p>
        </w:tc>
        <w:tc>
          <w:tcPr>
            <w:tcW w:w="141"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vAlign w:val="center"/>
          </w:tcPr>
          <w:p>
            <w:pPr>
              <w:pStyle w:val="TableContents"/>
              <w:bidi w:val="0"/>
              <w:spacing w:before="0" w:after="283"/>
              <w:jc w:val="left"/>
              <w:rPr/>
            </w:pPr>
            <w:r>
              <w:rPr/>
              <w:t>​</w:t>
            </w:r>
          </w:p>
        </w:tc>
        <w:tc>
          <w:tcPr>
            <w:tcW w:w="169" w:type="dxa"/>
            <w:tcBorders>
              <w:bottom w:val="single" w:sz="6" w:space="0" w:color="BFBFBF"/>
            </w:tcBorders>
            <w:tcMar>
              <w:bottom w:w="43" w:type="dxa"/>
            </w:tcMar>
            <w:vAlign w:val="center"/>
          </w:tcPr>
          <w:p>
            <w:pPr>
              <w:pStyle w:val="TableContents"/>
              <w:bidi w:val="0"/>
              <w:spacing w:before="0" w:after="283"/>
              <w:jc w:val="right"/>
              <w:rPr/>
            </w:pPr>
            <w:r>
              <w:rPr/>
              <w:t>​</w:t>
            </w:r>
          </w:p>
        </w:tc>
        <w:tc>
          <w:tcPr>
            <w:tcW w:w="1192" w:type="dxa"/>
            <w:tcBorders>
              <w:bottom w:val="single" w:sz="6" w:space="0" w:color="BFBFBF"/>
            </w:tcBorders>
            <w:tcMar>
              <w:bottom w:w="43" w:type="dxa"/>
            </w:tcMar>
            <w:vAlign w:val="center"/>
          </w:tcPr>
          <w:p>
            <w:pPr>
              <w:pStyle w:val="TableContents"/>
              <w:bidi w:val="0"/>
              <w:spacing w:before="0" w:after="283"/>
              <w:jc w:val="right"/>
              <w:rPr/>
            </w:pPr>
            <w:r>
              <w:rPr/>
              <w:t>12,631</w:t>
            </w:r>
          </w:p>
        </w:tc>
        <w:tc>
          <w:tcPr>
            <w:tcW w:w="16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vAlign w:val="center"/>
          </w:tcPr>
          <w:p>
            <w:pPr>
              <w:pStyle w:val="TableContents"/>
              <w:bidi w:val="0"/>
              <w:spacing w:before="0" w:after="283"/>
              <w:jc w:val="left"/>
              <w:rPr/>
            </w:pPr>
            <w:r>
              <w:rPr/>
              <w:t>​</w:t>
            </w:r>
          </w:p>
        </w:tc>
        <w:tc>
          <w:tcPr>
            <w:tcW w:w="130" w:type="dxa"/>
            <w:tcBorders>
              <w:bottom w:val="single" w:sz="6" w:space="0" w:color="BFBFBF"/>
            </w:tcBorders>
            <w:tcMar>
              <w:bottom w:w="43" w:type="dxa"/>
            </w:tcMar>
            <w:vAlign w:val="center"/>
          </w:tcPr>
          <w:p>
            <w:pPr>
              <w:pStyle w:val="TableContents"/>
              <w:bidi w:val="0"/>
              <w:spacing w:before="0" w:after="283"/>
              <w:jc w:val="right"/>
              <w:rPr/>
            </w:pPr>
            <w:r>
              <w:rPr/>
              <w:t>​</w:t>
            </w:r>
          </w:p>
        </w:tc>
        <w:tc>
          <w:tcPr>
            <w:tcW w:w="1275" w:type="dxa"/>
            <w:tcBorders>
              <w:bottom w:val="single" w:sz="6" w:space="0" w:color="BFBFBF"/>
            </w:tcBorders>
            <w:tcMar>
              <w:bottom w:w="43" w:type="dxa"/>
            </w:tcMar>
            <w:vAlign w:val="center"/>
          </w:tcPr>
          <w:p>
            <w:pPr>
              <w:pStyle w:val="TableContents"/>
              <w:bidi w:val="0"/>
              <w:spacing w:before="0" w:after="283"/>
              <w:jc w:val="right"/>
              <w:rPr/>
            </w:pPr>
            <w:r>
              <w:rPr/>
              <w:t>1,104,946</w:t>
            </w:r>
          </w:p>
        </w:tc>
        <w:tc>
          <w:tcPr>
            <w:tcW w:w="130" w:type="dxa"/>
            <w:tcBorders>
              <w:bottom w:val="single" w:sz="6" w:space="0" w:color="BFBFBF"/>
            </w:tcBorders>
            <w:vAlign w:val="center"/>
          </w:tcPr>
          <w:p>
            <w:pPr>
              <w:pStyle w:val="TableContents"/>
              <w:bidi w:val="0"/>
              <w:spacing w:before="0" w:after="283"/>
              <w:jc w:val="left"/>
              <w:rPr/>
            </w:pPr>
            <w:r>
              <w:rPr/>
              <w:t>​</w:t>
            </w:r>
          </w:p>
        </w:tc>
        <w:tc>
          <w:tcPr>
            <w:tcW w:w="162"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1409" w:type="dxa"/>
            <w:tcBorders>
              <w:bottom w:val="single" w:sz="12" w:space="0" w:color="71B1C8"/>
            </w:tcBorders>
            <w:vAlign w:val="center"/>
          </w:tcPr>
          <w:p>
            <w:pPr>
              <w:pStyle w:val="TableContents"/>
              <w:bidi w:val="0"/>
              <w:spacing w:before="0" w:after="283"/>
              <w:jc w:val="left"/>
              <w:rPr>
                <w:spacing w:val="-1"/>
              </w:rPr>
            </w:pPr>
            <w:r>
              <w:rPr>
                <w:spacing w:val="-1"/>
              </w:rPr>
              <w:t xml:space="preserve">J.J. Hastings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67" w:type="dxa"/>
            <w:tcBorders>
              <w:bottom w:val="single" w:sz="12" w:space="0" w:color="71B1C8"/>
            </w:tcBorders>
            <w:vAlign w:val="center"/>
          </w:tcPr>
          <w:p>
            <w:pPr>
              <w:pStyle w:val="TableContents"/>
              <w:bidi w:val="0"/>
              <w:spacing w:before="0" w:after="283"/>
              <w:jc w:val="left"/>
              <w:rPr/>
            </w:pPr>
            <w:r>
              <w:rPr/>
              <w:t>​</w:t>
            </w:r>
          </w:p>
        </w:tc>
        <w:tc>
          <w:tcPr>
            <w:tcW w:w="167" w:type="dxa"/>
            <w:tcBorders>
              <w:bottom w:val="single" w:sz="12" w:space="0" w:color="71B1C8"/>
            </w:tcBorders>
            <w:vAlign w:val="center"/>
          </w:tcPr>
          <w:p>
            <w:pPr>
              <w:pStyle w:val="TableContents"/>
              <w:bidi w:val="0"/>
              <w:spacing w:before="0" w:after="283"/>
              <w:jc w:val="right"/>
              <w:rPr/>
            </w:pPr>
            <w:r>
              <w:rPr/>
              <w:t>​</w:t>
            </w:r>
          </w:p>
        </w:tc>
        <w:tc>
          <w:tcPr>
            <w:tcW w:w="1176" w:type="dxa"/>
            <w:tcBorders>
              <w:bottom w:val="single" w:sz="12" w:space="0" w:color="71B1C8"/>
            </w:tcBorders>
            <w:vAlign w:val="center"/>
          </w:tcPr>
          <w:p>
            <w:pPr>
              <w:pStyle w:val="TableContents"/>
              <w:bidi w:val="0"/>
              <w:spacing w:before="0" w:after="283"/>
              <w:jc w:val="right"/>
              <w:rPr/>
            </w:pPr>
            <w:r>
              <w:rPr/>
              <w:t>—</w:t>
            </w:r>
          </w:p>
        </w:tc>
        <w:tc>
          <w:tcPr>
            <w:tcW w:w="167"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41" w:type="dxa"/>
            <w:tcBorders>
              <w:bottom w:val="single" w:sz="12" w:space="0" w:color="71B1C8"/>
            </w:tcBorders>
            <w:vAlign w:val="center"/>
          </w:tcPr>
          <w:p>
            <w:pPr>
              <w:pStyle w:val="TableContents"/>
              <w:bidi w:val="0"/>
              <w:spacing w:before="0" w:after="283"/>
              <w:jc w:val="left"/>
              <w:rPr/>
            </w:pPr>
            <w:r>
              <w:rPr/>
              <w:t>​</w:t>
            </w:r>
          </w:p>
        </w:tc>
        <w:tc>
          <w:tcPr>
            <w:tcW w:w="141" w:type="dxa"/>
            <w:tcBorders>
              <w:bottom w:val="single" w:sz="12" w:space="0" w:color="71B1C8"/>
            </w:tcBorders>
            <w:vAlign w:val="center"/>
          </w:tcPr>
          <w:p>
            <w:pPr>
              <w:pStyle w:val="TableContents"/>
              <w:bidi w:val="0"/>
              <w:spacing w:before="0" w:after="283"/>
              <w:jc w:val="right"/>
              <w:rPr/>
            </w:pPr>
            <w:r>
              <w:rPr/>
              <w:t>​</w:t>
            </w:r>
          </w:p>
        </w:tc>
        <w:tc>
          <w:tcPr>
            <w:tcW w:w="1154" w:type="dxa"/>
            <w:tcBorders>
              <w:bottom w:val="single" w:sz="12" w:space="0" w:color="71B1C8"/>
            </w:tcBorders>
            <w:vAlign w:val="center"/>
          </w:tcPr>
          <w:p>
            <w:pPr>
              <w:pStyle w:val="TableContents"/>
              <w:bidi w:val="0"/>
              <w:spacing w:before="0" w:after="283"/>
              <w:jc w:val="right"/>
              <w:rPr/>
            </w:pPr>
            <w:r>
              <w:rPr/>
              <w:t>—</w:t>
            </w:r>
          </w:p>
        </w:tc>
        <w:tc>
          <w:tcPr>
            <w:tcW w:w="141"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69" w:type="dxa"/>
            <w:tcBorders>
              <w:bottom w:val="single" w:sz="12" w:space="0" w:color="71B1C8"/>
            </w:tcBorders>
            <w:vAlign w:val="center"/>
          </w:tcPr>
          <w:p>
            <w:pPr>
              <w:pStyle w:val="TableContents"/>
              <w:bidi w:val="0"/>
              <w:spacing w:before="0" w:after="283"/>
              <w:jc w:val="left"/>
              <w:rPr/>
            </w:pPr>
            <w:r>
              <w:rPr/>
              <w:t>​</w:t>
            </w:r>
          </w:p>
        </w:tc>
        <w:tc>
          <w:tcPr>
            <w:tcW w:w="169" w:type="dxa"/>
            <w:tcBorders>
              <w:bottom w:val="single" w:sz="12" w:space="0" w:color="71B1C8"/>
            </w:tcBorders>
            <w:vAlign w:val="center"/>
          </w:tcPr>
          <w:p>
            <w:pPr>
              <w:pStyle w:val="TableContents"/>
              <w:bidi w:val="0"/>
              <w:spacing w:before="0" w:after="283"/>
              <w:jc w:val="right"/>
              <w:rPr/>
            </w:pPr>
            <w:r>
              <w:rPr/>
              <w:t>​</w:t>
            </w:r>
          </w:p>
        </w:tc>
        <w:tc>
          <w:tcPr>
            <w:tcW w:w="1192" w:type="dxa"/>
            <w:tcBorders>
              <w:bottom w:val="single" w:sz="12" w:space="0" w:color="71B1C8"/>
            </w:tcBorders>
            <w:vAlign w:val="center"/>
          </w:tcPr>
          <w:p>
            <w:pPr>
              <w:pStyle w:val="TableContents"/>
              <w:bidi w:val="0"/>
              <w:spacing w:before="0" w:after="283"/>
              <w:jc w:val="right"/>
              <w:rPr/>
            </w:pPr>
            <w:r>
              <w:rPr/>
              <w:t>14,842</w:t>
            </w:r>
          </w:p>
        </w:tc>
        <w:tc>
          <w:tcPr>
            <w:tcW w:w="16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30" w:type="dxa"/>
            <w:tcBorders>
              <w:bottom w:val="single" w:sz="12" w:space="0" w:color="71B1C8"/>
            </w:tcBorders>
            <w:vAlign w:val="center"/>
          </w:tcPr>
          <w:p>
            <w:pPr>
              <w:pStyle w:val="TableContents"/>
              <w:bidi w:val="0"/>
              <w:spacing w:before="0" w:after="283"/>
              <w:jc w:val="left"/>
              <w:rPr/>
            </w:pPr>
            <w:r>
              <w:rPr/>
              <w:t>​</w:t>
            </w:r>
          </w:p>
        </w:tc>
        <w:tc>
          <w:tcPr>
            <w:tcW w:w="130" w:type="dxa"/>
            <w:tcBorders>
              <w:bottom w:val="single" w:sz="12" w:space="0" w:color="71B1C8"/>
            </w:tcBorders>
            <w:vAlign w:val="center"/>
          </w:tcPr>
          <w:p>
            <w:pPr>
              <w:pStyle w:val="TableContents"/>
              <w:bidi w:val="0"/>
              <w:spacing w:before="0" w:after="283"/>
              <w:jc w:val="right"/>
              <w:rPr/>
            </w:pPr>
            <w:r>
              <w:rPr/>
              <w:t>​</w:t>
            </w:r>
          </w:p>
        </w:tc>
        <w:tc>
          <w:tcPr>
            <w:tcW w:w="1275" w:type="dxa"/>
            <w:tcBorders>
              <w:bottom w:val="single" w:sz="12" w:space="0" w:color="71B1C8"/>
            </w:tcBorders>
            <w:vAlign w:val="center"/>
          </w:tcPr>
          <w:p>
            <w:pPr>
              <w:pStyle w:val="TableContents"/>
              <w:bidi w:val="0"/>
              <w:spacing w:before="0" w:after="283"/>
              <w:jc w:val="right"/>
              <w:rPr/>
            </w:pPr>
            <w:r>
              <w:rPr/>
              <w:t>1,315,980</w:t>
            </w:r>
          </w:p>
        </w:tc>
        <w:tc>
          <w:tcPr>
            <w:tcW w:w="130" w:type="dxa"/>
            <w:tcBorders>
              <w:bottom w:val="single" w:sz="12" w:space="0" w:color="71B1C8"/>
            </w:tcBorders>
            <w:vAlign w:val="center"/>
          </w:tcPr>
          <w:p>
            <w:pPr>
              <w:pStyle w:val="TableContents"/>
              <w:bidi w:val="0"/>
              <w:spacing w:before="0" w:after="283"/>
              <w:jc w:val="left"/>
              <w:rPr/>
            </w:pPr>
            <w:r>
              <w:rPr/>
              <w:t>​</w:t>
            </w:r>
          </w:p>
        </w:tc>
        <w:tc>
          <w:tcPr>
            <w:tcW w:w="162"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7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Certain of these shares were withheld for the payment of taxes.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7950" distB="0" distL="76200" distR="0" simplePos="0" locked="0" layoutInCell="1" allowOverlap="1" relativeHeight="840">
                <wp:simplePos x="0" y="0"/>
                <wp:positionH relativeFrom="column">
                  <wp:align>left</wp:align>
                </wp:positionH>
                <wp:positionV relativeFrom="line">
                  <wp:align>top</wp:align>
                </wp:positionV>
                <wp:extent cx="254000" cy="254000"/>
                <wp:effectExtent l="0" t="0" r="0" b="0"/>
                <wp:wrapSquare wrapText="right"/>
                <wp:docPr id="819" name="Frame53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8.5pt;mso-wrap-distance-bottom:0pt;margin-top:8.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PENSION BENEFITS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table below quantifies the benefits expected to be paid to the named executive officers from the Company’s defined benefit pension plans.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1371"/>
        <w:gridCol w:w="109"/>
        <w:gridCol w:w="109"/>
        <w:gridCol w:w="2148"/>
        <w:gridCol w:w="109"/>
        <w:gridCol w:w="109"/>
        <w:gridCol w:w="214"/>
        <w:gridCol w:w="214"/>
        <w:gridCol w:w="1066"/>
        <w:gridCol w:w="216"/>
        <w:gridCol w:w="109"/>
        <w:gridCol w:w="109"/>
        <w:gridCol w:w="109"/>
        <w:gridCol w:w="109"/>
        <w:gridCol w:w="1077"/>
        <w:gridCol w:w="109"/>
        <w:gridCol w:w="109"/>
        <w:gridCol w:w="109"/>
        <w:gridCol w:w="225"/>
        <w:gridCol w:w="225"/>
        <w:gridCol w:w="716"/>
        <w:gridCol w:w="228"/>
        <w:gridCol w:w="162"/>
      </w:tblGrid>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1371" w:type="dxa"/>
            <w:tcBorders>
              <w:bottom w:val="single" w:sz="6" w:space="0" w:color="002F56"/>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2148" w:type="dxa"/>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Plan Name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710"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Present Value of Number </w:t>
              <w:br/>
              <w:t>of Years Credited Service</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04" w:type="dxa"/>
            <w:gridSpan w:val="4"/>
            <w:tcBorders>
              <w:bottom w:val="single" w:sz="6" w:space="0" w:color="002F56"/>
            </w:tcBorders>
            <w:shd w:fill="002F56" w:val="clear"/>
            <w:vAlign w:val="center"/>
          </w:tcPr>
          <w:p>
            <w:pPr>
              <w:pStyle w:val="TableContents"/>
              <w:bidi w:val="0"/>
              <w:spacing w:lineRule="atLeast" w:line="142" w:before="0" w:after="0"/>
              <w:jc w:val="center"/>
              <w:rPr/>
            </w:pPr>
            <w:r>
              <w:rPr>
                <w:spacing w:val="0"/>
              </w:rPr>
              <w:t xml:space="preserve">Accumulated </w:t>
              <w:br/>
              <w:t>Benefit</w:t>
            </w:r>
            <w:r>
              <w:rPr>
                <w:spacing w:val="-2"/>
                <w:sz w:val="11"/>
              </w:rPr>
              <w:t>(1)</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4"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Payments During </w:t>
              <w:br/>
              <w:t>Last Fiscal Year</w:t>
            </w:r>
            <w:r>
              <w:rPr/>
              <w:t xml:space="preserve"> </w:t>
              <w:br/>
            </w:r>
            <w:r>
              <w:rPr>
                <w:spacing w:val="-2"/>
              </w:rPr>
              <w:t xml:space="preserve">($) </w:t>
            </w:r>
          </w:p>
        </w:tc>
        <w:tc>
          <w:tcPr>
            <w:tcW w:w="162"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71" w:type="dxa"/>
            <w:vMerge w:val="restart"/>
            <w:tcBorders>
              <w:bottom w:val="single" w:sz="2" w:space="0" w:color="002F56"/>
            </w:tcBorders>
            <w:tcMar>
              <w:bottom w:w="53" w:type="dxa"/>
            </w:tcMar>
            <w:vAlign w:val="center"/>
          </w:tcPr>
          <w:p>
            <w:pPr>
              <w:pStyle w:val="TableContents"/>
              <w:bidi w:val="0"/>
              <w:spacing w:lineRule="atLeast" w:line="212" w:before="0" w:after="0"/>
              <w:jc w:val="left"/>
              <w:rPr>
                <w:spacing w:val="-1"/>
              </w:rPr>
            </w:pPr>
            <w:r>
              <w:rPr>
                <w:spacing w:val="-1"/>
              </w:rPr>
              <w:t xml:space="preserve">D.T. Dietrich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8" w:type="dxa"/>
            <w:tcBorders>
              <w:bottom w:val="single" w:sz="6" w:space="0" w:color="CCCCCC"/>
            </w:tcBorders>
            <w:tcMar>
              <w:bottom w:w="53" w:type="dxa"/>
            </w:tcMar>
            <w:vAlign w:val="center"/>
          </w:tcPr>
          <w:p>
            <w:pPr>
              <w:pStyle w:val="TableContents"/>
              <w:bidi w:val="0"/>
              <w:spacing w:lineRule="atLeast" w:line="212" w:before="0" w:after="0"/>
              <w:jc w:val="left"/>
              <w:rPr>
                <w:spacing w:val="-1"/>
              </w:rPr>
            </w:pPr>
            <w:r>
              <w:rPr>
                <w:spacing w:val="-1"/>
              </w:rPr>
              <w:t xml:space="preserve">Retirement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66" w:type="dxa"/>
            <w:tcBorders>
              <w:bottom w:val="single" w:sz="6" w:space="0" w:color="CCCCCC"/>
            </w:tcBorders>
            <w:tcMar>
              <w:bottom w:w="53" w:type="dxa"/>
            </w:tcMar>
            <w:vAlign w:val="center"/>
          </w:tcPr>
          <w:p>
            <w:pPr>
              <w:pStyle w:val="TableContents"/>
              <w:bidi w:val="0"/>
              <w:spacing w:lineRule="atLeast" w:line="212" w:before="0" w:after="283"/>
              <w:jc w:val="right"/>
              <w:rPr/>
            </w:pPr>
            <w:r>
              <w:rPr/>
              <w:t>18.4</w:t>
            </w:r>
          </w:p>
        </w:tc>
        <w:tc>
          <w:tcPr>
            <w:tcW w:w="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77" w:type="dxa"/>
            <w:tcBorders>
              <w:bottom w:val="single" w:sz="6" w:space="0" w:color="CCCCCC"/>
            </w:tcBorders>
            <w:tcMar>
              <w:bottom w:w="53" w:type="dxa"/>
            </w:tcMar>
            <w:vAlign w:val="center"/>
          </w:tcPr>
          <w:p>
            <w:pPr>
              <w:pStyle w:val="TableContents"/>
              <w:bidi w:val="0"/>
              <w:spacing w:lineRule="atLeast" w:line="212" w:before="0" w:after="283"/>
              <w:jc w:val="right"/>
              <w:rPr/>
            </w:pPr>
            <w:r>
              <w:rPr/>
              <w:t>318,536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71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28" w:type="dxa"/>
            <w:tcBorders>
              <w:bottom w:val="single" w:sz="6" w:space="0" w:color="CCCCCC"/>
            </w:tcBorders>
            <w:vAlign w:val="center"/>
          </w:tcPr>
          <w:p>
            <w:pPr>
              <w:pStyle w:val="TableContents"/>
              <w:bidi w:val="0"/>
              <w:spacing w:before="0" w:after="283"/>
              <w:jc w:val="left"/>
              <w:rPr/>
            </w:pPr>
            <w:r>
              <w:rPr/>
              <w:t>​</w:t>
            </w:r>
          </w:p>
        </w:tc>
        <w:tc>
          <w:tcPr>
            <w:tcW w:w="162"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71" w:type="dxa"/>
            <w:vMerge w:val="continue"/>
            <w:tcBorders>
              <w:bottom w:val="single" w:sz="2" w:space="0" w:color="002F56"/>
            </w:tcBorders>
            <w:tcMar>
              <w:bottom w:w="53"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2148" w:type="dxa"/>
            <w:tcBorders>
              <w:bottom w:val="single" w:sz="6" w:space="0" w:color="002F56"/>
            </w:tcBorders>
            <w:tcMar>
              <w:bottom w:w="46" w:type="dxa"/>
            </w:tcMar>
            <w:vAlign w:val="center"/>
          </w:tcPr>
          <w:p>
            <w:pPr>
              <w:pStyle w:val="TableContents"/>
              <w:bidi w:val="0"/>
              <w:spacing w:before="0" w:after="0"/>
              <w:jc w:val="left"/>
              <w:rPr>
                <w:spacing w:val="-1"/>
              </w:rPr>
            </w:pPr>
            <w:r>
              <w:rPr>
                <w:spacing w:val="-1"/>
              </w:rPr>
              <w:t xml:space="preserve">Supplemental Retirement Plan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tcMar>
              <w:bottom w:w="46" w:type="dxa"/>
            </w:tcMar>
            <w:vAlign w:val="center"/>
          </w:tcPr>
          <w:p>
            <w:pPr>
              <w:pStyle w:val="TableContents"/>
              <w:bidi w:val="0"/>
              <w:spacing w:before="0" w:after="283"/>
              <w:jc w:val="right"/>
              <w:rPr/>
            </w:pPr>
            <w:r>
              <w:rPr/>
              <w:t>​</w:t>
            </w:r>
          </w:p>
        </w:tc>
        <w:tc>
          <w:tcPr>
            <w:tcW w:w="1066" w:type="dxa"/>
            <w:tcBorders>
              <w:bottom w:val="single" w:sz="6" w:space="0" w:color="002F56"/>
            </w:tcBorders>
            <w:tcMar>
              <w:bottom w:w="46" w:type="dxa"/>
            </w:tcMar>
            <w:vAlign w:val="center"/>
          </w:tcPr>
          <w:p>
            <w:pPr>
              <w:pStyle w:val="TableContents"/>
              <w:bidi w:val="0"/>
              <w:spacing w:before="0" w:after="283"/>
              <w:jc w:val="right"/>
              <w:rPr/>
            </w:pPr>
            <w:r>
              <w:rPr/>
              <w:t>18.4</w:t>
            </w:r>
          </w:p>
        </w:tc>
        <w:tc>
          <w:tcPr>
            <w:tcW w:w="21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1077" w:type="dxa"/>
            <w:tcBorders>
              <w:bottom w:val="single" w:sz="6" w:space="0" w:color="002F56"/>
            </w:tcBorders>
            <w:tcMar>
              <w:bottom w:w="46" w:type="dxa"/>
            </w:tcMar>
            <w:vAlign w:val="center"/>
          </w:tcPr>
          <w:p>
            <w:pPr>
              <w:pStyle w:val="TableContents"/>
              <w:bidi w:val="0"/>
              <w:spacing w:before="0" w:after="283"/>
              <w:jc w:val="right"/>
              <w:rPr/>
            </w:pPr>
            <w:r>
              <w:rPr/>
              <w:t>1,457,881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tcMar>
              <w:bottom w:w="46" w:type="dxa"/>
            </w:tcMar>
            <w:vAlign w:val="center"/>
          </w:tcPr>
          <w:p>
            <w:pPr>
              <w:pStyle w:val="TableContents"/>
              <w:bidi w:val="0"/>
              <w:spacing w:before="0" w:after="283"/>
              <w:jc w:val="right"/>
              <w:rPr/>
            </w:pPr>
            <w:r>
              <w:rPr/>
              <w:t>​</w:t>
            </w:r>
          </w:p>
        </w:tc>
        <w:tc>
          <w:tcPr>
            <w:tcW w:w="716" w:type="dxa"/>
            <w:tcBorders>
              <w:bottom w:val="single" w:sz="6" w:space="0" w:color="002F56"/>
            </w:tcBorders>
            <w:tcMar>
              <w:bottom w:w="46" w:type="dxa"/>
            </w:tcMar>
            <w:vAlign w:val="center"/>
          </w:tcPr>
          <w:p>
            <w:pPr>
              <w:pStyle w:val="TableContents"/>
              <w:bidi w:val="0"/>
              <w:spacing w:before="0" w:after="283"/>
              <w:jc w:val="right"/>
              <w:rPr/>
            </w:pPr>
            <w:r>
              <w:rPr/>
              <w:t>—</w:t>
            </w:r>
          </w:p>
        </w:tc>
        <w:tc>
          <w:tcPr>
            <w:tcW w:w="228" w:type="dxa"/>
            <w:tcBorders>
              <w:bottom w:val="single" w:sz="6" w:space="0" w:color="002F56"/>
            </w:tcBorders>
            <w:vAlign w:val="center"/>
          </w:tcPr>
          <w:p>
            <w:pPr>
              <w:pStyle w:val="TableContents"/>
              <w:bidi w:val="0"/>
              <w:spacing w:before="0" w:after="283"/>
              <w:jc w:val="left"/>
              <w:rPr/>
            </w:pPr>
            <w:r>
              <w:rPr/>
              <w:t>​</w:t>
            </w:r>
          </w:p>
        </w:tc>
        <w:tc>
          <w:tcPr>
            <w:tcW w:w="162"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71" w:type="dxa"/>
            <w:vMerge w:val="restart"/>
            <w:tcBorders>
              <w:bottom w:val="single" w:sz="2" w:space="0" w:color="002F56"/>
            </w:tcBorders>
            <w:tcMar>
              <w:bottom w:w="53" w:type="dxa"/>
            </w:tcMar>
            <w:vAlign w:val="center"/>
          </w:tcPr>
          <w:p>
            <w:pPr>
              <w:pStyle w:val="TableContents"/>
              <w:bidi w:val="0"/>
              <w:spacing w:lineRule="atLeast" w:line="212" w:before="0" w:after="0"/>
              <w:jc w:val="left"/>
              <w:rPr>
                <w:spacing w:val="-1"/>
              </w:rPr>
            </w:pPr>
            <w:r>
              <w:rPr>
                <w:spacing w:val="-1"/>
              </w:rPr>
              <w:t xml:space="preserve">E.C. Aldag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8" w:type="dxa"/>
            <w:tcBorders>
              <w:bottom w:val="single" w:sz="6" w:space="0" w:color="CCCCCC"/>
            </w:tcBorders>
            <w:tcMar>
              <w:bottom w:w="53" w:type="dxa"/>
            </w:tcMar>
            <w:vAlign w:val="center"/>
          </w:tcPr>
          <w:p>
            <w:pPr>
              <w:pStyle w:val="TableContents"/>
              <w:bidi w:val="0"/>
              <w:spacing w:lineRule="atLeast" w:line="212" w:before="0" w:after="0"/>
              <w:jc w:val="left"/>
              <w:rPr>
                <w:spacing w:val="-1"/>
              </w:rPr>
            </w:pPr>
            <w:r>
              <w:rPr>
                <w:spacing w:val="-1"/>
              </w:rPr>
              <w:t xml:space="preserve">Retirement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6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77"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71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28" w:type="dxa"/>
            <w:tcBorders>
              <w:bottom w:val="single" w:sz="6" w:space="0" w:color="CCCCCC"/>
            </w:tcBorders>
            <w:vAlign w:val="center"/>
          </w:tcPr>
          <w:p>
            <w:pPr>
              <w:pStyle w:val="TableContents"/>
              <w:bidi w:val="0"/>
              <w:spacing w:before="0" w:after="283"/>
              <w:jc w:val="left"/>
              <w:rPr/>
            </w:pPr>
            <w:r>
              <w:rPr/>
              <w:t>​</w:t>
            </w:r>
          </w:p>
        </w:tc>
        <w:tc>
          <w:tcPr>
            <w:tcW w:w="162"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71" w:type="dxa"/>
            <w:vMerge w:val="continue"/>
            <w:tcBorders>
              <w:bottom w:val="single" w:sz="2" w:space="0" w:color="002F56"/>
            </w:tcBorders>
            <w:tcMar>
              <w:bottom w:w="53"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2148" w:type="dxa"/>
            <w:tcBorders>
              <w:bottom w:val="single" w:sz="6" w:space="0" w:color="002F56"/>
            </w:tcBorders>
            <w:tcMar>
              <w:bottom w:w="46" w:type="dxa"/>
            </w:tcMar>
            <w:vAlign w:val="center"/>
          </w:tcPr>
          <w:p>
            <w:pPr>
              <w:pStyle w:val="TableContents"/>
              <w:bidi w:val="0"/>
              <w:spacing w:before="0" w:after="0"/>
              <w:jc w:val="left"/>
              <w:rPr>
                <w:spacing w:val="-1"/>
              </w:rPr>
            </w:pPr>
            <w:r>
              <w:rPr>
                <w:spacing w:val="-1"/>
              </w:rPr>
              <w:t xml:space="preserve">Supplemental Retirement Plan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tcMar>
              <w:bottom w:w="46" w:type="dxa"/>
            </w:tcMar>
            <w:vAlign w:val="center"/>
          </w:tcPr>
          <w:p>
            <w:pPr>
              <w:pStyle w:val="TableContents"/>
              <w:bidi w:val="0"/>
              <w:spacing w:before="0" w:after="283"/>
              <w:jc w:val="right"/>
              <w:rPr/>
            </w:pPr>
            <w:r>
              <w:rPr/>
              <w:t>​</w:t>
            </w:r>
          </w:p>
        </w:tc>
        <w:tc>
          <w:tcPr>
            <w:tcW w:w="1066" w:type="dxa"/>
            <w:tcBorders>
              <w:bottom w:val="single" w:sz="6" w:space="0" w:color="002F56"/>
            </w:tcBorders>
            <w:tcMar>
              <w:bottom w:w="46" w:type="dxa"/>
            </w:tcMar>
            <w:vAlign w:val="center"/>
          </w:tcPr>
          <w:p>
            <w:pPr>
              <w:pStyle w:val="TableContents"/>
              <w:bidi w:val="0"/>
              <w:spacing w:before="0" w:after="283"/>
              <w:jc w:val="right"/>
              <w:rPr/>
            </w:pPr>
            <w:r>
              <w:rPr/>
              <w:t>—</w:t>
            </w:r>
          </w:p>
        </w:tc>
        <w:tc>
          <w:tcPr>
            <w:tcW w:w="21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1077" w:type="dxa"/>
            <w:tcBorders>
              <w:bottom w:val="single" w:sz="6" w:space="0" w:color="002F56"/>
            </w:tcBorders>
            <w:tcMar>
              <w:bottom w:w="46" w:type="dxa"/>
            </w:tcMar>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tcMar>
              <w:bottom w:w="46" w:type="dxa"/>
            </w:tcMar>
            <w:vAlign w:val="center"/>
          </w:tcPr>
          <w:p>
            <w:pPr>
              <w:pStyle w:val="TableContents"/>
              <w:bidi w:val="0"/>
              <w:spacing w:before="0" w:after="283"/>
              <w:jc w:val="right"/>
              <w:rPr/>
            </w:pPr>
            <w:r>
              <w:rPr/>
              <w:t>​</w:t>
            </w:r>
          </w:p>
        </w:tc>
        <w:tc>
          <w:tcPr>
            <w:tcW w:w="716" w:type="dxa"/>
            <w:tcBorders>
              <w:bottom w:val="single" w:sz="6" w:space="0" w:color="002F56"/>
            </w:tcBorders>
            <w:tcMar>
              <w:bottom w:w="46" w:type="dxa"/>
            </w:tcMar>
            <w:vAlign w:val="center"/>
          </w:tcPr>
          <w:p>
            <w:pPr>
              <w:pStyle w:val="TableContents"/>
              <w:bidi w:val="0"/>
              <w:spacing w:before="0" w:after="283"/>
              <w:jc w:val="right"/>
              <w:rPr/>
            </w:pPr>
            <w:r>
              <w:rPr/>
              <w:t>—</w:t>
            </w:r>
          </w:p>
        </w:tc>
        <w:tc>
          <w:tcPr>
            <w:tcW w:w="228" w:type="dxa"/>
            <w:tcBorders>
              <w:bottom w:val="single" w:sz="6" w:space="0" w:color="002F56"/>
            </w:tcBorders>
            <w:vAlign w:val="center"/>
          </w:tcPr>
          <w:p>
            <w:pPr>
              <w:pStyle w:val="TableContents"/>
              <w:bidi w:val="0"/>
              <w:spacing w:before="0" w:after="283"/>
              <w:jc w:val="left"/>
              <w:rPr/>
            </w:pPr>
            <w:r>
              <w:rPr/>
              <w:t>​</w:t>
            </w:r>
          </w:p>
        </w:tc>
        <w:tc>
          <w:tcPr>
            <w:tcW w:w="162"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71" w:type="dxa"/>
            <w:vMerge w:val="restart"/>
            <w:tcBorders>
              <w:bottom w:val="single" w:sz="2" w:space="0" w:color="002F56"/>
            </w:tcBorders>
            <w:tcMar>
              <w:bottom w:w="53" w:type="dxa"/>
            </w:tcMar>
            <w:vAlign w:val="center"/>
          </w:tcPr>
          <w:p>
            <w:pPr>
              <w:pStyle w:val="TableContents"/>
              <w:bidi w:val="0"/>
              <w:spacing w:lineRule="atLeast" w:line="212" w:before="0" w:after="0"/>
              <w:jc w:val="left"/>
              <w:rPr>
                <w:spacing w:val="-1"/>
              </w:rPr>
            </w:pPr>
            <w:r>
              <w:rPr>
                <w:spacing w:val="-1"/>
              </w:rPr>
              <w:t xml:space="preserve">D.J. Monagle, III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8" w:type="dxa"/>
            <w:tcBorders>
              <w:bottom w:val="single" w:sz="6" w:space="0" w:color="CCCCCC"/>
            </w:tcBorders>
            <w:tcMar>
              <w:bottom w:w="53" w:type="dxa"/>
            </w:tcMar>
            <w:vAlign w:val="center"/>
          </w:tcPr>
          <w:p>
            <w:pPr>
              <w:pStyle w:val="TableContents"/>
              <w:bidi w:val="0"/>
              <w:spacing w:lineRule="atLeast" w:line="212" w:before="0" w:after="0"/>
              <w:jc w:val="left"/>
              <w:rPr>
                <w:spacing w:val="-1"/>
              </w:rPr>
            </w:pPr>
            <w:r>
              <w:rPr>
                <w:spacing w:val="-1"/>
              </w:rPr>
              <w:t xml:space="preserve">Retirement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66" w:type="dxa"/>
            <w:tcBorders>
              <w:bottom w:val="single" w:sz="6" w:space="0" w:color="CCCCCC"/>
            </w:tcBorders>
            <w:tcMar>
              <w:bottom w:w="53" w:type="dxa"/>
            </w:tcMar>
            <w:vAlign w:val="center"/>
          </w:tcPr>
          <w:p>
            <w:pPr>
              <w:pStyle w:val="TableContents"/>
              <w:bidi w:val="0"/>
              <w:spacing w:lineRule="atLeast" w:line="212" w:before="0" w:after="283"/>
              <w:jc w:val="right"/>
              <w:rPr/>
            </w:pPr>
            <w:r>
              <w:rPr/>
              <w:t xml:space="preserve">23.0 </w:t>
            </w:r>
          </w:p>
        </w:tc>
        <w:tc>
          <w:tcPr>
            <w:tcW w:w="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77" w:type="dxa"/>
            <w:tcBorders>
              <w:bottom w:val="single" w:sz="6" w:space="0" w:color="CCCCCC"/>
            </w:tcBorders>
            <w:tcMar>
              <w:bottom w:w="53" w:type="dxa"/>
            </w:tcMar>
            <w:vAlign w:val="center"/>
          </w:tcPr>
          <w:p>
            <w:pPr>
              <w:pStyle w:val="TableContents"/>
              <w:bidi w:val="0"/>
              <w:spacing w:lineRule="atLeast" w:line="212" w:before="0" w:after="283"/>
              <w:jc w:val="right"/>
              <w:rPr/>
            </w:pPr>
            <w:r>
              <w:rPr/>
              <w:t>394,347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71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28" w:type="dxa"/>
            <w:tcBorders>
              <w:bottom w:val="single" w:sz="6" w:space="0" w:color="CCCCCC"/>
            </w:tcBorders>
            <w:vAlign w:val="center"/>
          </w:tcPr>
          <w:p>
            <w:pPr>
              <w:pStyle w:val="TableContents"/>
              <w:bidi w:val="0"/>
              <w:spacing w:before="0" w:after="283"/>
              <w:jc w:val="left"/>
              <w:rPr/>
            </w:pPr>
            <w:r>
              <w:rPr/>
              <w:t>​</w:t>
            </w:r>
          </w:p>
        </w:tc>
        <w:tc>
          <w:tcPr>
            <w:tcW w:w="162"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71" w:type="dxa"/>
            <w:vMerge w:val="continue"/>
            <w:tcBorders>
              <w:bottom w:val="single" w:sz="2" w:space="0" w:color="002F56"/>
            </w:tcBorders>
            <w:tcMar>
              <w:bottom w:w="53"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2148" w:type="dxa"/>
            <w:tcBorders>
              <w:bottom w:val="single" w:sz="6" w:space="0" w:color="002F56"/>
            </w:tcBorders>
            <w:tcMar>
              <w:bottom w:w="46" w:type="dxa"/>
            </w:tcMar>
            <w:vAlign w:val="center"/>
          </w:tcPr>
          <w:p>
            <w:pPr>
              <w:pStyle w:val="TableContents"/>
              <w:bidi w:val="0"/>
              <w:spacing w:before="0" w:after="0"/>
              <w:jc w:val="left"/>
              <w:rPr>
                <w:spacing w:val="-1"/>
              </w:rPr>
            </w:pPr>
            <w:r>
              <w:rPr>
                <w:spacing w:val="-1"/>
              </w:rPr>
              <w:t xml:space="preserve">Supplemental Retirement Plan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tcMar>
              <w:bottom w:w="46" w:type="dxa"/>
            </w:tcMar>
            <w:vAlign w:val="center"/>
          </w:tcPr>
          <w:p>
            <w:pPr>
              <w:pStyle w:val="TableContents"/>
              <w:bidi w:val="0"/>
              <w:spacing w:before="0" w:after="283"/>
              <w:jc w:val="right"/>
              <w:rPr/>
            </w:pPr>
            <w:r>
              <w:rPr/>
              <w:t>​</w:t>
            </w:r>
          </w:p>
        </w:tc>
        <w:tc>
          <w:tcPr>
            <w:tcW w:w="1066" w:type="dxa"/>
            <w:tcBorders>
              <w:bottom w:val="single" w:sz="6" w:space="0" w:color="002F56"/>
            </w:tcBorders>
            <w:tcMar>
              <w:bottom w:w="46" w:type="dxa"/>
            </w:tcMar>
            <w:vAlign w:val="center"/>
          </w:tcPr>
          <w:p>
            <w:pPr>
              <w:pStyle w:val="TableContents"/>
              <w:bidi w:val="0"/>
              <w:spacing w:before="0" w:after="283"/>
              <w:jc w:val="right"/>
              <w:rPr/>
            </w:pPr>
            <w:r>
              <w:rPr/>
              <w:t xml:space="preserve">23.0 </w:t>
            </w:r>
          </w:p>
        </w:tc>
        <w:tc>
          <w:tcPr>
            <w:tcW w:w="21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1077" w:type="dxa"/>
            <w:tcBorders>
              <w:bottom w:val="single" w:sz="6" w:space="0" w:color="002F56"/>
            </w:tcBorders>
            <w:tcMar>
              <w:bottom w:w="46" w:type="dxa"/>
            </w:tcMar>
            <w:vAlign w:val="center"/>
          </w:tcPr>
          <w:p>
            <w:pPr>
              <w:pStyle w:val="TableContents"/>
              <w:bidi w:val="0"/>
              <w:spacing w:before="0" w:after="283"/>
              <w:jc w:val="right"/>
              <w:rPr/>
            </w:pPr>
            <w:r>
              <w:rPr/>
              <w:t>752,260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tcMar>
              <w:bottom w:w="46" w:type="dxa"/>
            </w:tcMar>
            <w:vAlign w:val="center"/>
          </w:tcPr>
          <w:p>
            <w:pPr>
              <w:pStyle w:val="TableContents"/>
              <w:bidi w:val="0"/>
              <w:spacing w:before="0" w:after="283"/>
              <w:jc w:val="right"/>
              <w:rPr/>
            </w:pPr>
            <w:r>
              <w:rPr/>
              <w:t>​</w:t>
            </w:r>
          </w:p>
        </w:tc>
        <w:tc>
          <w:tcPr>
            <w:tcW w:w="716" w:type="dxa"/>
            <w:tcBorders>
              <w:bottom w:val="single" w:sz="6" w:space="0" w:color="002F56"/>
            </w:tcBorders>
            <w:tcMar>
              <w:bottom w:w="46" w:type="dxa"/>
            </w:tcMar>
            <w:vAlign w:val="center"/>
          </w:tcPr>
          <w:p>
            <w:pPr>
              <w:pStyle w:val="TableContents"/>
              <w:bidi w:val="0"/>
              <w:spacing w:before="0" w:after="283"/>
              <w:jc w:val="right"/>
              <w:rPr/>
            </w:pPr>
            <w:r>
              <w:rPr/>
              <w:t>—</w:t>
            </w:r>
          </w:p>
        </w:tc>
        <w:tc>
          <w:tcPr>
            <w:tcW w:w="228" w:type="dxa"/>
            <w:tcBorders>
              <w:bottom w:val="single" w:sz="6" w:space="0" w:color="002F56"/>
            </w:tcBorders>
            <w:vAlign w:val="center"/>
          </w:tcPr>
          <w:p>
            <w:pPr>
              <w:pStyle w:val="TableContents"/>
              <w:bidi w:val="0"/>
              <w:spacing w:before="0" w:after="283"/>
              <w:jc w:val="left"/>
              <w:rPr/>
            </w:pPr>
            <w:r>
              <w:rPr/>
              <w:t>​</w:t>
            </w:r>
          </w:p>
        </w:tc>
        <w:tc>
          <w:tcPr>
            <w:tcW w:w="162"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371" w:type="dxa"/>
            <w:vMerge w:val="restart"/>
            <w:tcBorders>
              <w:bottom w:val="single" w:sz="2" w:space="0" w:color="002F56"/>
            </w:tcBorders>
            <w:tcMar>
              <w:bottom w:w="53" w:type="dxa"/>
            </w:tcMar>
            <w:vAlign w:val="center"/>
          </w:tcPr>
          <w:p>
            <w:pPr>
              <w:pStyle w:val="TableContents"/>
              <w:bidi w:val="0"/>
              <w:spacing w:lineRule="atLeast" w:line="212" w:before="0" w:after="0"/>
              <w:jc w:val="left"/>
              <w:rPr>
                <w:spacing w:val="-1"/>
              </w:rPr>
            </w:pPr>
            <w:r>
              <w:rPr>
                <w:spacing w:val="-1"/>
              </w:rPr>
              <w:t xml:space="preserve">B. Argirakis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8" w:type="dxa"/>
            <w:tcBorders>
              <w:bottom w:val="single" w:sz="6" w:space="0" w:color="CCCCCC"/>
            </w:tcBorders>
            <w:tcMar>
              <w:bottom w:w="53" w:type="dxa"/>
            </w:tcMar>
            <w:vAlign w:val="center"/>
          </w:tcPr>
          <w:p>
            <w:pPr>
              <w:pStyle w:val="TableContents"/>
              <w:bidi w:val="0"/>
              <w:spacing w:lineRule="atLeast" w:line="212" w:before="0" w:after="0"/>
              <w:jc w:val="left"/>
              <w:rPr>
                <w:spacing w:val="-1"/>
              </w:rPr>
            </w:pPr>
            <w:r>
              <w:rPr>
                <w:spacing w:val="-1"/>
              </w:rPr>
              <w:t xml:space="preserve">Retirement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66" w:type="dxa"/>
            <w:tcBorders>
              <w:bottom w:val="single" w:sz="6" w:space="0" w:color="CCCCCC"/>
            </w:tcBorders>
            <w:tcMar>
              <w:bottom w:w="53" w:type="dxa"/>
            </w:tcMar>
            <w:vAlign w:val="center"/>
          </w:tcPr>
          <w:p>
            <w:pPr>
              <w:pStyle w:val="TableContents"/>
              <w:bidi w:val="0"/>
              <w:spacing w:lineRule="atLeast" w:line="212" w:before="0" w:after="283"/>
              <w:jc w:val="right"/>
              <w:rPr/>
            </w:pPr>
            <w:r>
              <w:rPr/>
              <w:t>38.6</w:t>
            </w:r>
          </w:p>
        </w:tc>
        <w:tc>
          <w:tcPr>
            <w:tcW w:w="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77" w:type="dxa"/>
            <w:tcBorders>
              <w:bottom w:val="single" w:sz="6" w:space="0" w:color="CCCCCC"/>
            </w:tcBorders>
            <w:tcMar>
              <w:bottom w:w="53" w:type="dxa"/>
            </w:tcMar>
            <w:vAlign w:val="center"/>
          </w:tcPr>
          <w:p>
            <w:pPr>
              <w:pStyle w:val="TableContents"/>
              <w:bidi w:val="0"/>
              <w:spacing w:lineRule="atLeast" w:line="212" w:before="0" w:after="283"/>
              <w:jc w:val="right"/>
              <w:rPr/>
            </w:pPr>
            <w:r>
              <w:rPr/>
              <w:t>1,251,239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71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28" w:type="dxa"/>
            <w:tcBorders>
              <w:bottom w:val="single" w:sz="6" w:space="0" w:color="CCCCCC"/>
            </w:tcBorders>
            <w:vAlign w:val="center"/>
          </w:tcPr>
          <w:p>
            <w:pPr>
              <w:pStyle w:val="TableContents"/>
              <w:bidi w:val="0"/>
              <w:spacing w:before="0" w:after="283"/>
              <w:jc w:val="left"/>
              <w:rPr/>
            </w:pPr>
            <w:r>
              <w:rPr/>
              <w:t>​</w:t>
            </w:r>
          </w:p>
        </w:tc>
        <w:tc>
          <w:tcPr>
            <w:tcW w:w="162"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371" w:type="dxa"/>
            <w:vMerge w:val="continue"/>
            <w:tcBorders>
              <w:bottom w:val="single" w:sz="2" w:space="0" w:color="002F56"/>
            </w:tcBorders>
            <w:tcMar>
              <w:bottom w:w="53"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2148" w:type="dxa"/>
            <w:tcBorders>
              <w:bottom w:val="single" w:sz="6" w:space="0" w:color="002F56"/>
            </w:tcBorders>
            <w:tcMar>
              <w:bottom w:w="46" w:type="dxa"/>
            </w:tcMar>
            <w:vAlign w:val="center"/>
          </w:tcPr>
          <w:p>
            <w:pPr>
              <w:pStyle w:val="TableContents"/>
              <w:bidi w:val="0"/>
              <w:spacing w:before="0" w:after="0"/>
              <w:jc w:val="left"/>
              <w:rPr>
                <w:spacing w:val="-1"/>
              </w:rPr>
            </w:pPr>
            <w:r>
              <w:rPr>
                <w:spacing w:val="-1"/>
              </w:rPr>
              <w:t xml:space="preserve">Supplemental Retirement Plan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vAlign w:val="center"/>
          </w:tcPr>
          <w:p>
            <w:pPr>
              <w:pStyle w:val="TableContents"/>
              <w:bidi w:val="0"/>
              <w:spacing w:before="0" w:after="283"/>
              <w:jc w:val="left"/>
              <w:rPr/>
            </w:pPr>
            <w:r>
              <w:rPr/>
              <w:t>​</w:t>
            </w:r>
          </w:p>
        </w:tc>
        <w:tc>
          <w:tcPr>
            <w:tcW w:w="214" w:type="dxa"/>
            <w:tcBorders>
              <w:bottom w:val="single" w:sz="6" w:space="0" w:color="002F56"/>
            </w:tcBorders>
            <w:tcMar>
              <w:bottom w:w="46" w:type="dxa"/>
            </w:tcMar>
            <w:vAlign w:val="center"/>
          </w:tcPr>
          <w:p>
            <w:pPr>
              <w:pStyle w:val="TableContents"/>
              <w:bidi w:val="0"/>
              <w:spacing w:before="0" w:after="283"/>
              <w:jc w:val="right"/>
              <w:rPr/>
            </w:pPr>
            <w:r>
              <w:rPr/>
              <w:t>​</w:t>
            </w:r>
          </w:p>
        </w:tc>
        <w:tc>
          <w:tcPr>
            <w:tcW w:w="1066" w:type="dxa"/>
            <w:tcBorders>
              <w:bottom w:val="single" w:sz="6" w:space="0" w:color="002F56"/>
            </w:tcBorders>
            <w:tcMar>
              <w:bottom w:w="46" w:type="dxa"/>
            </w:tcMar>
            <w:vAlign w:val="center"/>
          </w:tcPr>
          <w:p>
            <w:pPr>
              <w:pStyle w:val="TableContents"/>
              <w:bidi w:val="0"/>
              <w:spacing w:before="0" w:after="283"/>
              <w:jc w:val="right"/>
              <w:rPr/>
            </w:pPr>
            <w:r>
              <w:rPr/>
              <w:t>38.6</w:t>
            </w:r>
          </w:p>
        </w:tc>
        <w:tc>
          <w:tcPr>
            <w:tcW w:w="21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1077" w:type="dxa"/>
            <w:tcBorders>
              <w:bottom w:val="single" w:sz="6" w:space="0" w:color="002F56"/>
            </w:tcBorders>
            <w:tcMar>
              <w:bottom w:w="46" w:type="dxa"/>
            </w:tcMar>
            <w:vAlign w:val="center"/>
          </w:tcPr>
          <w:p>
            <w:pPr>
              <w:pStyle w:val="TableContents"/>
              <w:bidi w:val="0"/>
              <w:spacing w:before="0" w:after="283"/>
              <w:jc w:val="right"/>
              <w:rPr/>
            </w:pPr>
            <w:r>
              <w:rPr/>
              <w:t>1,742,941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vAlign w:val="center"/>
          </w:tcPr>
          <w:p>
            <w:pPr>
              <w:pStyle w:val="TableContents"/>
              <w:bidi w:val="0"/>
              <w:spacing w:before="0" w:after="283"/>
              <w:jc w:val="left"/>
              <w:rPr/>
            </w:pPr>
            <w:r>
              <w:rPr/>
              <w:t>​</w:t>
            </w:r>
          </w:p>
        </w:tc>
        <w:tc>
          <w:tcPr>
            <w:tcW w:w="225" w:type="dxa"/>
            <w:tcBorders>
              <w:bottom w:val="single" w:sz="6" w:space="0" w:color="002F56"/>
            </w:tcBorders>
            <w:tcMar>
              <w:bottom w:w="46" w:type="dxa"/>
            </w:tcMar>
            <w:vAlign w:val="center"/>
          </w:tcPr>
          <w:p>
            <w:pPr>
              <w:pStyle w:val="TableContents"/>
              <w:bidi w:val="0"/>
              <w:spacing w:before="0" w:after="283"/>
              <w:jc w:val="right"/>
              <w:rPr/>
            </w:pPr>
            <w:r>
              <w:rPr/>
              <w:t>​</w:t>
            </w:r>
          </w:p>
        </w:tc>
        <w:tc>
          <w:tcPr>
            <w:tcW w:w="716" w:type="dxa"/>
            <w:tcBorders>
              <w:bottom w:val="single" w:sz="6" w:space="0" w:color="002F56"/>
            </w:tcBorders>
            <w:tcMar>
              <w:bottom w:w="46" w:type="dxa"/>
            </w:tcMar>
            <w:vAlign w:val="center"/>
          </w:tcPr>
          <w:p>
            <w:pPr>
              <w:pStyle w:val="TableContents"/>
              <w:bidi w:val="0"/>
              <w:spacing w:before="0" w:after="283"/>
              <w:jc w:val="right"/>
              <w:rPr/>
            </w:pPr>
            <w:r>
              <w:rPr/>
              <w:t>—</w:t>
            </w:r>
          </w:p>
        </w:tc>
        <w:tc>
          <w:tcPr>
            <w:tcW w:w="228" w:type="dxa"/>
            <w:tcBorders>
              <w:bottom w:val="single" w:sz="6" w:space="0" w:color="002F56"/>
            </w:tcBorders>
            <w:vAlign w:val="center"/>
          </w:tcPr>
          <w:p>
            <w:pPr>
              <w:pStyle w:val="TableContents"/>
              <w:bidi w:val="0"/>
              <w:spacing w:before="0" w:after="283"/>
              <w:jc w:val="left"/>
              <w:rPr/>
            </w:pPr>
            <w:r>
              <w:rPr/>
              <w:t>​</w:t>
            </w:r>
          </w:p>
        </w:tc>
        <w:tc>
          <w:tcPr>
            <w:tcW w:w="162"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371" w:type="dxa"/>
            <w:vMerge w:val="restart"/>
            <w:tcBorders>
              <w:bottom w:val="single" w:sz="12" w:space="0" w:color="71B1C8"/>
            </w:tcBorders>
            <w:tcMar>
              <w:bottom w:w="46" w:type="dxa"/>
            </w:tcMar>
            <w:vAlign w:val="center"/>
          </w:tcPr>
          <w:p>
            <w:pPr>
              <w:pStyle w:val="TableContents"/>
              <w:bidi w:val="0"/>
              <w:spacing w:lineRule="atLeast" w:line="212" w:before="0" w:after="0"/>
              <w:jc w:val="left"/>
              <w:rPr>
                <w:spacing w:val="-1"/>
              </w:rPr>
            </w:pPr>
            <w:r>
              <w:rPr>
                <w:spacing w:val="-1"/>
              </w:rPr>
              <w:t xml:space="preserve">J.J. Hastings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8" w:type="dxa"/>
            <w:tcBorders>
              <w:bottom w:val="single" w:sz="6" w:space="0" w:color="CCCCCC"/>
            </w:tcBorders>
            <w:tcMar>
              <w:bottom w:w="53" w:type="dxa"/>
            </w:tcMar>
            <w:vAlign w:val="center"/>
          </w:tcPr>
          <w:p>
            <w:pPr>
              <w:pStyle w:val="TableContents"/>
              <w:bidi w:val="0"/>
              <w:spacing w:lineRule="atLeast" w:line="212" w:before="0" w:after="0"/>
              <w:jc w:val="left"/>
              <w:rPr>
                <w:spacing w:val="-1"/>
              </w:rPr>
            </w:pPr>
            <w:r>
              <w:rPr>
                <w:spacing w:val="-1"/>
              </w:rPr>
              <w:t xml:space="preserve">Retirement Plan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vAlign w:val="center"/>
          </w:tcPr>
          <w:p>
            <w:pPr>
              <w:pStyle w:val="TableContents"/>
              <w:bidi w:val="0"/>
              <w:spacing w:before="0" w:after="283"/>
              <w:jc w:val="left"/>
              <w:rPr/>
            </w:pPr>
            <w:r>
              <w:rPr/>
              <w:t>​</w:t>
            </w:r>
          </w:p>
        </w:tc>
        <w:tc>
          <w:tcPr>
            <w:tcW w:w="214"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6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77"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vAlign w:val="center"/>
          </w:tcPr>
          <w:p>
            <w:pPr>
              <w:pStyle w:val="TableContents"/>
              <w:bidi w:val="0"/>
              <w:spacing w:before="0" w:after="283"/>
              <w:jc w:val="left"/>
              <w:rPr/>
            </w:pPr>
            <w:r>
              <w:rPr/>
              <w:t>​</w:t>
            </w:r>
          </w:p>
        </w:tc>
        <w:tc>
          <w:tcPr>
            <w:tcW w:w="225"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716" w:type="dxa"/>
            <w:tcBorders>
              <w:bottom w:val="single" w:sz="6" w:space="0" w:color="CCCCCC"/>
            </w:tcBorders>
            <w:tcMar>
              <w:bottom w:w="53" w:type="dxa"/>
            </w:tcMar>
            <w:vAlign w:val="center"/>
          </w:tcPr>
          <w:p>
            <w:pPr>
              <w:pStyle w:val="TableContents"/>
              <w:bidi w:val="0"/>
              <w:spacing w:lineRule="atLeast" w:line="212" w:before="0" w:after="283"/>
              <w:jc w:val="right"/>
              <w:rPr/>
            </w:pPr>
            <w:r>
              <w:rPr/>
              <w:t>—</w:t>
            </w:r>
          </w:p>
        </w:tc>
        <w:tc>
          <w:tcPr>
            <w:tcW w:w="228" w:type="dxa"/>
            <w:tcBorders>
              <w:bottom w:val="single" w:sz="6" w:space="0" w:color="CCCCCC"/>
            </w:tcBorders>
            <w:vAlign w:val="center"/>
          </w:tcPr>
          <w:p>
            <w:pPr>
              <w:pStyle w:val="TableContents"/>
              <w:bidi w:val="0"/>
              <w:spacing w:before="0" w:after="283"/>
              <w:jc w:val="left"/>
              <w:rPr/>
            </w:pPr>
            <w:r>
              <w:rPr/>
              <w:t>​</w:t>
            </w:r>
          </w:p>
        </w:tc>
        <w:tc>
          <w:tcPr>
            <w:tcW w:w="162"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371" w:type="dxa"/>
            <w:vMerge w:val="continue"/>
            <w:tcBorders>
              <w:bottom w:val="single" w:sz="12" w:space="0" w:color="71B1C8"/>
            </w:tcBorders>
            <w:tcMar>
              <w:bottom w:w="46"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2148" w:type="dxa"/>
            <w:tcBorders>
              <w:bottom w:val="single" w:sz="12" w:space="0" w:color="71B1C8"/>
            </w:tcBorders>
            <w:tcMar>
              <w:bottom w:w="41" w:type="dxa"/>
            </w:tcMar>
            <w:vAlign w:val="center"/>
          </w:tcPr>
          <w:p>
            <w:pPr>
              <w:pStyle w:val="TableContents"/>
              <w:bidi w:val="0"/>
              <w:spacing w:before="0" w:after="0"/>
              <w:jc w:val="left"/>
              <w:rPr>
                <w:spacing w:val="-1"/>
              </w:rPr>
            </w:pPr>
            <w:r>
              <w:rPr>
                <w:spacing w:val="-1"/>
              </w:rPr>
              <w:t xml:space="preserve">Supplemental Retirement Plan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14" w:type="dxa"/>
            <w:tcBorders>
              <w:bottom w:val="single" w:sz="12" w:space="0" w:color="71B1C8"/>
            </w:tcBorders>
            <w:vAlign w:val="center"/>
          </w:tcPr>
          <w:p>
            <w:pPr>
              <w:pStyle w:val="TableContents"/>
              <w:bidi w:val="0"/>
              <w:spacing w:before="0" w:after="283"/>
              <w:jc w:val="left"/>
              <w:rPr/>
            </w:pPr>
            <w:r>
              <w:rPr/>
              <w:t>​</w:t>
            </w:r>
          </w:p>
        </w:tc>
        <w:tc>
          <w:tcPr>
            <w:tcW w:w="214" w:type="dxa"/>
            <w:tcBorders>
              <w:bottom w:val="single" w:sz="12" w:space="0" w:color="71B1C8"/>
            </w:tcBorders>
            <w:tcMar>
              <w:bottom w:w="41"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1" w:type="dxa"/>
            </w:tcMar>
            <w:vAlign w:val="center"/>
          </w:tcPr>
          <w:p>
            <w:pPr>
              <w:pStyle w:val="TableContents"/>
              <w:bidi w:val="0"/>
              <w:spacing w:before="0" w:after="283"/>
              <w:jc w:val="right"/>
              <w:rPr/>
            </w:pPr>
            <w:r>
              <w:rPr/>
              <w:t>—</w:t>
            </w:r>
          </w:p>
        </w:tc>
        <w:tc>
          <w:tcPr>
            <w:tcW w:w="21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1" w:type="dxa"/>
            </w:tcMar>
            <w:vAlign w:val="center"/>
          </w:tcPr>
          <w:p>
            <w:pPr>
              <w:pStyle w:val="TableContents"/>
              <w:bidi w:val="0"/>
              <w:spacing w:before="0" w:after="283"/>
              <w:jc w:val="right"/>
              <w:rPr/>
            </w:pPr>
            <w:r>
              <w:rPr/>
              <w:t>​</w:t>
            </w:r>
          </w:p>
        </w:tc>
        <w:tc>
          <w:tcPr>
            <w:tcW w:w="1077" w:type="dxa"/>
            <w:tcBorders>
              <w:bottom w:val="single" w:sz="12" w:space="0" w:color="71B1C8"/>
            </w:tcBorders>
            <w:tcMar>
              <w:bottom w:w="41"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5" w:type="dxa"/>
            <w:tcBorders>
              <w:bottom w:val="single" w:sz="12" w:space="0" w:color="71B1C8"/>
            </w:tcBorders>
            <w:vAlign w:val="center"/>
          </w:tcPr>
          <w:p>
            <w:pPr>
              <w:pStyle w:val="TableContents"/>
              <w:bidi w:val="0"/>
              <w:spacing w:before="0" w:after="283"/>
              <w:jc w:val="left"/>
              <w:rPr/>
            </w:pPr>
            <w:r>
              <w:rPr/>
              <w:t>​</w:t>
            </w:r>
          </w:p>
        </w:tc>
        <w:tc>
          <w:tcPr>
            <w:tcW w:w="225" w:type="dxa"/>
            <w:tcBorders>
              <w:bottom w:val="single" w:sz="12" w:space="0" w:color="71B1C8"/>
            </w:tcBorders>
            <w:tcMar>
              <w:bottom w:w="41" w:type="dxa"/>
            </w:tcMar>
            <w:vAlign w:val="center"/>
          </w:tcPr>
          <w:p>
            <w:pPr>
              <w:pStyle w:val="TableContents"/>
              <w:bidi w:val="0"/>
              <w:spacing w:before="0" w:after="283"/>
              <w:jc w:val="right"/>
              <w:rPr/>
            </w:pPr>
            <w:r>
              <w:rPr/>
              <w:t>​</w:t>
            </w:r>
          </w:p>
        </w:tc>
        <w:tc>
          <w:tcPr>
            <w:tcW w:w="716" w:type="dxa"/>
            <w:tcBorders>
              <w:bottom w:val="single" w:sz="12" w:space="0" w:color="71B1C8"/>
            </w:tcBorders>
            <w:tcMar>
              <w:bottom w:w="41" w:type="dxa"/>
            </w:tcMar>
            <w:vAlign w:val="center"/>
          </w:tcPr>
          <w:p>
            <w:pPr>
              <w:pStyle w:val="TableContents"/>
              <w:bidi w:val="0"/>
              <w:spacing w:before="0" w:after="283"/>
              <w:jc w:val="right"/>
              <w:rPr/>
            </w:pPr>
            <w:r>
              <w:rPr/>
              <w:t>—</w:t>
            </w:r>
          </w:p>
        </w:tc>
        <w:tc>
          <w:tcPr>
            <w:tcW w:w="228" w:type="dxa"/>
            <w:tcBorders>
              <w:bottom w:val="single" w:sz="12" w:space="0" w:color="71B1C8"/>
            </w:tcBorders>
            <w:vAlign w:val="center"/>
          </w:tcPr>
          <w:p>
            <w:pPr>
              <w:pStyle w:val="TableContents"/>
              <w:bidi w:val="0"/>
              <w:spacing w:before="0" w:after="283"/>
              <w:jc w:val="left"/>
              <w:rPr/>
            </w:pPr>
            <w:r>
              <w:rPr/>
              <w:t>​</w:t>
            </w:r>
          </w:p>
        </w:tc>
        <w:tc>
          <w:tcPr>
            <w:tcW w:w="162"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present value of accumulated benefits under the Retirement Plan and Supplemental Retirement Plan is calculated using the following assumptions: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841">
                <wp:simplePos x="0" y="0"/>
                <wp:positionH relativeFrom="column">
                  <wp:align>left</wp:align>
                </wp:positionH>
                <wp:positionV relativeFrom="line">
                  <wp:align>top</wp:align>
                </wp:positionV>
                <wp:extent cx="254000" cy="254000"/>
                <wp:effectExtent l="0" t="0" r="0" b="0"/>
                <wp:wrapSquare wrapText="right"/>
                <wp:docPr id="820" name="Frame53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 discount rate of 5.19% for the Retirement Plan and 4.52% for the Supplemental Retirement Plan, and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330200" distR="0" simplePos="0" locked="0" layoutInCell="1" allowOverlap="1" relativeHeight="842">
                <wp:simplePos x="0" y="0"/>
                <wp:positionH relativeFrom="column">
                  <wp:align>left</wp:align>
                </wp:positionH>
                <wp:positionV relativeFrom="line">
                  <wp:align>top</wp:align>
                </wp:positionV>
                <wp:extent cx="254000" cy="254000"/>
                <wp:effectExtent l="0" t="0" r="0" b="0"/>
                <wp:wrapSquare wrapText="right"/>
                <wp:docPr id="821" name="Frame5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(a)</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6pt;mso-wrap-distance-right:0pt;mso-wrap-distance-top:4pt;mso-wrap-distance-bottom:0pt;margin-top:4pt;mso-position-vertical:top;mso-position-vertical-relative:text;margin-left:26pt;mso-position-horizontal:left;mso-position-horizontal-relative:text">
                <v:textbox>
                  <w:txbxContent>
                    <w:p>
                      <w:pPr>
                        <w:pStyle w:val="TextBody"/>
                        <w:bidi w:val="0"/>
                        <w:spacing w:lineRule="atLeast" w:line="200" w:before="0" w:after="283"/>
                        <w:jc w:val="left"/>
                        <w:rPr>
                          <w:sz w:val="16"/>
                        </w:rPr>
                      </w:pPr>
                      <w:r>
                        <w:rPr>
                          <w:spacing w:val="-1"/>
                          <w:sz w:val="16"/>
                        </w:rPr>
                        <w:t>(a)</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9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mortality rates from the Pri-2012 Total Dataset Mortality Table (Scale MP-2021) at 2025 year end, post-retirement only. </w:t>
      </w:r>
      <w:r>
        <mc:AlternateContent>
          <mc:Choice Requires="wps">
            <w:drawing>
              <wp:anchor behindDoc="0" distT="50800" distB="0" distL="330200" distR="0" simplePos="0" locked="0" layoutInCell="1" allowOverlap="1" relativeHeight="843">
                <wp:simplePos x="0" y="0"/>
                <wp:positionH relativeFrom="column">
                  <wp:align>left</wp:align>
                </wp:positionH>
                <wp:positionV relativeFrom="line">
                  <wp:align>top</wp:align>
                </wp:positionV>
                <wp:extent cx="254000" cy="254000"/>
                <wp:effectExtent l="0" t="0" r="0" b="0"/>
                <wp:wrapSquare wrapText="right"/>
                <wp:docPr id="822" name="Frame53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(b)</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6pt;mso-wrap-distance-right:0pt;mso-wrap-distance-top:4pt;mso-wrap-distance-bottom:0pt;margin-top:4pt;mso-position-vertical:top;mso-position-vertical-relative:text;margin-left:26pt;mso-position-horizontal:left;mso-position-horizontal-relative:text">
                <v:textbox>
                  <w:txbxContent>
                    <w:p>
                      <w:pPr>
                        <w:pStyle w:val="TextBody"/>
                        <w:bidi w:val="0"/>
                        <w:spacing w:lineRule="atLeast" w:line="200" w:before="0" w:after="283"/>
                        <w:jc w:val="left"/>
                        <w:rPr>
                          <w:sz w:val="16"/>
                        </w:rPr>
                      </w:pPr>
                      <w:r>
                        <w:rPr>
                          <w:spacing w:val="-1"/>
                          <w:sz w:val="16"/>
                        </w:rPr>
                        <w:t>(b)</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65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NDC2"/>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Retirement Plan is a tax qualified pension plan, which pays retirement benefits within the limits prescribed by the Internal Revenue Code. The Supplemental Retirement Plan is an unfunded, non-tax qualified pension plan, which pays retirement benefits in excess of such Code limits.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employees hired prior to January 1, 2002, accumulated benefits under the Retirement Plan and the Nonfunded Supplemental Retirement Plan are based upon an annuity equal to a percentage of the participant’s career earnings. The present value of accumulated benefit under the career earnings formula is based upon the benefit that is payable at the named executive officer’s normal retirement age (defined as the earliest age at which the executive can receive a benefit unreduced for early retirement), based upon years of service and pensionable earnings as of December 31, 2025, and payable as a life annuity with no death benefit. The benefits for Mr. Argirakis are based upon the career earnings formula.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employees hired after January 1, 2002, accumulated benefits under the Retirement Plan and the Nonfunded Supplemental Retirement Plan are based upon a cash balance formula which credits such employees with annual pay credits equal to 5% of the employee’s pensionable earnings for the year. An employee’s cash balance account will also receive interest credits each year, based on a market rate of interest declared at the end of each year. The benefits for Messrs. Dietrich and Monagle are based upon the cash balance formula.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accumulated benefit under the cash balance formula equals the projected annuity benefit payable at normal retirement age (later of 65 and 3 years of service), assuming that the named executive officer remains in employment but receives no future pay credits. The projected annuity benefit is calculated by first projecting the December 31, 2025 cash balance account to normal retirement age using annual interest credits of 4.66%. This projected cash balance is then converted to an annuity benefit using the September 2025 rates and the IRS prescribed mortality for 2026. The present value of accumulated benefit under the cash balance formula is based upon this annuity benefit, payable as a life annuity with no death benefit.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Retirement Plan was closed to new entrants effective January 1, 2010. Accordingly, employees hired after January 1, 2010, including Mr. Aldag and Mr. Hastings, are not entitled to participate in the Retirement Plan or Supplemental Retirement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Present Value of Accumulated Benefits may decrease year over year, due to the change in interest credit rate and other present value assumptions used for each year-end calculation.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NON-QUALIFIED DEFERRED COMPENSATION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shows contributions, earnings and account balances for the named executive officers in the Supplemental Savings Plan. The Supplemental Savings Plan is an unfunded, tax deferred non-qualified plan that provides key employees, including the named executive officers, the opportunity to defer a portion of their salary and receive employer matching contributions in excess of the limits which the Internal Revenue Code imposes on benefits under the Company’s Savings and Investment Plan (the Company’s 401(k) plan). Amounts placed in the Supplemental Savings Plan remain with the Company until payout, rather than invested through a third party as with other defined contribution programs. Contributions to the Supplemental Savings Plan are invested in a hypothetical account, which is a bookkeeping entry only. The hypothetical investment options and account are used only to track and reflect the Company’s obligation to participants under the plan. Investment options under the Supplemental Savings Plan are consistent with the investment options under the Savings and Investment Plan. The value of a participant’s account will change over time, based on the performance of each hypothetical investment that the participant selects.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1029"/>
        <w:gridCol w:w="109"/>
        <w:gridCol w:w="109"/>
        <w:gridCol w:w="125"/>
        <w:gridCol w:w="125"/>
        <w:gridCol w:w="1027"/>
        <w:gridCol w:w="128"/>
        <w:gridCol w:w="109"/>
        <w:gridCol w:w="109"/>
        <w:gridCol w:w="140"/>
        <w:gridCol w:w="140"/>
        <w:gridCol w:w="985"/>
        <w:gridCol w:w="141"/>
        <w:gridCol w:w="109"/>
        <w:gridCol w:w="109"/>
        <w:gridCol w:w="109"/>
        <w:gridCol w:w="109"/>
        <w:gridCol w:w="886"/>
        <w:gridCol w:w="109"/>
        <w:gridCol w:w="109"/>
        <w:gridCol w:w="109"/>
        <w:gridCol w:w="221"/>
        <w:gridCol w:w="221"/>
        <w:gridCol w:w="702"/>
        <w:gridCol w:w="222"/>
        <w:gridCol w:w="109"/>
        <w:gridCol w:w="109"/>
        <w:gridCol w:w="109"/>
        <w:gridCol w:w="109"/>
        <w:gridCol w:w="1066"/>
        <w:gridCol w:w="109"/>
        <w:gridCol w:w="159"/>
      </w:tblGrid>
      <w:tr>
        <w:trPr/>
        <w:tc>
          <w:tcPr>
            <w:tcW w:w="124" w:type="dxa"/>
            <w:tcBorders/>
            <w:shd w:fill="002F56" w:val="clear"/>
            <w:vAlign w:val="center"/>
          </w:tcPr>
          <w:p>
            <w:pPr>
              <w:pStyle w:val="TableContents"/>
              <w:bidi w:val="0"/>
              <w:spacing w:before="0" w:after="283"/>
              <w:jc w:val="left"/>
              <w:rPr/>
            </w:pPr>
            <w:r>
              <w:rPr/>
              <w:t>​</w:t>
            </w:r>
          </w:p>
        </w:tc>
        <w:tc>
          <w:tcPr>
            <w:tcW w:w="1029" w:type="dxa"/>
            <w:tcBorders/>
            <w:shd w:fill="002F56" w:val="clear"/>
            <w:vAlign w:val="center"/>
          </w:tcPr>
          <w:p>
            <w:pPr>
              <w:pStyle w:val="TableContents"/>
              <w:bidi w:val="0"/>
              <w:spacing w:before="0" w:after="0"/>
              <w:jc w:val="left"/>
              <w:rPr>
                <w:spacing w:val="0"/>
              </w:rPr>
            </w:pPr>
            <w:r>
              <w:rPr>
                <w:spacing w:val="0"/>
              </w:rPr>
              <w:t xml:space="preserve">Name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05" w:type="dxa"/>
            <w:gridSpan w:val="4"/>
            <w:tcBorders/>
            <w:shd w:fill="002F56" w:val="clear"/>
            <w:vAlign w:val="center"/>
          </w:tcPr>
          <w:p>
            <w:pPr>
              <w:pStyle w:val="TableContents"/>
              <w:bidi w:val="0"/>
              <w:spacing w:lineRule="atLeast" w:line="142" w:before="0" w:after="0"/>
              <w:jc w:val="center"/>
              <w:rPr/>
            </w:pPr>
            <w:r>
              <w:rPr>
                <w:spacing w:val="0"/>
              </w:rPr>
              <w:t xml:space="preserve">Executive </w:t>
              <w:br/>
              <w:t xml:space="preserve">Contributions in </w:t>
              <w:br/>
              <w:t>Last FY</w:t>
            </w:r>
            <w:r>
              <w:rPr>
                <w:spacing w:val="-2"/>
                <w:sz w:val="11"/>
              </w:rPr>
              <w:t>(1)</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06" w:type="dxa"/>
            <w:gridSpan w:val="4"/>
            <w:tcBorders/>
            <w:shd w:fill="002F56" w:val="clear"/>
            <w:vAlign w:val="center"/>
          </w:tcPr>
          <w:p>
            <w:pPr>
              <w:pStyle w:val="TableContents"/>
              <w:bidi w:val="0"/>
              <w:spacing w:lineRule="atLeast" w:line="142" w:before="0" w:after="0"/>
              <w:jc w:val="center"/>
              <w:rPr/>
            </w:pPr>
            <w:r>
              <w:rPr>
                <w:spacing w:val="0"/>
              </w:rPr>
              <w:t xml:space="preserve">Registrant </w:t>
              <w:br/>
              <w:t xml:space="preserve">Contributions in </w:t>
              <w:br/>
              <w:t>Last FY</w:t>
            </w:r>
            <w:r>
              <w:rPr>
                <w:spacing w:val="-2"/>
                <w:sz w:val="11"/>
              </w:rPr>
              <w:t>(2)</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213" w:type="dxa"/>
            <w:gridSpan w:val="4"/>
            <w:tcBorders/>
            <w:shd w:fill="002F56" w:val="clear"/>
            <w:vAlign w:val="center"/>
          </w:tcPr>
          <w:p>
            <w:pPr>
              <w:pStyle w:val="TableContents"/>
              <w:bidi w:val="0"/>
              <w:spacing w:lineRule="atLeast" w:line="142" w:before="0" w:after="0"/>
              <w:jc w:val="center"/>
              <w:rPr/>
            </w:pPr>
            <w:r>
              <w:rPr>
                <w:spacing w:val="0"/>
              </w:rPr>
              <w:t xml:space="preserve">Aggregate </w:t>
              <w:br/>
              <w:t xml:space="preserve">Earnings in </w:t>
              <w:br/>
              <w:t>Last FY</w:t>
            </w:r>
            <w:r>
              <w:rPr>
                <w:spacing w:val="-2"/>
                <w:sz w:val="11"/>
              </w:rPr>
              <w:t>(3)</w:t>
            </w:r>
            <w:r>
              <w:rPr/>
              <w:t xml:space="preserve"> </w:t>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66" w:type="dxa"/>
            <w:gridSpan w:val="4"/>
            <w:tcBorders/>
            <w:shd w:fill="002F56" w:val="clear"/>
            <w:vAlign w:val="center"/>
          </w:tcPr>
          <w:p>
            <w:pPr>
              <w:pStyle w:val="TableContents"/>
              <w:bidi w:val="0"/>
              <w:spacing w:before="0" w:after="0"/>
              <w:jc w:val="center"/>
              <w:rPr/>
            </w:pPr>
            <w:r>
              <w:rPr>
                <w:spacing w:val="0"/>
              </w:rPr>
              <w:t xml:space="preserve">Aggregate </w:t>
              <w:br/>
              <w:t>Withdrawals/</w:t>
            </w:r>
            <w:r>
              <w:rPr/>
              <w:t>​</w:t>
              <w:br/>
            </w:r>
            <w:r>
              <w:rPr>
                <w:spacing w:val="0"/>
              </w:rPr>
              <w:t>Distributions</w:t>
            </w:r>
            <w:r>
              <w:rPr/>
              <w:br/>
            </w:r>
            <w:r>
              <w:rPr>
                <w:spacing w:val="-2"/>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393" w:type="dxa"/>
            <w:gridSpan w:val="4"/>
            <w:tcBorders/>
            <w:shd w:fill="002F56" w:val="clear"/>
            <w:vAlign w:val="center"/>
          </w:tcPr>
          <w:p>
            <w:pPr>
              <w:pStyle w:val="TableContents"/>
              <w:bidi w:val="0"/>
              <w:spacing w:before="0" w:after="0"/>
              <w:jc w:val="center"/>
              <w:rPr/>
            </w:pPr>
            <w:r>
              <w:rPr>
                <w:spacing w:val="0"/>
              </w:rPr>
              <w:t xml:space="preserve">Aggregate </w:t>
              <w:br/>
              <w:t xml:space="preserve">Balance at </w:t>
              <w:br/>
              <w:t>Last FYE</w:t>
            </w:r>
            <w:r>
              <w:rPr/>
              <w:t xml:space="preserve"> </w:t>
              <w:br/>
            </w:r>
            <w:r>
              <w:rPr>
                <w:spacing w:val="-2"/>
              </w:rPr>
              <w:t xml:space="preserve">($) </w:t>
            </w:r>
          </w:p>
        </w:tc>
        <w:tc>
          <w:tcPr>
            <w:tcW w:w="159" w:type="dxa"/>
            <w:tcBorders/>
            <w:shd w:fill="002F56" w:val="cle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2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D.T. Dietrich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3" w:type="dxa"/>
            </w:tcMar>
            <w:vAlign w:val="center"/>
          </w:tcPr>
          <w:p>
            <w:pPr>
              <w:pStyle w:val="TableContents"/>
              <w:bidi w:val="0"/>
              <w:spacing w:before="0" w:after="283"/>
              <w:jc w:val="right"/>
              <w:rPr/>
            </w:pPr>
            <w:r>
              <w:rPr/>
              <w:t>​</w:t>
            </w:r>
          </w:p>
        </w:tc>
        <w:tc>
          <w:tcPr>
            <w:tcW w:w="1027" w:type="dxa"/>
            <w:tcBorders>
              <w:bottom w:val="single" w:sz="6" w:space="0" w:color="BFBFBF"/>
            </w:tcBorders>
            <w:tcMar>
              <w:bottom w:w="43" w:type="dxa"/>
            </w:tcMar>
            <w:vAlign w:val="center"/>
          </w:tcPr>
          <w:p>
            <w:pPr>
              <w:pStyle w:val="TableContents"/>
              <w:bidi w:val="0"/>
              <w:spacing w:before="0" w:after="283"/>
              <w:jc w:val="right"/>
              <w:rPr/>
            </w:pPr>
            <w:r>
              <w:rPr/>
              <w:t>46,449</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43" w:type="dxa"/>
            </w:tcMar>
            <w:vAlign w:val="center"/>
          </w:tcPr>
          <w:p>
            <w:pPr>
              <w:pStyle w:val="TableContents"/>
              <w:bidi w:val="0"/>
              <w:spacing w:before="0" w:after="283"/>
              <w:jc w:val="right"/>
              <w:rPr/>
            </w:pPr>
            <w:r>
              <w:rPr/>
              <w:t>​</w:t>
            </w:r>
          </w:p>
        </w:tc>
        <w:tc>
          <w:tcPr>
            <w:tcW w:w="985" w:type="dxa"/>
            <w:tcBorders>
              <w:bottom w:val="single" w:sz="6" w:space="0" w:color="BFBFBF"/>
            </w:tcBorders>
            <w:tcMar>
              <w:bottom w:w="43" w:type="dxa"/>
            </w:tcMar>
            <w:vAlign w:val="center"/>
          </w:tcPr>
          <w:p>
            <w:pPr>
              <w:pStyle w:val="TableContents"/>
              <w:bidi w:val="0"/>
              <w:spacing w:before="0" w:after="283"/>
              <w:jc w:val="right"/>
              <w:rPr/>
            </w:pPr>
            <w:r>
              <w:rPr/>
              <w:t>37,159</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886" w:type="dxa"/>
            <w:tcBorders>
              <w:bottom w:val="single" w:sz="6" w:space="0" w:color="BFBFBF"/>
            </w:tcBorders>
            <w:tcMar>
              <w:bottom w:w="43" w:type="dxa"/>
            </w:tcMar>
            <w:vAlign w:val="center"/>
          </w:tcPr>
          <w:p>
            <w:pPr>
              <w:pStyle w:val="TableContents"/>
              <w:bidi w:val="0"/>
              <w:spacing w:before="0" w:after="283"/>
              <w:jc w:val="right"/>
              <w:rPr/>
            </w:pPr>
            <w:r>
              <w:rPr/>
              <w:t>53,982</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43" w:type="dxa"/>
            </w:tcMar>
            <w:vAlign w:val="center"/>
          </w:tcPr>
          <w:p>
            <w:pPr>
              <w:pStyle w:val="TableContents"/>
              <w:bidi w:val="0"/>
              <w:spacing w:before="0" w:after="283"/>
              <w:jc w:val="right"/>
              <w:rPr/>
            </w:pPr>
            <w:r>
              <w:rPr/>
              <w:t>​</w:t>
            </w:r>
          </w:p>
        </w:tc>
        <w:tc>
          <w:tcPr>
            <w:tcW w:w="702" w:type="dxa"/>
            <w:tcBorders>
              <w:bottom w:val="single" w:sz="6" w:space="0" w:color="BFBFBF"/>
            </w:tcBorders>
            <w:tcMar>
              <w:bottom w:w="43" w:type="dxa"/>
            </w:tcMar>
            <w:vAlign w:val="center"/>
          </w:tcPr>
          <w:p>
            <w:pPr>
              <w:pStyle w:val="TableContents"/>
              <w:bidi w:val="0"/>
              <w:spacing w:before="0" w:after="283"/>
              <w:jc w:val="right"/>
              <w:rPr/>
            </w:pPr>
            <w:r>
              <w:rPr/>
              <w:t xml:space="preserve">— </w:t>
            </w:r>
          </w:p>
        </w:tc>
        <w:tc>
          <w:tcPr>
            <w:tcW w:w="22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66" w:type="dxa"/>
            <w:tcBorders>
              <w:bottom w:val="single" w:sz="6" w:space="0" w:color="BFBFBF"/>
            </w:tcBorders>
            <w:tcMar>
              <w:bottom w:w="43" w:type="dxa"/>
            </w:tcMar>
            <w:vAlign w:val="center"/>
          </w:tcPr>
          <w:p>
            <w:pPr>
              <w:pStyle w:val="TableContents"/>
              <w:bidi w:val="0"/>
              <w:spacing w:before="0" w:after="283"/>
              <w:jc w:val="right"/>
              <w:rPr/>
            </w:pPr>
            <w:r>
              <w:rPr/>
              <w:t>1,427,236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2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E.C. Aldag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3" w:type="dxa"/>
            </w:tcMar>
            <w:vAlign w:val="center"/>
          </w:tcPr>
          <w:p>
            <w:pPr>
              <w:pStyle w:val="TableContents"/>
              <w:bidi w:val="0"/>
              <w:spacing w:before="0" w:after="283"/>
              <w:jc w:val="right"/>
              <w:rPr/>
            </w:pPr>
            <w:r>
              <w:rPr/>
              <w:t>​</w:t>
            </w:r>
          </w:p>
        </w:tc>
        <w:tc>
          <w:tcPr>
            <w:tcW w:w="1027" w:type="dxa"/>
            <w:tcBorders>
              <w:bottom w:val="single" w:sz="6" w:space="0" w:color="BFBFBF"/>
            </w:tcBorders>
            <w:tcMar>
              <w:bottom w:w="43" w:type="dxa"/>
            </w:tcMar>
            <w:vAlign w:val="center"/>
          </w:tcPr>
          <w:p>
            <w:pPr>
              <w:pStyle w:val="TableContents"/>
              <w:bidi w:val="0"/>
              <w:spacing w:before="0" w:after="283"/>
              <w:jc w:val="right"/>
              <w:rPr/>
            </w:pPr>
            <w:r>
              <w:rPr/>
              <w:t>25,354</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43" w:type="dxa"/>
            </w:tcMar>
            <w:vAlign w:val="center"/>
          </w:tcPr>
          <w:p>
            <w:pPr>
              <w:pStyle w:val="TableContents"/>
              <w:bidi w:val="0"/>
              <w:spacing w:before="0" w:after="283"/>
              <w:jc w:val="right"/>
              <w:rPr/>
            </w:pPr>
            <w:r>
              <w:rPr/>
              <w:t>​</w:t>
            </w:r>
          </w:p>
        </w:tc>
        <w:tc>
          <w:tcPr>
            <w:tcW w:w="985" w:type="dxa"/>
            <w:tcBorders>
              <w:bottom w:val="single" w:sz="6" w:space="0" w:color="BFBFBF"/>
            </w:tcBorders>
            <w:tcMar>
              <w:bottom w:w="43" w:type="dxa"/>
            </w:tcMar>
            <w:vAlign w:val="center"/>
          </w:tcPr>
          <w:p>
            <w:pPr>
              <w:pStyle w:val="TableContents"/>
              <w:bidi w:val="0"/>
              <w:spacing w:before="0" w:after="283"/>
              <w:jc w:val="right"/>
              <w:rPr/>
            </w:pPr>
            <w:r>
              <w:rPr/>
              <w:t>20,283</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886" w:type="dxa"/>
            <w:tcBorders>
              <w:bottom w:val="single" w:sz="6" w:space="0" w:color="BFBFBF"/>
            </w:tcBorders>
            <w:tcMar>
              <w:bottom w:w="43" w:type="dxa"/>
            </w:tcMar>
            <w:vAlign w:val="center"/>
          </w:tcPr>
          <w:p>
            <w:pPr>
              <w:pStyle w:val="TableContents"/>
              <w:bidi w:val="0"/>
              <w:spacing w:before="0" w:after="283"/>
              <w:jc w:val="right"/>
              <w:rPr/>
            </w:pPr>
            <w:r>
              <w:rPr/>
              <w:t>12,473</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43" w:type="dxa"/>
            </w:tcMar>
            <w:vAlign w:val="center"/>
          </w:tcPr>
          <w:p>
            <w:pPr>
              <w:pStyle w:val="TableContents"/>
              <w:bidi w:val="0"/>
              <w:spacing w:before="0" w:after="283"/>
              <w:jc w:val="right"/>
              <w:rPr/>
            </w:pPr>
            <w:r>
              <w:rPr/>
              <w:t>​</w:t>
            </w:r>
          </w:p>
        </w:tc>
        <w:tc>
          <w:tcPr>
            <w:tcW w:w="702" w:type="dxa"/>
            <w:tcBorders>
              <w:bottom w:val="single" w:sz="6" w:space="0" w:color="BFBFBF"/>
            </w:tcBorders>
            <w:tcMar>
              <w:bottom w:w="43" w:type="dxa"/>
            </w:tcMar>
            <w:vAlign w:val="center"/>
          </w:tcPr>
          <w:p>
            <w:pPr>
              <w:pStyle w:val="TableContents"/>
              <w:bidi w:val="0"/>
              <w:spacing w:before="0" w:after="283"/>
              <w:jc w:val="right"/>
              <w:rPr/>
            </w:pPr>
            <w:r>
              <w:rPr/>
              <w:t xml:space="preserve">— </w:t>
            </w:r>
          </w:p>
        </w:tc>
        <w:tc>
          <w:tcPr>
            <w:tcW w:w="22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66" w:type="dxa"/>
            <w:tcBorders>
              <w:bottom w:val="single" w:sz="6" w:space="0" w:color="BFBFBF"/>
            </w:tcBorders>
            <w:tcMar>
              <w:bottom w:w="43" w:type="dxa"/>
            </w:tcMar>
            <w:vAlign w:val="center"/>
          </w:tcPr>
          <w:p>
            <w:pPr>
              <w:pStyle w:val="TableContents"/>
              <w:bidi w:val="0"/>
              <w:spacing w:before="0" w:after="283"/>
              <w:jc w:val="right"/>
              <w:rPr/>
            </w:pPr>
            <w:r>
              <w:rPr/>
              <w:t>152,736</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2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D.J. Monagle, III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3" w:type="dxa"/>
            </w:tcMar>
            <w:vAlign w:val="center"/>
          </w:tcPr>
          <w:p>
            <w:pPr>
              <w:pStyle w:val="TableContents"/>
              <w:bidi w:val="0"/>
              <w:spacing w:before="0" w:after="283"/>
              <w:jc w:val="right"/>
              <w:rPr/>
            </w:pPr>
            <w:r>
              <w:rPr/>
              <w:t>​</w:t>
            </w:r>
          </w:p>
        </w:tc>
        <w:tc>
          <w:tcPr>
            <w:tcW w:w="1027" w:type="dxa"/>
            <w:tcBorders>
              <w:bottom w:val="single" w:sz="6" w:space="0" w:color="BFBFBF"/>
            </w:tcBorders>
            <w:tcMar>
              <w:bottom w:w="43" w:type="dxa"/>
            </w:tcMar>
            <w:vAlign w:val="center"/>
          </w:tcPr>
          <w:p>
            <w:pPr>
              <w:pStyle w:val="TableContents"/>
              <w:bidi w:val="0"/>
              <w:spacing w:before="0" w:after="283"/>
              <w:jc w:val="right"/>
              <w:rPr/>
            </w:pPr>
            <w:r>
              <w:rPr/>
              <w:t>238,451</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43" w:type="dxa"/>
            </w:tcMar>
            <w:vAlign w:val="center"/>
          </w:tcPr>
          <w:p>
            <w:pPr>
              <w:pStyle w:val="TableContents"/>
              <w:bidi w:val="0"/>
              <w:spacing w:before="0" w:after="283"/>
              <w:jc w:val="right"/>
              <w:rPr/>
            </w:pPr>
            <w:r>
              <w:rPr/>
              <w:t>​</w:t>
            </w:r>
          </w:p>
        </w:tc>
        <w:tc>
          <w:tcPr>
            <w:tcW w:w="985" w:type="dxa"/>
            <w:tcBorders>
              <w:bottom w:val="single" w:sz="6" w:space="0" w:color="BFBFBF"/>
            </w:tcBorders>
            <w:tcMar>
              <w:bottom w:w="43" w:type="dxa"/>
            </w:tcMar>
            <w:vAlign w:val="center"/>
          </w:tcPr>
          <w:p>
            <w:pPr>
              <w:pStyle w:val="TableContents"/>
              <w:bidi w:val="0"/>
              <w:spacing w:before="0" w:after="283"/>
              <w:jc w:val="right"/>
              <w:rPr/>
            </w:pPr>
            <w:r>
              <w:rPr/>
              <w:t>24,941</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886" w:type="dxa"/>
            <w:tcBorders>
              <w:bottom w:val="single" w:sz="6" w:space="0" w:color="BFBFBF"/>
            </w:tcBorders>
            <w:tcMar>
              <w:bottom w:w="43" w:type="dxa"/>
            </w:tcMar>
            <w:vAlign w:val="center"/>
          </w:tcPr>
          <w:p>
            <w:pPr>
              <w:pStyle w:val="TableContents"/>
              <w:bidi w:val="0"/>
              <w:spacing w:before="0" w:after="283"/>
              <w:jc w:val="right"/>
              <w:rPr/>
            </w:pPr>
            <w:r>
              <w:rPr/>
              <w:t>316,207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43" w:type="dxa"/>
            </w:tcMar>
            <w:vAlign w:val="center"/>
          </w:tcPr>
          <w:p>
            <w:pPr>
              <w:pStyle w:val="TableContents"/>
              <w:bidi w:val="0"/>
              <w:spacing w:before="0" w:after="283"/>
              <w:jc w:val="right"/>
              <w:rPr/>
            </w:pPr>
            <w:r>
              <w:rPr/>
              <w:t>​</w:t>
            </w:r>
          </w:p>
        </w:tc>
        <w:tc>
          <w:tcPr>
            <w:tcW w:w="702" w:type="dxa"/>
            <w:tcBorders>
              <w:bottom w:val="single" w:sz="6" w:space="0" w:color="BFBFBF"/>
            </w:tcBorders>
            <w:tcMar>
              <w:bottom w:w="43" w:type="dxa"/>
            </w:tcMar>
            <w:vAlign w:val="center"/>
          </w:tcPr>
          <w:p>
            <w:pPr>
              <w:pStyle w:val="TableContents"/>
              <w:bidi w:val="0"/>
              <w:spacing w:before="0" w:after="283"/>
              <w:jc w:val="right"/>
              <w:rPr/>
            </w:pPr>
            <w:r>
              <w:rPr/>
              <w:t xml:space="preserve">— </w:t>
            </w:r>
          </w:p>
        </w:tc>
        <w:tc>
          <w:tcPr>
            <w:tcW w:w="22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66" w:type="dxa"/>
            <w:tcBorders>
              <w:bottom w:val="single" w:sz="6" w:space="0" w:color="BFBFBF"/>
            </w:tcBorders>
            <w:tcMar>
              <w:bottom w:w="43" w:type="dxa"/>
            </w:tcMar>
            <w:vAlign w:val="center"/>
          </w:tcPr>
          <w:p>
            <w:pPr>
              <w:pStyle w:val="TableContents"/>
              <w:bidi w:val="0"/>
              <w:spacing w:before="0" w:after="283"/>
              <w:jc w:val="right"/>
              <w:rPr/>
            </w:pPr>
            <w:r>
              <w:rPr/>
              <w:t>3,068,337</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FBFBF"/>
            </w:tcBorders>
            <w:tcMar>
              <w:bottom w:w="28" w:type="dxa"/>
            </w:tcMar>
            <w:vAlign w:val="center"/>
          </w:tcPr>
          <w:p>
            <w:pPr>
              <w:pStyle w:val="TableContents"/>
              <w:bidi w:val="0"/>
              <w:spacing w:before="0" w:after="283"/>
              <w:jc w:val="left"/>
              <w:rPr/>
            </w:pPr>
            <w:r>
              <w:rPr/>
              <w:t>​</w:t>
            </w:r>
          </w:p>
        </w:tc>
        <w:tc>
          <w:tcPr>
            <w:tcW w:w="1029" w:type="dxa"/>
            <w:tcBorders>
              <w:bottom w:val="single" w:sz="6" w:space="0" w:color="BFBFBF"/>
            </w:tcBorders>
            <w:tcMar>
              <w:bottom w:w="43" w:type="dxa"/>
            </w:tcMar>
            <w:vAlign w:val="center"/>
          </w:tcPr>
          <w:p>
            <w:pPr>
              <w:pStyle w:val="TableContents"/>
              <w:bidi w:val="0"/>
              <w:spacing w:before="0" w:after="283"/>
              <w:jc w:val="left"/>
              <w:rPr>
                <w:spacing w:val="-1"/>
              </w:rPr>
            </w:pPr>
            <w:r>
              <w:rPr>
                <w:spacing w:val="-1"/>
              </w:rPr>
              <w:t xml:space="preserve">B. Argirakis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28" w:type="dxa"/>
            </w:tcMar>
            <w:vAlign w:val="center"/>
          </w:tcPr>
          <w:p>
            <w:pPr>
              <w:pStyle w:val="TableContents"/>
              <w:bidi w:val="0"/>
              <w:spacing w:before="0" w:after="283"/>
              <w:jc w:val="left"/>
              <w:rPr/>
            </w:pPr>
            <w:r>
              <w:rPr/>
              <w:t>​</w:t>
            </w:r>
          </w:p>
        </w:tc>
        <w:tc>
          <w:tcPr>
            <w:tcW w:w="125" w:type="dxa"/>
            <w:tcBorders>
              <w:bottom w:val="single" w:sz="6" w:space="0" w:color="BFBFBF"/>
            </w:tcBorders>
            <w:tcMar>
              <w:bottom w:w="43" w:type="dxa"/>
            </w:tcMar>
            <w:vAlign w:val="center"/>
          </w:tcPr>
          <w:p>
            <w:pPr>
              <w:pStyle w:val="TableContents"/>
              <w:bidi w:val="0"/>
              <w:spacing w:before="0" w:after="283"/>
              <w:jc w:val="right"/>
              <w:rPr/>
            </w:pPr>
            <w:r>
              <w:rPr/>
              <w:t>​</w:t>
            </w:r>
          </w:p>
        </w:tc>
        <w:tc>
          <w:tcPr>
            <w:tcW w:w="1027" w:type="dxa"/>
            <w:tcBorders>
              <w:bottom w:val="single" w:sz="6" w:space="0" w:color="BFBFBF"/>
            </w:tcBorders>
            <w:tcMar>
              <w:bottom w:w="43" w:type="dxa"/>
            </w:tcMar>
            <w:vAlign w:val="center"/>
          </w:tcPr>
          <w:p>
            <w:pPr>
              <w:pStyle w:val="TableContents"/>
              <w:bidi w:val="0"/>
              <w:spacing w:before="0" w:after="283"/>
              <w:jc w:val="right"/>
              <w:rPr/>
            </w:pPr>
            <w:r>
              <w:rPr/>
              <w:t>29,882</w:t>
            </w:r>
          </w:p>
        </w:tc>
        <w:tc>
          <w:tcPr>
            <w:tcW w:w="128"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28" w:type="dxa"/>
            </w:tcMar>
            <w:vAlign w:val="center"/>
          </w:tcPr>
          <w:p>
            <w:pPr>
              <w:pStyle w:val="TableContents"/>
              <w:bidi w:val="0"/>
              <w:spacing w:before="0" w:after="283"/>
              <w:jc w:val="left"/>
              <w:rPr/>
            </w:pPr>
            <w:r>
              <w:rPr/>
              <w:t>​</w:t>
            </w:r>
          </w:p>
        </w:tc>
        <w:tc>
          <w:tcPr>
            <w:tcW w:w="140" w:type="dxa"/>
            <w:tcBorders>
              <w:bottom w:val="single" w:sz="6" w:space="0" w:color="BFBFBF"/>
            </w:tcBorders>
            <w:tcMar>
              <w:bottom w:w="43" w:type="dxa"/>
            </w:tcMar>
            <w:vAlign w:val="center"/>
          </w:tcPr>
          <w:p>
            <w:pPr>
              <w:pStyle w:val="TableContents"/>
              <w:bidi w:val="0"/>
              <w:spacing w:before="0" w:after="283"/>
              <w:jc w:val="right"/>
              <w:rPr/>
            </w:pPr>
            <w:r>
              <w:rPr/>
              <w:t>​</w:t>
            </w:r>
          </w:p>
        </w:tc>
        <w:tc>
          <w:tcPr>
            <w:tcW w:w="985" w:type="dxa"/>
            <w:tcBorders>
              <w:bottom w:val="single" w:sz="6" w:space="0" w:color="BFBFBF"/>
            </w:tcBorders>
            <w:tcMar>
              <w:bottom w:w="43" w:type="dxa"/>
            </w:tcMar>
            <w:vAlign w:val="center"/>
          </w:tcPr>
          <w:p>
            <w:pPr>
              <w:pStyle w:val="TableContents"/>
              <w:bidi w:val="0"/>
              <w:spacing w:before="0" w:after="283"/>
              <w:jc w:val="right"/>
              <w:rPr/>
            </w:pPr>
            <w:r>
              <w:rPr/>
              <w:t>23,906</w:t>
            </w:r>
          </w:p>
        </w:tc>
        <w:tc>
          <w:tcPr>
            <w:tcW w:w="141"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886" w:type="dxa"/>
            <w:tcBorders>
              <w:bottom w:val="single" w:sz="6" w:space="0" w:color="BFBFBF"/>
            </w:tcBorders>
            <w:tcMar>
              <w:bottom w:w="43" w:type="dxa"/>
            </w:tcMar>
            <w:vAlign w:val="center"/>
          </w:tcPr>
          <w:p>
            <w:pPr>
              <w:pStyle w:val="TableContents"/>
              <w:bidi w:val="0"/>
              <w:spacing w:before="0" w:after="283"/>
              <w:jc w:val="right"/>
              <w:rPr/>
            </w:pPr>
            <w:r>
              <w:rPr/>
              <w:t xml:space="preserve">(9,173) </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28" w:type="dxa"/>
            </w:tcMar>
            <w:vAlign w:val="center"/>
          </w:tcPr>
          <w:p>
            <w:pPr>
              <w:pStyle w:val="TableContents"/>
              <w:bidi w:val="0"/>
              <w:spacing w:before="0" w:after="283"/>
              <w:jc w:val="left"/>
              <w:rPr/>
            </w:pPr>
            <w:r>
              <w:rPr/>
              <w:t>​</w:t>
            </w:r>
          </w:p>
        </w:tc>
        <w:tc>
          <w:tcPr>
            <w:tcW w:w="221" w:type="dxa"/>
            <w:tcBorders>
              <w:bottom w:val="single" w:sz="6" w:space="0" w:color="BFBFBF"/>
            </w:tcBorders>
            <w:tcMar>
              <w:bottom w:w="43" w:type="dxa"/>
            </w:tcMar>
            <w:vAlign w:val="center"/>
          </w:tcPr>
          <w:p>
            <w:pPr>
              <w:pStyle w:val="TableContents"/>
              <w:bidi w:val="0"/>
              <w:spacing w:before="0" w:after="283"/>
              <w:jc w:val="right"/>
              <w:rPr/>
            </w:pPr>
            <w:r>
              <w:rPr/>
              <w:t>​</w:t>
            </w:r>
          </w:p>
        </w:tc>
        <w:tc>
          <w:tcPr>
            <w:tcW w:w="702" w:type="dxa"/>
            <w:tcBorders>
              <w:bottom w:val="single" w:sz="6" w:space="0" w:color="BFBFBF"/>
            </w:tcBorders>
            <w:tcMar>
              <w:bottom w:w="43" w:type="dxa"/>
            </w:tcMar>
            <w:vAlign w:val="center"/>
          </w:tcPr>
          <w:p>
            <w:pPr>
              <w:pStyle w:val="TableContents"/>
              <w:bidi w:val="0"/>
              <w:spacing w:before="0" w:after="283"/>
              <w:jc w:val="right"/>
              <w:rPr/>
            </w:pPr>
            <w:r>
              <w:rPr/>
              <w:t xml:space="preserve">— </w:t>
            </w:r>
          </w:p>
        </w:tc>
        <w:tc>
          <w:tcPr>
            <w:tcW w:w="222"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09" w:type="dxa"/>
            <w:tcBorders>
              <w:bottom w:val="single" w:sz="6" w:space="0" w:color="BFBFBF"/>
            </w:tcBorders>
            <w:tcMar>
              <w:bottom w:w="43" w:type="dxa"/>
            </w:tcMar>
            <w:vAlign w:val="center"/>
          </w:tcPr>
          <w:p>
            <w:pPr>
              <w:pStyle w:val="TableContents"/>
              <w:bidi w:val="0"/>
              <w:spacing w:before="0" w:after="283"/>
              <w:jc w:val="right"/>
              <w:rPr/>
            </w:pPr>
            <w:r>
              <w:rPr/>
              <w:t>​</w:t>
            </w:r>
          </w:p>
        </w:tc>
        <w:tc>
          <w:tcPr>
            <w:tcW w:w="1066" w:type="dxa"/>
            <w:tcBorders>
              <w:bottom w:val="single" w:sz="6" w:space="0" w:color="BFBFBF"/>
            </w:tcBorders>
            <w:tcMar>
              <w:bottom w:w="43" w:type="dxa"/>
            </w:tcMar>
            <w:vAlign w:val="center"/>
          </w:tcPr>
          <w:p>
            <w:pPr>
              <w:pStyle w:val="TableContents"/>
              <w:bidi w:val="0"/>
              <w:spacing w:before="0" w:after="283"/>
              <w:jc w:val="right"/>
              <w:rPr/>
            </w:pPr>
            <w:r>
              <w:rPr/>
              <w:t>601,114</w:t>
            </w:r>
          </w:p>
        </w:tc>
        <w:tc>
          <w:tcPr>
            <w:tcW w:w="109" w:type="dxa"/>
            <w:tcBorders>
              <w:bottom w:val="single" w:sz="6" w:space="0" w:color="BFBFBF"/>
            </w:tcBorders>
            <w:tcMar>
              <w:bottom w:w="28" w:type="dxa"/>
            </w:tcMar>
            <w:vAlign w:val="center"/>
          </w:tcPr>
          <w:p>
            <w:pPr>
              <w:pStyle w:val="TableContents"/>
              <w:bidi w:val="0"/>
              <w:spacing w:before="0" w:after="283"/>
              <w:jc w:val="left"/>
              <w:rPr/>
            </w:pPr>
            <w:r>
              <w:rPr/>
              <w:t>​</w:t>
            </w:r>
          </w:p>
        </w:tc>
        <w:tc>
          <w:tcPr>
            <w:tcW w:w="159" w:type="dxa"/>
            <w:tcBorders>
              <w:bottom w:val="single" w:sz="6" w:space="0" w:color="BFBFB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71B1C8"/>
            </w:tcBorders>
            <w:tcMar>
              <w:bottom w:w="28" w:type="dxa"/>
            </w:tcMar>
            <w:vAlign w:val="center"/>
          </w:tcPr>
          <w:p>
            <w:pPr>
              <w:pStyle w:val="TableContents"/>
              <w:bidi w:val="0"/>
              <w:spacing w:before="0" w:after="283"/>
              <w:jc w:val="left"/>
              <w:rPr/>
            </w:pPr>
            <w:r>
              <w:rPr/>
              <w:t>​</w:t>
            </w:r>
          </w:p>
        </w:tc>
        <w:tc>
          <w:tcPr>
            <w:tcW w:w="1029" w:type="dxa"/>
            <w:tcBorders>
              <w:bottom w:val="single" w:sz="12" w:space="0" w:color="71B1C8"/>
            </w:tcBorders>
            <w:tcMar>
              <w:bottom w:w="28" w:type="dxa"/>
            </w:tcMar>
            <w:vAlign w:val="center"/>
          </w:tcPr>
          <w:p>
            <w:pPr>
              <w:pStyle w:val="TableContents"/>
              <w:bidi w:val="0"/>
              <w:spacing w:before="0" w:after="283"/>
              <w:jc w:val="left"/>
              <w:rPr>
                <w:spacing w:val="-1"/>
              </w:rPr>
            </w:pPr>
            <w:r>
              <w:rPr>
                <w:spacing w:val="-1"/>
              </w:rPr>
              <w:t xml:space="preserve">J.J. Hastings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25" w:type="dxa"/>
            <w:tcBorders>
              <w:bottom w:val="single" w:sz="12" w:space="0" w:color="71B1C8"/>
            </w:tcBorders>
            <w:tcMar>
              <w:bottom w:w="28" w:type="dxa"/>
            </w:tcMar>
            <w:vAlign w:val="center"/>
          </w:tcPr>
          <w:p>
            <w:pPr>
              <w:pStyle w:val="TableContents"/>
              <w:bidi w:val="0"/>
              <w:spacing w:before="0" w:after="283"/>
              <w:jc w:val="left"/>
              <w:rPr/>
            </w:pPr>
            <w:r>
              <w:rPr/>
              <w:t>​</w:t>
            </w:r>
          </w:p>
        </w:tc>
        <w:tc>
          <w:tcPr>
            <w:tcW w:w="125" w:type="dxa"/>
            <w:tcBorders>
              <w:bottom w:val="single" w:sz="12" w:space="0" w:color="71B1C8"/>
            </w:tcBorders>
            <w:tcMar>
              <w:bottom w:w="28" w:type="dxa"/>
            </w:tcMar>
            <w:vAlign w:val="center"/>
          </w:tcPr>
          <w:p>
            <w:pPr>
              <w:pStyle w:val="TableContents"/>
              <w:bidi w:val="0"/>
              <w:spacing w:before="0" w:after="283"/>
              <w:jc w:val="right"/>
              <w:rPr/>
            </w:pPr>
            <w:r>
              <w:rPr/>
              <w:t>​</w:t>
            </w:r>
          </w:p>
        </w:tc>
        <w:tc>
          <w:tcPr>
            <w:tcW w:w="1027" w:type="dxa"/>
            <w:tcBorders>
              <w:bottom w:val="single" w:sz="12" w:space="0" w:color="71B1C8"/>
            </w:tcBorders>
            <w:tcMar>
              <w:bottom w:w="28" w:type="dxa"/>
            </w:tcMar>
            <w:vAlign w:val="center"/>
          </w:tcPr>
          <w:p>
            <w:pPr>
              <w:pStyle w:val="TableContents"/>
              <w:bidi w:val="0"/>
              <w:spacing w:before="0" w:after="283"/>
              <w:jc w:val="right"/>
              <w:rPr/>
            </w:pPr>
            <w:r>
              <w:rPr/>
              <w:t>40,535</w:t>
            </w:r>
          </w:p>
        </w:tc>
        <w:tc>
          <w:tcPr>
            <w:tcW w:w="128"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40" w:type="dxa"/>
            <w:tcBorders>
              <w:bottom w:val="single" w:sz="12" w:space="0" w:color="71B1C8"/>
            </w:tcBorders>
            <w:tcMar>
              <w:bottom w:w="28" w:type="dxa"/>
            </w:tcMar>
            <w:vAlign w:val="center"/>
          </w:tcPr>
          <w:p>
            <w:pPr>
              <w:pStyle w:val="TableContents"/>
              <w:bidi w:val="0"/>
              <w:spacing w:before="0" w:after="283"/>
              <w:jc w:val="left"/>
              <w:rPr/>
            </w:pPr>
            <w:r>
              <w:rPr/>
              <w:t>​</w:t>
            </w:r>
          </w:p>
        </w:tc>
        <w:tc>
          <w:tcPr>
            <w:tcW w:w="140" w:type="dxa"/>
            <w:tcBorders>
              <w:bottom w:val="single" w:sz="12" w:space="0" w:color="71B1C8"/>
            </w:tcBorders>
            <w:tcMar>
              <w:bottom w:w="28" w:type="dxa"/>
            </w:tcMar>
            <w:vAlign w:val="center"/>
          </w:tcPr>
          <w:p>
            <w:pPr>
              <w:pStyle w:val="TableContents"/>
              <w:bidi w:val="0"/>
              <w:spacing w:before="0" w:after="283"/>
              <w:jc w:val="right"/>
              <w:rPr/>
            </w:pPr>
            <w:r>
              <w:rPr/>
              <w:t>​</w:t>
            </w:r>
          </w:p>
        </w:tc>
        <w:tc>
          <w:tcPr>
            <w:tcW w:w="985" w:type="dxa"/>
            <w:tcBorders>
              <w:bottom w:val="single" w:sz="12" w:space="0" w:color="71B1C8"/>
            </w:tcBorders>
            <w:tcMar>
              <w:bottom w:w="28" w:type="dxa"/>
            </w:tcMar>
            <w:vAlign w:val="center"/>
          </w:tcPr>
          <w:p>
            <w:pPr>
              <w:pStyle w:val="TableContents"/>
              <w:bidi w:val="0"/>
              <w:spacing w:before="0" w:after="283"/>
              <w:jc w:val="right"/>
              <w:rPr/>
            </w:pPr>
            <w:r>
              <w:rPr/>
              <w:t>23,163</w:t>
            </w:r>
          </w:p>
        </w:tc>
        <w:tc>
          <w:tcPr>
            <w:tcW w:w="141"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886" w:type="dxa"/>
            <w:tcBorders>
              <w:bottom w:val="single" w:sz="12" w:space="0" w:color="71B1C8"/>
            </w:tcBorders>
            <w:tcMar>
              <w:bottom w:w="28" w:type="dxa"/>
            </w:tcMar>
            <w:vAlign w:val="center"/>
          </w:tcPr>
          <w:p>
            <w:pPr>
              <w:pStyle w:val="TableContents"/>
              <w:bidi w:val="0"/>
              <w:spacing w:before="0" w:after="283"/>
              <w:jc w:val="right"/>
              <w:rPr/>
            </w:pPr>
            <w:r>
              <w:rPr/>
              <w:t xml:space="preserve">(7,167) </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221" w:type="dxa"/>
            <w:tcBorders>
              <w:bottom w:val="single" w:sz="12" w:space="0" w:color="71B1C8"/>
            </w:tcBorders>
            <w:tcMar>
              <w:bottom w:w="28" w:type="dxa"/>
            </w:tcMar>
            <w:vAlign w:val="center"/>
          </w:tcPr>
          <w:p>
            <w:pPr>
              <w:pStyle w:val="TableContents"/>
              <w:bidi w:val="0"/>
              <w:spacing w:before="0" w:after="283"/>
              <w:jc w:val="left"/>
              <w:rPr/>
            </w:pPr>
            <w:r>
              <w:rPr/>
              <w:t>​</w:t>
            </w:r>
          </w:p>
        </w:tc>
        <w:tc>
          <w:tcPr>
            <w:tcW w:w="221" w:type="dxa"/>
            <w:tcBorders>
              <w:bottom w:val="single" w:sz="12" w:space="0" w:color="71B1C8"/>
            </w:tcBorders>
            <w:tcMar>
              <w:bottom w:w="28" w:type="dxa"/>
            </w:tcMar>
            <w:vAlign w:val="center"/>
          </w:tcPr>
          <w:p>
            <w:pPr>
              <w:pStyle w:val="TableContents"/>
              <w:bidi w:val="0"/>
              <w:spacing w:before="0" w:after="283"/>
              <w:jc w:val="right"/>
              <w:rPr/>
            </w:pPr>
            <w:r>
              <w:rPr/>
              <w:t>​</w:t>
            </w:r>
          </w:p>
        </w:tc>
        <w:tc>
          <w:tcPr>
            <w:tcW w:w="702" w:type="dxa"/>
            <w:tcBorders>
              <w:bottom w:val="single" w:sz="12" w:space="0" w:color="71B1C8"/>
            </w:tcBorders>
            <w:tcMar>
              <w:bottom w:w="28" w:type="dxa"/>
            </w:tcMar>
            <w:vAlign w:val="center"/>
          </w:tcPr>
          <w:p>
            <w:pPr>
              <w:pStyle w:val="TableContents"/>
              <w:bidi w:val="0"/>
              <w:spacing w:before="0" w:after="283"/>
              <w:jc w:val="right"/>
              <w:rPr/>
            </w:pPr>
            <w:r>
              <w:rPr/>
              <w:t xml:space="preserve">— </w:t>
            </w:r>
          </w:p>
        </w:tc>
        <w:tc>
          <w:tcPr>
            <w:tcW w:w="222"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09" w:type="dxa"/>
            <w:tcBorders>
              <w:bottom w:val="single" w:sz="12" w:space="0" w:color="71B1C8"/>
            </w:tcBorders>
            <w:tcMar>
              <w:bottom w:w="28" w:type="dxa"/>
            </w:tcMar>
            <w:vAlign w:val="center"/>
          </w:tcPr>
          <w:p>
            <w:pPr>
              <w:pStyle w:val="TableContents"/>
              <w:bidi w:val="0"/>
              <w:spacing w:before="0" w:after="283"/>
              <w:jc w:val="right"/>
              <w:rPr/>
            </w:pPr>
            <w:r>
              <w:rPr/>
              <w:t>​</w:t>
            </w:r>
          </w:p>
        </w:tc>
        <w:tc>
          <w:tcPr>
            <w:tcW w:w="1066" w:type="dxa"/>
            <w:tcBorders>
              <w:bottom w:val="single" w:sz="12" w:space="0" w:color="71B1C8"/>
            </w:tcBorders>
            <w:tcMar>
              <w:bottom w:w="28" w:type="dxa"/>
            </w:tcMar>
            <w:vAlign w:val="center"/>
          </w:tcPr>
          <w:p>
            <w:pPr>
              <w:pStyle w:val="TableContents"/>
              <w:bidi w:val="0"/>
              <w:spacing w:before="0" w:after="283"/>
              <w:jc w:val="right"/>
              <w:rPr/>
            </w:pPr>
            <w:r>
              <w:rPr/>
              <w:t>806,975</w:t>
            </w:r>
          </w:p>
        </w:tc>
        <w:tc>
          <w:tcPr>
            <w:tcW w:w="109" w:type="dxa"/>
            <w:tcBorders>
              <w:bottom w:val="single" w:sz="12" w:space="0" w:color="71B1C8"/>
            </w:tcBorders>
            <w:tcMar>
              <w:bottom w:w="28" w:type="dxa"/>
            </w:tcMar>
            <w:vAlign w:val="center"/>
          </w:tcPr>
          <w:p>
            <w:pPr>
              <w:pStyle w:val="TableContents"/>
              <w:bidi w:val="0"/>
              <w:spacing w:before="0" w:after="283"/>
              <w:jc w:val="left"/>
              <w:rPr/>
            </w:pPr>
            <w:r>
              <w:rPr/>
              <w:t>​</w:t>
            </w:r>
          </w:p>
        </w:tc>
        <w:tc>
          <w:tcPr>
            <w:tcW w:w="159" w:type="dxa"/>
            <w:tcBorders>
              <w:bottom w:val="single" w:sz="12" w:space="0" w:color="71B1C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Named executive officers may elect to defer payment up to the greater of 6% or that percentage of regular earnings that the named executive officer would have been otherwise able to contribute on a before-tax basis to the Company’s Savings and Investment Plan. At the named executive officer’s election, such deferral will be credited to the named executive officer’s account in the dollar amount of the deferred regular earnings, or as the number of units calculated by dividing the dollar amount of regular earnings deferred by the closing price of the Company’s common stock on the last business day of the month in which the payment of such regular earnings would have been made.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844">
                <wp:simplePos x="0" y="0"/>
                <wp:positionH relativeFrom="column">
                  <wp:align>left</wp:align>
                </wp:positionH>
                <wp:positionV relativeFrom="line">
                  <wp:align>top</wp:align>
                </wp:positionV>
                <wp:extent cx="254000" cy="254000"/>
                <wp:effectExtent l="0" t="0" r="0" b="0"/>
                <wp:wrapSquare wrapText="right"/>
                <wp:docPr id="823" name="Frame53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The amounts reported in this column represent matching contributions by the Company and were also reported as part of the named executive officers’ “All Other Compensation” in the Summary Compensation table and specifically listed in footnote 5 to such table. Under the Company’s Savings and Investment Plan, the Company contributes $1 for every $1 contributed by the named </w:t>
      </w:r>
      <w:r>
        <mc:AlternateContent>
          <mc:Choice Requires="wps">
            <w:drawing>
              <wp:anchor behindDoc="0" distT="49530" distB="0" distL="76200" distR="0" simplePos="0" locked="0" layoutInCell="1" allowOverlap="1" relativeHeight="845">
                <wp:simplePos x="0" y="0"/>
                <wp:positionH relativeFrom="column">
                  <wp:align>left</wp:align>
                </wp:positionH>
                <wp:positionV relativeFrom="line">
                  <wp:align>top</wp:align>
                </wp:positionV>
                <wp:extent cx="254000" cy="254000"/>
                <wp:effectExtent l="0" t="0" r="0" b="0"/>
                <wp:wrapSquare wrapText="right"/>
                <wp:docPr id="824" name="Frame54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3.9pt;mso-wrap-distance-bottom:0pt;margin-top:3.9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(2)</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66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executive officer of the first 3% of regular earnings and $1 for every $2 of the next 2% of the named executive officer’s regular earnings. If the Code restrictions prevent the named executive officer from receiving matching contributions under the Company’s Savings and Investment Plan, the named executive officer’s account will be credited by the amounts that would have been otherwise contributed by the Company as matching contributions. Matching contributions are held in the general funds of the Company and are credited to the named executive officer’s account in the form of units only, calculated as described in note (1) above.</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The amounts reported in this column represent the aggregate earnings during 2025 of each named executive officer’s account. Dollar amounts in the named executive officer’s account are credited with the interest at a rate equal to the Fixed Income Fund of the Company’s Savings and Investment Plan; units in a named executive officer’s account are marked to market monthly. Whenever a cash dividend is paid on the Company’s common stock, the number of units is increased as follows: the number of units in the named executive officer’s account are multiplied by the cash dividend and divided by the closing price of the Company’s common stock on the dividend record date. None of the named executive officers had any “above market earnings” reportable in column (h) of the Summary Compensation Table. </w:t>
      </w:r>
      <w:r>
        <mc:AlternateContent>
          <mc:Choice Requires="wps">
            <w:drawing>
              <wp:anchor behindDoc="0" distT="50800" distB="0" distL="76200" distR="0" simplePos="0" locked="0" layoutInCell="1" allowOverlap="1" relativeHeight="846">
                <wp:simplePos x="0" y="0"/>
                <wp:positionH relativeFrom="column">
                  <wp:align>left</wp:align>
                </wp:positionH>
                <wp:positionV relativeFrom="line">
                  <wp:align>top</wp:align>
                </wp:positionV>
                <wp:extent cx="254000" cy="350520"/>
                <wp:effectExtent l="0" t="0" r="0" b="0"/>
                <wp:wrapSquare wrapText="right"/>
                <wp:docPr id="825"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67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PPOT"/>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9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POTENTIAL PAYMENTS ON TERMINATION OR CHANGE IN CONTROL — 2025</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2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summarizes the estimated payments to be made to each named executive officer serving as of December 31, 2025 derived from their employment agreements, change in control agreements (“CIC agreements”), the terms of their grants and awards and the Company’s Stock Award and Incentive Plans (i) prior to a change in control and in connection with any termination of employment including voluntary resignation, for “Cause” termination, death, disability, retirement, termination without “Cause” or resignation for “Good Reason”, and (ii) upon a change in control without termination of employment and termination without “Cause” or resignation for “Good Reason”. Our employment agreements and CIC agreements with our named executive officers are described following the table.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the purpose of the quantitative disclosure in the following table, and in accordance with SEC regulations, we have assumed that the triggering event took place on the last business day of our most recently completed fiscal year, December 31, 2025, and that the price per share of our common stock is the closing market price as of that date, $60.95.</w:t>
      </w:r>
      <w:r>
        <w:rPr>
          <w:rFonts w:ascii="Arial;Helvetica;sans-serif" w:hAnsi="Arial;Helvetica;sans-serif"/>
          <w:b w:val="false"/>
          <w:i w:val="false"/>
          <w:caps w:val="false"/>
          <w:smallCaps w:val="false"/>
          <w:color w:val="000000"/>
          <w:spacing w:val="4"/>
          <w:sz w:val="18"/>
        </w:rPr>
        <w:t xml:space="preserve"> </w:t>
      </w:r>
    </w:p>
    <w:tbl>
      <w:tblPr>
        <w:tblW w:w="10879" w:type="dxa"/>
        <w:jc w:val="left"/>
        <w:tblInd w:w="1020" w:type="dxa"/>
        <w:tblLayout w:type="fixed"/>
        <w:tblCellMar>
          <w:top w:w="0" w:type="dxa"/>
          <w:left w:w="0" w:type="dxa"/>
          <w:bottom w:w="28" w:type="dxa"/>
          <w:right w:w="0" w:type="dxa"/>
        </w:tblCellMar>
      </w:tblPr>
      <w:tblGrid>
        <w:gridCol w:w="124"/>
        <w:gridCol w:w="1283"/>
        <w:gridCol w:w="109"/>
        <w:gridCol w:w="109"/>
        <w:gridCol w:w="1471"/>
        <w:gridCol w:w="109"/>
        <w:gridCol w:w="109"/>
        <w:gridCol w:w="248"/>
        <w:gridCol w:w="248"/>
        <w:gridCol w:w="515"/>
        <w:gridCol w:w="250"/>
        <w:gridCol w:w="109"/>
        <w:gridCol w:w="109"/>
        <w:gridCol w:w="224"/>
        <w:gridCol w:w="224"/>
        <w:gridCol w:w="466"/>
        <w:gridCol w:w="227"/>
        <w:gridCol w:w="109"/>
        <w:gridCol w:w="109"/>
        <w:gridCol w:w="109"/>
        <w:gridCol w:w="109"/>
        <w:gridCol w:w="1066"/>
        <w:gridCol w:w="109"/>
        <w:gridCol w:w="109"/>
        <w:gridCol w:w="109"/>
        <w:gridCol w:w="260"/>
        <w:gridCol w:w="260"/>
        <w:gridCol w:w="539"/>
        <w:gridCol w:w="262"/>
        <w:gridCol w:w="109"/>
        <w:gridCol w:w="109"/>
        <w:gridCol w:w="109"/>
        <w:gridCol w:w="109"/>
        <w:gridCol w:w="1096"/>
        <w:gridCol w:w="109"/>
        <w:gridCol w:w="154"/>
      </w:tblGrid>
      <w:tr>
        <w:trPr/>
        <w:tc>
          <w:tcPr>
            <w:tcW w:w="124"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283" w:type="dxa"/>
            <w:vMerge w:val="restart"/>
            <w:tcBorders>
              <w:bottom w:val="single" w:sz="6" w:space="0" w:color="002F56"/>
            </w:tcBorders>
            <w:shd w:fill="002F56" w:val="clear"/>
            <w:tcMar>
              <w:bottom w:w="30" w:type="dxa"/>
            </w:tcMar>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471" w:type="dxa"/>
            <w:vMerge w:val="restart"/>
            <w:tcBorders>
              <w:bottom w:val="single" w:sz="6" w:space="0" w:color="002F56"/>
            </w:tcBorders>
            <w:shd w:fill="002F56" w:val="clear"/>
            <w:tcMar>
              <w:bottom w:w="30" w:type="dxa"/>
            </w:tcMar>
            <w:vAlign w:val="center"/>
          </w:tcPr>
          <w:p>
            <w:pPr>
              <w:pStyle w:val="TableContents"/>
              <w:bidi w:val="0"/>
              <w:spacing w:lineRule="atLeast" w:line="180" w:before="0" w:after="0"/>
              <w:jc w:val="left"/>
              <w:rPr>
                <w:spacing w:val="0"/>
              </w:rPr>
            </w:pPr>
            <w:r>
              <w:rPr>
                <w:spacing w:val="0"/>
              </w:rPr>
              <w:t xml:space="preserve">Compensation </w:t>
            </w:r>
          </w:p>
        </w:tc>
        <w:tc>
          <w:tcPr>
            <w:tcW w:w="109" w:type="dxa"/>
            <w:vMerge w:val="restart"/>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4231" w:type="dxa"/>
            <w:gridSpan w:val="16"/>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Upon Termination and Prior to </w:t>
              <w:br/>
              <w:t xml:space="preserve">a Change in Control </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2962" w:type="dxa"/>
            <w:gridSpan w:val="10"/>
            <w:tcBorders>
              <w:bottom w:val="single" w:sz="6" w:space="0" w:color="71B1C8"/>
            </w:tcBorders>
            <w:shd w:fill="002F56" w:val="clear"/>
            <w:tcMar>
              <w:bottom w:w="30" w:type="dxa"/>
            </w:tcMar>
            <w:vAlign w:val="center"/>
          </w:tcPr>
          <w:p>
            <w:pPr>
              <w:pStyle w:val="TableContents"/>
              <w:bidi w:val="0"/>
              <w:spacing w:before="0" w:after="0"/>
              <w:jc w:val="center"/>
              <w:rPr>
                <w:spacing w:val="0"/>
              </w:rPr>
            </w:pPr>
            <w:r>
              <w:rPr>
                <w:spacing w:val="0"/>
              </w:rPr>
              <w:t xml:space="preserve">On or After a Change in Control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vMerge w:val="continue"/>
            <w:tcBorders>
              <w:bottom w:val="single" w:sz="6" w:space="0" w:color="002F56"/>
            </w:tcBorders>
            <w:shd w:fill="002F56" w:val="clear"/>
            <w:vAlign w:val="center"/>
          </w:tcPr>
          <w:p>
            <w:pPr>
              <w:pStyle w:val="Normal"/>
              <w:bidi w:val="0"/>
              <w:jc w:val="left"/>
              <w:rPr/>
            </w:pPr>
            <w:r>
              <w:rPr/>
            </w:r>
          </w:p>
        </w:tc>
        <w:tc>
          <w:tcPr>
            <w:tcW w:w="1283" w:type="dxa"/>
            <w:vMerge w:val="continue"/>
            <w:tcBorders>
              <w:bottom w:val="single" w:sz="6" w:space="0" w:color="002F56"/>
            </w:tcBorders>
            <w:shd w:fill="002F56" w:val="clear"/>
            <w:tcMar>
              <w:bottom w:w="30"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471" w:type="dxa"/>
            <w:vMerge w:val="continue"/>
            <w:tcBorders>
              <w:bottom w:val="single" w:sz="6" w:space="0" w:color="002F56"/>
            </w:tcBorders>
            <w:shd w:fill="002F56" w:val="clear"/>
            <w:tcMar>
              <w:bottom w:w="30" w:type="dxa"/>
            </w:tcMar>
            <w:vAlign w:val="center"/>
          </w:tcPr>
          <w:p>
            <w:pPr>
              <w:pStyle w:val="Normal"/>
              <w:bidi w:val="0"/>
              <w:jc w:val="left"/>
              <w:rPr/>
            </w:pPr>
            <w:r>
              <w:rPr/>
            </w:r>
          </w:p>
        </w:tc>
        <w:tc>
          <w:tcPr>
            <w:tcW w:w="109" w:type="dxa"/>
            <w:vMerge w:val="continue"/>
            <w:tcBorders>
              <w:bottom w:val="single" w:sz="6" w:space="0" w:color="002F56"/>
            </w:tcBorders>
            <w:shd w:fill="002F56" w:val="clear"/>
            <w:vAlign w:val="center"/>
          </w:tcPr>
          <w:p>
            <w:pPr>
              <w:pStyle w:val="Normal"/>
              <w:bidi w:val="0"/>
              <w:jc w:val="left"/>
              <w:rPr/>
            </w:pPr>
            <w:r>
              <w:rPr/>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61" w:type="dxa"/>
            <w:gridSpan w:val="4"/>
            <w:tcBorders>
              <w:bottom w:val="single" w:sz="6" w:space="0" w:color="002F56"/>
            </w:tcBorders>
            <w:shd w:fill="002F56" w:val="clear"/>
            <w:vAlign w:val="center"/>
          </w:tcPr>
          <w:p>
            <w:pPr>
              <w:pStyle w:val="TableContents"/>
              <w:bidi w:val="0"/>
              <w:spacing w:lineRule="atLeast" w:line="180" w:before="0" w:after="0"/>
              <w:jc w:val="center"/>
              <w:rPr/>
            </w:pPr>
            <w:r>
              <w:rPr>
                <w:spacing w:val="0"/>
              </w:rPr>
              <w:t xml:space="preserve">Voluntary </w:t>
              <w:br/>
              <w:t xml:space="preserve">Resignation </w:t>
              <w:br/>
              <w:t xml:space="preserve">or “For </w:t>
              <w:br/>
              <w:t xml:space="preserve">Cause” </w:t>
              <w:br/>
              <w:t>Termination</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141" w:type="dxa"/>
            <w:gridSpan w:val="4"/>
            <w:tcBorders>
              <w:bottom w:val="single" w:sz="6" w:space="0" w:color="002F56"/>
            </w:tcBorders>
            <w:shd w:fill="002F56" w:val="clear"/>
            <w:vAlign w:val="center"/>
          </w:tcPr>
          <w:p>
            <w:pPr>
              <w:pStyle w:val="TableContents"/>
              <w:bidi w:val="0"/>
              <w:spacing w:lineRule="atLeast" w:line="180" w:before="0" w:after="0"/>
              <w:jc w:val="center"/>
              <w:rPr/>
            </w:pPr>
            <w:r>
              <w:rPr>
                <w:spacing w:val="0"/>
              </w:rPr>
              <w:t xml:space="preserve">Death, </w:t>
              <w:br/>
              <w:t xml:space="preserve">Disability </w:t>
              <w:br/>
              <w:t xml:space="preserve">or </w:t>
              <w:br/>
              <w:t>Retirement</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80" w:before="0" w:after="0"/>
              <w:jc w:val="center"/>
              <w:rPr/>
            </w:pPr>
            <w:r>
              <w:rPr>
                <w:spacing w:val="0"/>
              </w:rPr>
              <w:t xml:space="preserve">Termination </w:t>
              <w:br/>
              <w:t xml:space="preserve">Without “Cause” </w:t>
              <w:br/>
              <w:t xml:space="preserve">or Resignation </w:t>
              <w:br/>
              <w:t xml:space="preserve">for “Good </w:t>
              <w:br/>
              <w:t>Reason”</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21" w:type="dxa"/>
            <w:gridSpan w:val="4"/>
            <w:tcBorders>
              <w:bottom w:val="single" w:sz="6" w:space="0" w:color="002F56"/>
            </w:tcBorders>
            <w:shd w:fill="002F56" w:val="clear"/>
            <w:vAlign w:val="center"/>
          </w:tcPr>
          <w:p>
            <w:pPr>
              <w:pStyle w:val="TableContents"/>
              <w:bidi w:val="0"/>
              <w:spacing w:lineRule="atLeast" w:line="180" w:before="0" w:after="0"/>
              <w:jc w:val="center"/>
              <w:rPr/>
            </w:pPr>
            <w:r>
              <w:rPr>
                <w:spacing w:val="0"/>
              </w:rPr>
              <w:t xml:space="preserve">No </w:t>
              <w:br/>
              <w:t xml:space="preserve">Termination </w:t>
              <w:br/>
              <w:t xml:space="preserve">of </w:t>
              <w:br/>
              <w:t>Employment</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23" w:type="dxa"/>
            <w:gridSpan w:val="4"/>
            <w:tcBorders>
              <w:bottom w:val="single" w:sz="6" w:space="0" w:color="002F56"/>
            </w:tcBorders>
            <w:shd w:fill="002F56" w:val="clear"/>
            <w:vAlign w:val="center"/>
          </w:tcPr>
          <w:p>
            <w:pPr>
              <w:pStyle w:val="TableContents"/>
              <w:bidi w:val="0"/>
              <w:spacing w:lineRule="atLeast" w:line="180" w:before="0" w:after="0"/>
              <w:jc w:val="center"/>
              <w:rPr/>
            </w:pPr>
            <w:r>
              <w:rPr>
                <w:spacing w:val="0"/>
              </w:rPr>
              <w:t xml:space="preserve">Termination </w:t>
              <w:br/>
              <w:t xml:space="preserve">Without </w:t>
              <w:br/>
              <w:t xml:space="preserve">“Cause” or </w:t>
              <w:br/>
              <w:t xml:space="preserve">Resignation </w:t>
              <w:br/>
              <w:t xml:space="preserve">for “Good </w:t>
              <w:br/>
              <w:t>Reason”</w:t>
            </w:r>
            <w:r>
              <w:rPr/>
              <w:t xml:space="preserve"> </w:t>
              <w:br/>
            </w:r>
            <w:r>
              <w:rPr>
                <w:spacing w:val="-2"/>
              </w:rPr>
              <w:t xml:space="preserve">($) </w:t>
            </w:r>
          </w:p>
        </w:tc>
        <w:tc>
          <w:tcPr>
            <w:tcW w:w="154"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283" w:type="dxa"/>
            <w:vMerge w:val="restart"/>
            <w:tcBorders>
              <w:bottom w:val="single" w:sz="2" w:space="0" w:color="002F56"/>
            </w:tcBorders>
            <w:tcMar>
              <w:bottom w:w="55" w:type="dxa"/>
            </w:tcMar>
            <w:vAlign w:val="center"/>
          </w:tcPr>
          <w:p>
            <w:pPr>
              <w:pStyle w:val="TableContents"/>
              <w:bidi w:val="0"/>
              <w:spacing w:lineRule="atLeast" w:line="200" w:before="0" w:after="0"/>
              <w:jc w:val="left"/>
              <w:rPr>
                <w:spacing w:val="-1"/>
              </w:rPr>
            </w:pPr>
            <w:r>
              <w:rPr>
                <w:spacing w:val="-1"/>
              </w:rPr>
              <w:t xml:space="preserve">D.T. Dietrich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lineRule="atLeast" w:line="200" w:before="0" w:after="0"/>
              <w:jc w:val="left"/>
              <w:rPr/>
            </w:pPr>
            <w:r>
              <w:rPr>
                <w:spacing w:val="-1"/>
              </w:rPr>
              <w:t>Severance Payment</w:t>
            </w:r>
            <w:r>
              <w:rPr>
                <w:spacing w:val="-1"/>
                <w:sz w:val="11"/>
              </w:rPr>
              <w:t>(1)</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lineRule="atLeast" w:line="200" w:before="0" w:after="283"/>
              <w:jc w:val="right"/>
              <w:rPr/>
            </w:pPr>
            <w:r>
              <w:rPr/>
              <w:t>4,725,000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lineRule="atLeast" w:line="200" w:before="0" w:after="283"/>
              <w:jc w:val="right"/>
              <w:rPr/>
            </w:pPr>
            <w:r>
              <w:rPr/>
              <w:t>7,087,500</w:t>
            </w:r>
            <w:r>
              <w:rPr>
                <w:sz w:val="11"/>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Benefits</w:t>
            </w:r>
            <w:r>
              <w:rPr>
                <w:spacing w:val="-1"/>
                <w:sz w:val="11"/>
              </w:rPr>
              <w:t>(3)</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43,880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43,880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DRSU Vesting</w:t>
            </w:r>
            <w:r>
              <w:rPr>
                <w:spacing w:val="-1"/>
                <w:sz w:val="11"/>
              </w:rPr>
              <w:t>(4)</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3,855,270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Stock Option Vesting</w:t>
            </w:r>
            <w:r>
              <w:rPr>
                <w:spacing w:val="-1"/>
                <w:sz w:val="11"/>
              </w:rPr>
              <w:t>(5)</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471" w:type="dxa"/>
            <w:tcBorders>
              <w:bottom w:val="single" w:sz="6" w:space="0" w:color="002F56"/>
            </w:tcBorders>
            <w:tcMar>
              <w:bottom w:w="47" w:type="dxa"/>
            </w:tcMar>
            <w:vAlign w:val="center"/>
          </w:tcPr>
          <w:p>
            <w:pPr>
              <w:pStyle w:val="TableContents"/>
              <w:bidi w:val="0"/>
              <w:spacing w:before="0" w:after="0"/>
              <w:jc w:val="left"/>
              <w:rPr/>
            </w:pPr>
            <w:r>
              <w:rPr>
                <w:spacing w:val="-1"/>
              </w:rPr>
              <w:t>Performance Unit Vesting</w:t>
            </w:r>
            <w:r>
              <w:rPr>
                <w:spacing w:val="-1"/>
                <w:sz w:val="11"/>
              </w:rPr>
              <w:t>(6)</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tcMar>
              <w:bottom w:w="47" w:type="dxa"/>
            </w:tcMar>
            <w:vAlign w:val="center"/>
          </w:tcPr>
          <w:p>
            <w:pPr>
              <w:pStyle w:val="TableContents"/>
              <w:bidi w:val="0"/>
              <w:spacing w:before="0" w:after="283"/>
              <w:jc w:val="right"/>
              <w:rPr/>
            </w:pPr>
            <w:r>
              <w:rPr/>
              <w:t>​</w:t>
            </w:r>
          </w:p>
        </w:tc>
        <w:tc>
          <w:tcPr>
            <w:tcW w:w="515" w:type="dxa"/>
            <w:tcBorders>
              <w:bottom w:val="single" w:sz="6" w:space="0" w:color="002F56"/>
            </w:tcBorders>
            <w:tcMar>
              <w:bottom w:w="47" w:type="dxa"/>
            </w:tcMar>
            <w:vAlign w:val="center"/>
          </w:tcPr>
          <w:p>
            <w:pPr>
              <w:pStyle w:val="TableContents"/>
              <w:bidi w:val="0"/>
              <w:spacing w:before="0" w:after="283"/>
              <w:jc w:val="right"/>
              <w:rPr/>
            </w:pPr>
            <w:r>
              <w:rPr/>
              <w:t>0</w:t>
            </w:r>
          </w:p>
        </w:tc>
        <w:tc>
          <w:tcPr>
            <w:tcW w:w="250"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tcMar>
              <w:bottom w:w="47" w:type="dxa"/>
            </w:tcMar>
            <w:vAlign w:val="center"/>
          </w:tcPr>
          <w:p>
            <w:pPr>
              <w:pStyle w:val="TableContents"/>
              <w:bidi w:val="0"/>
              <w:spacing w:before="0" w:after="283"/>
              <w:jc w:val="right"/>
              <w:rPr/>
            </w:pPr>
            <w:r>
              <w:rPr/>
              <w:t>​</w:t>
            </w:r>
          </w:p>
        </w:tc>
        <w:tc>
          <w:tcPr>
            <w:tcW w:w="466" w:type="dxa"/>
            <w:tcBorders>
              <w:bottom w:val="single" w:sz="6" w:space="0" w:color="002F56"/>
            </w:tcBorders>
            <w:tcMar>
              <w:bottom w:w="47" w:type="dxa"/>
            </w:tcMar>
            <w:vAlign w:val="center"/>
          </w:tcPr>
          <w:p>
            <w:pPr>
              <w:pStyle w:val="TableContents"/>
              <w:bidi w:val="0"/>
              <w:spacing w:before="0" w:after="283"/>
              <w:jc w:val="right"/>
              <w:rPr/>
            </w:pPr>
            <w:r>
              <w:rPr/>
              <w:t>0</w:t>
            </w:r>
          </w:p>
        </w:tc>
        <w:tc>
          <w:tcPr>
            <w:tcW w:w="227"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66" w:type="dxa"/>
            <w:tcBorders>
              <w:bottom w:val="single" w:sz="6" w:space="0" w:color="002F56"/>
            </w:tcBorders>
            <w:tcMar>
              <w:bottom w:w="47" w:type="dxa"/>
            </w:tcMar>
            <w:vAlign w:val="center"/>
          </w:tcPr>
          <w:p>
            <w:pPr>
              <w:pStyle w:val="TableContents"/>
              <w:bidi w:val="0"/>
              <w:spacing w:before="0" w:after="283"/>
              <w:jc w:val="right"/>
              <w:rPr/>
            </w:pPr>
            <w:r>
              <w:rPr/>
              <w:t>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tcMar>
              <w:bottom w:w="47" w:type="dxa"/>
            </w:tcMar>
            <w:vAlign w:val="center"/>
          </w:tcPr>
          <w:p>
            <w:pPr>
              <w:pStyle w:val="TableContents"/>
              <w:bidi w:val="0"/>
              <w:spacing w:before="0" w:after="283"/>
              <w:jc w:val="right"/>
              <w:rPr/>
            </w:pPr>
            <w:r>
              <w:rPr/>
              <w:t>​</w:t>
            </w:r>
          </w:p>
        </w:tc>
        <w:tc>
          <w:tcPr>
            <w:tcW w:w="539" w:type="dxa"/>
            <w:tcBorders>
              <w:bottom w:val="single" w:sz="6" w:space="0" w:color="002F56"/>
            </w:tcBorders>
            <w:tcMar>
              <w:bottom w:w="47" w:type="dxa"/>
            </w:tcMar>
            <w:vAlign w:val="center"/>
          </w:tcPr>
          <w:p>
            <w:pPr>
              <w:pStyle w:val="TableContents"/>
              <w:bidi w:val="0"/>
              <w:spacing w:before="0" w:after="283"/>
              <w:jc w:val="right"/>
              <w:rPr/>
            </w:pPr>
            <w:r>
              <w:rPr/>
              <w:t>0</w:t>
            </w:r>
          </w:p>
        </w:tc>
        <w:tc>
          <w:tcPr>
            <w:tcW w:w="26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96" w:type="dxa"/>
            <w:tcBorders>
              <w:bottom w:val="single" w:sz="6" w:space="0" w:color="002F56"/>
            </w:tcBorders>
            <w:tcMar>
              <w:bottom w:w="47" w:type="dxa"/>
            </w:tcMar>
            <w:vAlign w:val="center"/>
          </w:tcPr>
          <w:p>
            <w:pPr>
              <w:pStyle w:val="TableContents"/>
              <w:bidi w:val="0"/>
              <w:spacing w:before="0" w:after="283"/>
              <w:jc w:val="right"/>
              <w:rPr/>
            </w:pPr>
            <w:r>
              <w:rPr/>
              <w:t>7,848,800</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283" w:type="dxa"/>
            <w:vMerge w:val="restart"/>
            <w:tcBorders>
              <w:bottom w:val="single" w:sz="2" w:space="0" w:color="002F56"/>
            </w:tcBorders>
            <w:tcMar>
              <w:bottom w:w="55" w:type="dxa"/>
            </w:tcMar>
            <w:vAlign w:val="center"/>
          </w:tcPr>
          <w:p>
            <w:pPr>
              <w:pStyle w:val="TableContents"/>
              <w:bidi w:val="0"/>
              <w:spacing w:lineRule="atLeast" w:line="200" w:before="0" w:after="0"/>
              <w:jc w:val="left"/>
              <w:rPr>
                <w:spacing w:val="-1"/>
              </w:rPr>
            </w:pPr>
            <w:r>
              <w:rPr>
                <w:spacing w:val="-1"/>
              </w:rPr>
              <w:t xml:space="preserve">E.C. Aldag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lineRule="atLeast" w:line="200" w:before="0" w:after="0"/>
              <w:jc w:val="left"/>
              <w:rPr/>
            </w:pPr>
            <w:r>
              <w:rPr>
                <w:spacing w:val="-1"/>
              </w:rPr>
              <w:t>Severance Payment</w:t>
            </w:r>
            <w:r>
              <w:rPr>
                <w:spacing w:val="-1"/>
                <w:sz w:val="11"/>
              </w:rPr>
              <w:t>(1)</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lineRule="atLeast" w:line="200" w:before="0" w:after="283"/>
              <w:jc w:val="right"/>
              <w:rPr/>
            </w:pPr>
            <w:r>
              <w:rPr/>
              <w:t>1,507,275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lineRule="atLeast" w:line="200" w:before="0" w:after="283"/>
              <w:jc w:val="right"/>
              <w:rPr/>
            </w:pPr>
            <w:r>
              <w:rPr/>
              <w:t>3,014,550</w:t>
            </w:r>
            <w:r>
              <w:rPr>
                <w:sz w:val="11"/>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Benefits</w:t>
            </w:r>
            <w:r>
              <w:rPr>
                <w:spacing w:val="-1"/>
                <w:sz w:val="11"/>
              </w:rPr>
              <w:t>(3)</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73,407</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97,884</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DRSU Vesting</w:t>
            </w:r>
            <w:r>
              <w:rPr>
                <w:spacing w:val="-1"/>
                <w:sz w:val="11"/>
              </w:rPr>
              <w:t>(4)</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795,946</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Stock Option Vesting</w:t>
            </w:r>
            <w:r>
              <w:rPr>
                <w:spacing w:val="-1"/>
                <w:sz w:val="11"/>
              </w:rPr>
              <w:t>(5)</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471" w:type="dxa"/>
            <w:tcBorders>
              <w:bottom w:val="single" w:sz="6" w:space="0" w:color="002F56"/>
            </w:tcBorders>
            <w:tcMar>
              <w:bottom w:w="47" w:type="dxa"/>
            </w:tcMar>
            <w:vAlign w:val="center"/>
          </w:tcPr>
          <w:p>
            <w:pPr>
              <w:pStyle w:val="TableContents"/>
              <w:bidi w:val="0"/>
              <w:spacing w:before="0" w:after="0"/>
              <w:jc w:val="left"/>
              <w:rPr/>
            </w:pPr>
            <w:r>
              <w:rPr>
                <w:spacing w:val="-1"/>
              </w:rPr>
              <w:t>Performance Unit Vesting</w:t>
            </w:r>
            <w:r>
              <w:rPr>
                <w:spacing w:val="-1"/>
                <w:sz w:val="11"/>
              </w:rPr>
              <w:t>(6)</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tcMar>
              <w:bottom w:w="47" w:type="dxa"/>
            </w:tcMar>
            <w:vAlign w:val="center"/>
          </w:tcPr>
          <w:p>
            <w:pPr>
              <w:pStyle w:val="TableContents"/>
              <w:bidi w:val="0"/>
              <w:spacing w:before="0" w:after="283"/>
              <w:jc w:val="right"/>
              <w:rPr/>
            </w:pPr>
            <w:r>
              <w:rPr/>
              <w:t>​</w:t>
            </w:r>
          </w:p>
        </w:tc>
        <w:tc>
          <w:tcPr>
            <w:tcW w:w="515" w:type="dxa"/>
            <w:tcBorders>
              <w:bottom w:val="single" w:sz="6" w:space="0" w:color="002F56"/>
            </w:tcBorders>
            <w:tcMar>
              <w:bottom w:w="47" w:type="dxa"/>
            </w:tcMar>
            <w:vAlign w:val="center"/>
          </w:tcPr>
          <w:p>
            <w:pPr>
              <w:pStyle w:val="TableContents"/>
              <w:bidi w:val="0"/>
              <w:spacing w:before="0" w:after="283"/>
              <w:jc w:val="right"/>
              <w:rPr/>
            </w:pPr>
            <w:r>
              <w:rPr/>
              <w:t>0</w:t>
            </w:r>
          </w:p>
        </w:tc>
        <w:tc>
          <w:tcPr>
            <w:tcW w:w="250"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tcMar>
              <w:bottom w:w="47" w:type="dxa"/>
            </w:tcMar>
            <w:vAlign w:val="center"/>
          </w:tcPr>
          <w:p>
            <w:pPr>
              <w:pStyle w:val="TableContents"/>
              <w:bidi w:val="0"/>
              <w:spacing w:before="0" w:after="283"/>
              <w:jc w:val="right"/>
              <w:rPr/>
            </w:pPr>
            <w:r>
              <w:rPr/>
              <w:t>​</w:t>
            </w:r>
          </w:p>
        </w:tc>
        <w:tc>
          <w:tcPr>
            <w:tcW w:w="466" w:type="dxa"/>
            <w:tcBorders>
              <w:bottom w:val="single" w:sz="6" w:space="0" w:color="002F56"/>
            </w:tcBorders>
            <w:tcMar>
              <w:bottom w:w="47" w:type="dxa"/>
            </w:tcMar>
            <w:vAlign w:val="center"/>
          </w:tcPr>
          <w:p>
            <w:pPr>
              <w:pStyle w:val="TableContents"/>
              <w:bidi w:val="0"/>
              <w:spacing w:before="0" w:after="283"/>
              <w:jc w:val="right"/>
              <w:rPr/>
            </w:pPr>
            <w:r>
              <w:rPr/>
              <w:t>0</w:t>
            </w:r>
          </w:p>
        </w:tc>
        <w:tc>
          <w:tcPr>
            <w:tcW w:w="227"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66" w:type="dxa"/>
            <w:tcBorders>
              <w:bottom w:val="single" w:sz="6" w:space="0" w:color="002F56"/>
            </w:tcBorders>
            <w:tcMar>
              <w:bottom w:w="47" w:type="dxa"/>
            </w:tcMar>
            <w:vAlign w:val="center"/>
          </w:tcPr>
          <w:p>
            <w:pPr>
              <w:pStyle w:val="TableContents"/>
              <w:bidi w:val="0"/>
              <w:spacing w:before="0" w:after="283"/>
              <w:jc w:val="right"/>
              <w:rPr/>
            </w:pPr>
            <w:r>
              <w:rPr/>
              <w:t>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tcMar>
              <w:bottom w:w="47" w:type="dxa"/>
            </w:tcMar>
            <w:vAlign w:val="center"/>
          </w:tcPr>
          <w:p>
            <w:pPr>
              <w:pStyle w:val="TableContents"/>
              <w:bidi w:val="0"/>
              <w:spacing w:before="0" w:after="283"/>
              <w:jc w:val="right"/>
              <w:rPr/>
            </w:pPr>
            <w:r>
              <w:rPr/>
              <w:t>​</w:t>
            </w:r>
          </w:p>
        </w:tc>
        <w:tc>
          <w:tcPr>
            <w:tcW w:w="539" w:type="dxa"/>
            <w:tcBorders>
              <w:bottom w:val="single" w:sz="6" w:space="0" w:color="002F56"/>
            </w:tcBorders>
            <w:tcMar>
              <w:bottom w:w="47" w:type="dxa"/>
            </w:tcMar>
            <w:vAlign w:val="center"/>
          </w:tcPr>
          <w:p>
            <w:pPr>
              <w:pStyle w:val="TableContents"/>
              <w:bidi w:val="0"/>
              <w:spacing w:before="0" w:after="283"/>
              <w:jc w:val="right"/>
              <w:rPr/>
            </w:pPr>
            <w:r>
              <w:rPr/>
              <w:t>0</w:t>
            </w:r>
          </w:p>
        </w:tc>
        <w:tc>
          <w:tcPr>
            <w:tcW w:w="26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96" w:type="dxa"/>
            <w:tcBorders>
              <w:bottom w:val="single" w:sz="6" w:space="0" w:color="002F56"/>
            </w:tcBorders>
            <w:tcMar>
              <w:bottom w:w="47" w:type="dxa"/>
            </w:tcMar>
            <w:vAlign w:val="center"/>
          </w:tcPr>
          <w:p>
            <w:pPr>
              <w:pStyle w:val="TableContents"/>
              <w:bidi w:val="0"/>
              <w:spacing w:before="0" w:after="283"/>
              <w:jc w:val="right"/>
              <w:rPr/>
            </w:pPr>
            <w:r>
              <w:rPr/>
              <w:t>1,572,200</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283" w:type="dxa"/>
            <w:vMerge w:val="restart"/>
            <w:tcBorders>
              <w:bottom w:val="single" w:sz="2" w:space="0" w:color="002F56"/>
            </w:tcBorders>
            <w:tcMar>
              <w:bottom w:w="55" w:type="dxa"/>
            </w:tcMar>
            <w:vAlign w:val="center"/>
          </w:tcPr>
          <w:p>
            <w:pPr>
              <w:pStyle w:val="TableContents"/>
              <w:bidi w:val="0"/>
              <w:spacing w:lineRule="atLeast" w:line="200" w:before="0" w:after="0"/>
              <w:jc w:val="left"/>
              <w:rPr>
                <w:spacing w:val="-1"/>
              </w:rPr>
            </w:pPr>
            <w:r>
              <w:rPr>
                <w:spacing w:val="-1"/>
              </w:rPr>
              <w:t xml:space="preserve">D.J. Monagle, III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lineRule="atLeast" w:line="200" w:before="0" w:after="0"/>
              <w:jc w:val="left"/>
              <w:rPr/>
            </w:pPr>
            <w:r>
              <w:rPr>
                <w:spacing w:val="-1"/>
              </w:rPr>
              <w:t>Severance Payment</w:t>
            </w:r>
            <w:r>
              <w:rPr>
                <w:spacing w:val="-1"/>
                <w:sz w:val="11"/>
              </w:rPr>
              <w:t>(1)</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lineRule="atLeast" w:line="200" w:before="0" w:after="283"/>
              <w:jc w:val="right"/>
              <w:rPr/>
            </w:pPr>
            <w:r>
              <w:rPr/>
              <w:t>1,851,373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lineRule="atLeast" w:line="200" w:before="0" w:after="283"/>
              <w:jc w:val="right"/>
              <w:rPr/>
            </w:pPr>
            <w:r>
              <w:rPr/>
              <w:t>3,702,746</w:t>
            </w:r>
            <w:r>
              <w:rPr>
                <w:sz w:val="11"/>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Benefits</w:t>
            </w:r>
            <w:r>
              <w:rPr>
                <w:spacing w:val="-1"/>
                <w:sz w:val="11"/>
              </w:rPr>
              <w:t>(3)</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66,174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88,233</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DRSU Vesting</w:t>
            </w:r>
            <w:r>
              <w:rPr>
                <w:spacing w:val="-1"/>
                <w:sz w:val="11"/>
              </w:rPr>
              <w:t>(4)</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1,315,545</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Stock Option Vesting</w:t>
            </w:r>
            <w:r>
              <w:rPr>
                <w:spacing w:val="-1"/>
                <w:sz w:val="11"/>
              </w:rPr>
              <w:t>(5)</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471" w:type="dxa"/>
            <w:tcBorders>
              <w:bottom w:val="single" w:sz="6" w:space="0" w:color="002F56"/>
            </w:tcBorders>
            <w:tcMar>
              <w:bottom w:w="47" w:type="dxa"/>
            </w:tcMar>
            <w:vAlign w:val="center"/>
          </w:tcPr>
          <w:p>
            <w:pPr>
              <w:pStyle w:val="TableContents"/>
              <w:bidi w:val="0"/>
              <w:spacing w:before="0" w:after="0"/>
              <w:jc w:val="left"/>
              <w:rPr/>
            </w:pPr>
            <w:r>
              <w:rPr>
                <w:spacing w:val="-1"/>
              </w:rPr>
              <w:t>Performance Unit Vesting</w:t>
            </w:r>
            <w:r>
              <w:rPr>
                <w:spacing w:val="-1"/>
                <w:sz w:val="11"/>
              </w:rPr>
              <w:t>(6)</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tcMar>
              <w:bottom w:w="47" w:type="dxa"/>
            </w:tcMar>
            <w:vAlign w:val="center"/>
          </w:tcPr>
          <w:p>
            <w:pPr>
              <w:pStyle w:val="TableContents"/>
              <w:bidi w:val="0"/>
              <w:spacing w:before="0" w:after="283"/>
              <w:jc w:val="right"/>
              <w:rPr/>
            </w:pPr>
            <w:r>
              <w:rPr/>
              <w:t>​</w:t>
            </w:r>
          </w:p>
        </w:tc>
        <w:tc>
          <w:tcPr>
            <w:tcW w:w="515" w:type="dxa"/>
            <w:tcBorders>
              <w:bottom w:val="single" w:sz="6" w:space="0" w:color="002F56"/>
            </w:tcBorders>
            <w:tcMar>
              <w:bottom w:w="47" w:type="dxa"/>
            </w:tcMar>
            <w:vAlign w:val="center"/>
          </w:tcPr>
          <w:p>
            <w:pPr>
              <w:pStyle w:val="TableContents"/>
              <w:bidi w:val="0"/>
              <w:spacing w:before="0" w:after="283"/>
              <w:jc w:val="right"/>
              <w:rPr/>
            </w:pPr>
            <w:r>
              <w:rPr/>
              <w:t>0</w:t>
            </w:r>
          </w:p>
        </w:tc>
        <w:tc>
          <w:tcPr>
            <w:tcW w:w="250"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tcMar>
              <w:bottom w:w="47" w:type="dxa"/>
            </w:tcMar>
            <w:vAlign w:val="center"/>
          </w:tcPr>
          <w:p>
            <w:pPr>
              <w:pStyle w:val="TableContents"/>
              <w:bidi w:val="0"/>
              <w:spacing w:before="0" w:after="283"/>
              <w:jc w:val="right"/>
              <w:rPr/>
            </w:pPr>
            <w:r>
              <w:rPr/>
              <w:t>​</w:t>
            </w:r>
          </w:p>
        </w:tc>
        <w:tc>
          <w:tcPr>
            <w:tcW w:w="466" w:type="dxa"/>
            <w:tcBorders>
              <w:bottom w:val="single" w:sz="6" w:space="0" w:color="002F56"/>
            </w:tcBorders>
            <w:tcMar>
              <w:bottom w:w="47" w:type="dxa"/>
            </w:tcMar>
            <w:vAlign w:val="center"/>
          </w:tcPr>
          <w:p>
            <w:pPr>
              <w:pStyle w:val="TableContents"/>
              <w:bidi w:val="0"/>
              <w:spacing w:before="0" w:after="283"/>
              <w:jc w:val="right"/>
              <w:rPr/>
            </w:pPr>
            <w:r>
              <w:rPr/>
              <w:t>0</w:t>
            </w:r>
          </w:p>
        </w:tc>
        <w:tc>
          <w:tcPr>
            <w:tcW w:w="227"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66" w:type="dxa"/>
            <w:tcBorders>
              <w:bottom w:val="single" w:sz="6" w:space="0" w:color="002F56"/>
            </w:tcBorders>
            <w:tcMar>
              <w:bottom w:w="47" w:type="dxa"/>
            </w:tcMar>
            <w:vAlign w:val="center"/>
          </w:tcPr>
          <w:p>
            <w:pPr>
              <w:pStyle w:val="TableContents"/>
              <w:bidi w:val="0"/>
              <w:spacing w:before="0" w:after="283"/>
              <w:jc w:val="right"/>
              <w:rPr/>
            </w:pPr>
            <w:r>
              <w:rPr/>
              <w:t>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tcMar>
              <w:bottom w:w="47" w:type="dxa"/>
            </w:tcMar>
            <w:vAlign w:val="center"/>
          </w:tcPr>
          <w:p>
            <w:pPr>
              <w:pStyle w:val="TableContents"/>
              <w:bidi w:val="0"/>
              <w:spacing w:before="0" w:after="283"/>
              <w:jc w:val="right"/>
              <w:rPr/>
            </w:pPr>
            <w:r>
              <w:rPr/>
              <w:t>​</w:t>
            </w:r>
          </w:p>
        </w:tc>
        <w:tc>
          <w:tcPr>
            <w:tcW w:w="539" w:type="dxa"/>
            <w:tcBorders>
              <w:bottom w:val="single" w:sz="6" w:space="0" w:color="002F56"/>
            </w:tcBorders>
            <w:tcMar>
              <w:bottom w:w="47" w:type="dxa"/>
            </w:tcMar>
            <w:vAlign w:val="center"/>
          </w:tcPr>
          <w:p>
            <w:pPr>
              <w:pStyle w:val="TableContents"/>
              <w:bidi w:val="0"/>
              <w:spacing w:before="0" w:after="283"/>
              <w:jc w:val="right"/>
              <w:rPr/>
            </w:pPr>
            <w:r>
              <w:rPr/>
              <w:t>0</w:t>
            </w:r>
          </w:p>
        </w:tc>
        <w:tc>
          <w:tcPr>
            <w:tcW w:w="26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96" w:type="dxa"/>
            <w:tcBorders>
              <w:bottom w:val="single" w:sz="6" w:space="0" w:color="002F56"/>
            </w:tcBorders>
            <w:tcMar>
              <w:bottom w:w="47" w:type="dxa"/>
            </w:tcMar>
            <w:vAlign w:val="center"/>
          </w:tcPr>
          <w:p>
            <w:pPr>
              <w:pStyle w:val="TableContents"/>
              <w:bidi w:val="0"/>
              <w:spacing w:before="0" w:after="283"/>
              <w:jc w:val="right"/>
              <w:rPr/>
            </w:pPr>
            <w:r>
              <w:rPr/>
              <w:t>2,651,900</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283" w:type="dxa"/>
            <w:vMerge w:val="restart"/>
            <w:tcBorders>
              <w:bottom w:val="single" w:sz="2" w:space="0" w:color="002F56"/>
            </w:tcBorders>
            <w:tcMar>
              <w:bottom w:w="55" w:type="dxa"/>
            </w:tcMar>
            <w:vAlign w:val="center"/>
          </w:tcPr>
          <w:p>
            <w:pPr>
              <w:pStyle w:val="TableContents"/>
              <w:bidi w:val="0"/>
              <w:spacing w:lineRule="atLeast" w:line="200" w:before="0" w:after="0"/>
              <w:jc w:val="left"/>
              <w:rPr>
                <w:spacing w:val="-1"/>
              </w:rPr>
            </w:pPr>
            <w:r>
              <w:rPr>
                <w:spacing w:val="-1"/>
              </w:rPr>
              <w:t xml:space="preserve">B. Argirakis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lineRule="atLeast" w:line="200" w:before="0" w:after="0"/>
              <w:jc w:val="left"/>
              <w:rPr/>
            </w:pPr>
            <w:r>
              <w:rPr>
                <w:spacing w:val="-1"/>
              </w:rPr>
              <w:t>Severance Payment</w:t>
            </w:r>
            <w:r>
              <w:rPr>
                <w:spacing w:val="-1"/>
                <w:sz w:val="11"/>
              </w:rPr>
              <w:t>(1)</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lineRule="atLeast" w:line="200" w:before="0" w:after="283"/>
              <w:jc w:val="right"/>
              <w:rPr/>
            </w:pPr>
            <w:r>
              <w:rPr/>
              <w:t>1,774,511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lineRule="atLeast" w:line="200" w:before="0" w:after="283"/>
              <w:jc w:val="right"/>
              <w:rPr/>
            </w:pPr>
            <w:r>
              <w:rPr/>
              <w:t>3,549,021</w:t>
            </w:r>
            <w:r>
              <w:rPr>
                <w:sz w:val="11"/>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Benefits</w:t>
            </w:r>
            <w:r>
              <w:rPr>
                <w:spacing w:val="-1"/>
                <w:sz w:val="11"/>
              </w:rPr>
              <w:t>(3)</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50,201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66,917</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DRSU Vesting</w:t>
            </w:r>
            <w:r>
              <w:rPr>
                <w:spacing w:val="-1"/>
                <w:sz w:val="11"/>
              </w:rPr>
              <w:t>(4)</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1,127,697</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Stock Option Vesting</w:t>
            </w:r>
            <w:r>
              <w:rPr>
                <w:spacing w:val="-1"/>
                <w:sz w:val="11"/>
              </w:rPr>
              <w:t>(5)</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283" w:type="dxa"/>
            <w:vMerge w:val="continue"/>
            <w:tcBorders>
              <w:bottom w:val="single" w:sz="2" w:space="0" w:color="002F56"/>
            </w:tcBorders>
            <w:tcMar>
              <w:bottom w:w="55"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471" w:type="dxa"/>
            <w:tcBorders>
              <w:bottom w:val="single" w:sz="6" w:space="0" w:color="002F56"/>
            </w:tcBorders>
            <w:tcMar>
              <w:bottom w:w="47" w:type="dxa"/>
            </w:tcMar>
            <w:vAlign w:val="center"/>
          </w:tcPr>
          <w:p>
            <w:pPr>
              <w:pStyle w:val="TableContents"/>
              <w:bidi w:val="0"/>
              <w:spacing w:before="0" w:after="0"/>
              <w:jc w:val="left"/>
              <w:rPr/>
            </w:pPr>
            <w:r>
              <w:rPr>
                <w:spacing w:val="-1"/>
              </w:rPr>
              <w:t>Performance Unit Vesting</w:t>
            </w:r>
            <w:r>
              <w:rPr>
                <w:spacing w:val="-1"/>
                <w:sz w:val="11"/>
              </w:rPr>
              <w:t>(6)</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vAlign w:val="center"/>
          </w:tcPr>
          <w:p>
            <w:pPr>
              <w:pStyle w:val="TableContents"/>
              <w:bidi w:val="0"/>
              <w:spacing w:before="0" w:after="283"/>
              <w:jc w:val="left"/>
              <w:rPr/>
            </w:pPr>
            <w:r>
              <w:rPr/>
              <w:t>​</w:t>
            </w:r>
          </w:p>
        </w:tc>
        <w:tc>
          <w:tcPr>
            <w:tcW w:w="248" w:type="dxa"/>
            <w:tcBorders>
              <w:bottom w:val="single" w:sz="6" w:space="0" w:color="002F56"/>
            </w:tcBorders>
            <w:tcMar>
              <w:bottom w:w="47" w:type="dxa"/>
            </w:tcMar>
            <w:vAlign w:val="center"/>
          </w:tcPr>
          <w:p>
            <w:pPr>
              <w:pStyle w:val="TableContents"/>
              <w:bidi w:val="0"/>
              <w:spacing w:before="0" w:after="283"/>
              <w:jc w:val="right"/>
              <w:rPr/>
            </w:pPr>
            <w:r>
              <w:rPr/>
              <w:t>​</w:t>
            </w:r>
          </w:p>
        </w:tc>
        <w:tc>
          <w:tcPr>
            <w:tcW w:w="515" w:type="dxa"/>
            <w:tcBorders>
              <w:bottom w:val="single" w:sz="6" w:space="0" w:color="002F56"/>
            </w:tcBorders>
            <w:tcMar>
              <w:bottom w:w="47" w:type="dxa"/>
            </w:tcMar>
            <w:vAlign w:val="center"/>
          </w:tcPr>
          <w:p>
            <w:pPr>
              <w:pStyle w:val="TableContents"/>
              <w:bidi w:val="0"/>
              <w:spacing w:before="0" w:after="283"/>
              <w:jc w:val="right"/>
              <w:rPr/>
            </w:pPr>
            <w:r>
              <w:rPr/>
              <w:t>0</w:t>
            </w:r>
          </w:p>
        </w:tc>
        <w:tc>
          <w:tcPr>
            <w:tcW w:w="250"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vAlign w:val="center"/>
          </w:tcPr>
          <w:p>
            <w:pPr>
              <w:pStyle w:val="TableContents"/>
              <w:bidi w:val="0"/>
              <w:spacing w:before="0" w:after="283"/>
              <w:jc w:val="left"/>
              <w:rPr/>
            </w:pPr>
            <w:r>
              <w:rPr/>
              <w:t>​</w:t>
            </w:r>
          </w:p>
        </w:tc>
        <w:tc>
          <w:tcPr>
            <w:tcW w:w="224" w:type="dxa"/>
            <w:tcBorders>
              <w:bottom w:val="single" w:sz="6" w:space="0" w:color="002F56"/>
            </w:tcBorders>
            <w:tcMar>
              <w:bottom w:w="47" w:type="dxa"/>
            </w:tcMar>
            <w:vAlign w:val="center"/>
          </w:tcPr>
          <w:p>
            <w:pPr>
              <w:pStyle w:val="TableContents"/>
              <w:bidi w:val="0"/>
              <w:spacing w:before="0" w:after="283"/>
              <w:jc w:val="right"/>
              <w:rPr/>
            </w:pPr>
            <w:r>
              <w:rPr/>
              <w:t>​</w:t>
            </w:r>
          </w:p>
        </w:tc>
        <w:tc>
          <w:tcPr>
            <w:tcW w:w="466" w:type="dxa"/>
            <w:tcBorders>
              <w:bottom w:val="single" w:sz="6" w:space="0" w:color="002F56"/>
            </w:tcBorders>
            <w:tcMar>
              <w:bottom w:w="47" w:type="dxa"/>
            </w:tcMar>
            <w:vAlign w:val="center"/>
          </w:tcPr>
          <w:p>
            <w:pPr>
              <w:pStyle w:val="TableContents"/>
              <w:bidi w:val="0"/>
              <w:spacing w:before="0" w:after="283"/>
              <w:jc w:val="right"/>
              <w:rPr/>
            </w:pPr>
            <w:r>
              <w:rPr/>
              <w:t>0</w:t>
            </w:r>
          </w:p>
        </w:tc>
        <w:tc>
          <w:tcPr>
            <w:tcW w:w="227"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66" w:type="dxa"/>
            <w:tcBorders>
              <w:bottom w:val="single" w:sz="6" w:space="0" w:color="002F56"/>
            </w:tcBorders>
            <w:tcMar>
              <w:bottom w:w="47" w:type="dxa"/>
            </w:tcMar>
            <w:vAlign w:val="center"/>
          </w:tcPr>
          <w:p>
            <w:pPr>
              <w:pStyle w:val="TableContents"/>
              <w:bidi w:val="0"/>
              <w:spacing w:before="0" w:after="283"/>
              <w:jc w:val="right"/>
              <w:rPr/>
            </w:pPr>
            <w:r>
              <w:rPr/>
              <w:t>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vAlign w:val="center"/>
          </w:tcPr>
          <w:p>
            <w:pPr>
              <w:pStyle w:val="TableContents"/>
              <w:bidi w:val="0"/>
              <w:spacing w:before="0" w:after="283"/>
              <w:jc w:val="left"/>
              <w:rPr/>
            </w:pPr>
            <w:r>
              <w:rPr/>
              <w:t>​</w:t>
            </w:r>
          </w:p>
        </w:tc>
        <w:tc>
          <w:tcPr>
            <w:tcW w:w="260" w:type="dxa"/>
            <w:tcBorders>
              <w:bottom w:val="single" w:sz="6" w:space="0" w:color="002F56"/>
            </w:tcBorders>
            <w:tcMar>
              <w:bottom w:w="47" w:type="dxa"/>
            </w:tcMar>
            <w:vAlign w:val="center"/>
          </w:tcPr>
          <w:p>
            <w:pPr>
              <w:pStyle w:val="TableContents"/>
              <w:bidi w:val="0"/>
              <w:spacing w:before="0" w:after="283"/>
              <w:jc w:val="right"/>
              <w:rPr/>
            </w:pPr>
            <w:r>
              <w:rPr/>
              <w:t>​</w:t>
            </w:r>
          </w:p>
        </w:tc>
        <w:tc>
          <w:tcPr>
            <w:tcW w:w="539" w:type="dxa"/>
            <w:tcBorders>
              <w:bottom w:val="single" w:sz="6" w:space="0" w:color="002F56"/>
            </w:tcBorders>
            <w:tcMar>
              <w:bottom w:w="47" w:type="dxa"/>
            </w:tcMar>
            <w:vAlign w:val="center"/>
          </w:tcPr>
          <w:p>
            <w:pPr>
              <w:pStyle w:val="TableContents"/>
              <w:bidi w:val="0"/>
              <w:spacing w:before="0" w:after="283"/>
              <w:jc w:val="right"/>
              <w:rPr/>
            </w:pPr>
            <w:r>
              <w:rPr/>
              <w:t>0</w:t>
            </w:r>
          </w:p>
        </w:tc>
        <w:tc>
          <w:tcPr>
            <w:tcW w:w="26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7" w:type="dxa"/>
            </w:tcMar>
            <w:vAlign w:val="center"/>
          </w:tcPr>
          <w:p>
            <w:pPr>
              <w:pStyle w:val="TableContents"/>
              <w:bidi w:val="0"/>
              <w:spacing w:before="0" w:after="283"/>
              <w:jc w:val="right"/>
              <w:rPr/>
            </w:pPr>
            <w:r>
              <w:rPr/>
              <w:t>​</w:t>
            </w:r>
          </w:p>
        </w:tc>
        <w:tc>
          <w:tcPr>
            <w:tcW w:w="1096" w:type="dxa"/>
            <w:tcBorders>
              <w:bottom w:val="single" w:sz="6" w:space="0" w:color="002F56"/>
            </w:tcBorders>
            <w:tcMar>
              <w:bottom w:w="47" w:type="dxa"/>
            </w:tcMar>
            <w:vAlign w:val="center"/>
          </w:tcPr>
          <w:p>
            <w:pPr>
              <w:pStyle w:val="TableContents"/>
              <w:bidi w:val="0"/>
              <w:spacing w:before="0" w:after="283"/>
              <w:jc w:val="right"/>
              <w:rPr/>
            </w:pPr>
            <w:r>
              <w:rPr/>
              <w:t>2,237,800</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283" w:type="dxa"/>
            <w:vMerge w:val="restart"/>
            <w:tcBorders>
              <w:bottom w:val="single" w:sz="12" w:space="0" w:color="71B1C8"/>
            </w:tcBorders>
            <w:tcMar>
              <w:bottom w:w="47" w:type="dxa"/>
            </w:tcMar>
            <w:vAlign w:val="center"/>
          </w:tcPr>
          <w:p>
            <w:pPr>
              <w:pStyle w:val="TableContents"/>
              <w:bidi w:val="0"/>
              <w:spacing w:lineRule="atLeast" w:line="200" w:before="0" w:after="0"/>
              <w:jc w:val="left"/>
              <w:rPr>
                <w:spacing w:val="-1"/>
              </w:rPr>
            </w:pPr>
            <w:r>
              <w:rPr>
                <w:spacing w:val="-1"/>
              </w:rPr>
              <w:t xml:space="preserve">J.J. Hastings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lineRule="atLeast" w:line="200" w:before="0" w:after="0"/>
              <w:jc w:val="left"/>
              <w:rPr/>
            </w:pPr>
            <w:r>
              <w:rPr>
                <w:spacing w:val="-1"/>
              </w:rPr>
              <w:t>Severance Payment</w:t>
            </w:r>
            <w:r>
              <w:rPr>
                <w:spacing w:val="-1"/>
                <w:sz w:val="11"/>
              </w:rPr>
              <w:t>(1)</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lineRule="atLeast" w:line="200" w:before="0" w:after="283"/>
              <w:jc w:val="right"/>
              <w:rPr/>
            </w:pPr>
            <w:r>
              <w:rPr/>
              <w:t>1,719,005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lineRule="atLeast" w:line="200"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lineRule="atLeast" w:line="200"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lineRule="atLeast" w:line="200" w:before="0" w:after="283"/>
              <w:jc w:val="right"/>
              <w:rPr/>
            </w:pPr>
            <w:r>
              <w:rPr/>
              <w:t>3,438,010</w:t>
            </w:r>
            <w:r>
              <w:rPr>
                <w:sz w:val="11"/>
              </w:rPr>
              <w:t>(2)</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283" w:type="dxa"/>
            <w:vMerge w:val="continue"/>
            <w:tcBorders>
              <w:bottom w:val="single" w:sz="12" w:space="0" w:color="71B1C8"/>
            </w:tcBorders>
            <w:tcMar>
              <w:bottom w:w="47"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Benefits</w:t>
            </w:r>
            <w:r>
              <w:rPr>
                <w:spacing w:val="-1"/>
                <w:sz w:val="11"/>
              </w:rPr>
              <w:t>(3)</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72,373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96,505</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283" w:type="dxa"/>
            <w:vMerge w:val="continue"/>
            <w:tcBorders>
              <w:bottom w:val="single" w:sz="12" w:space="0" w:color="71B1C8"/>
            </w:tcBorders>
            <w:tcMar>
              <w:bottom w:w="47"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DRSU Vesting</w:t>
            </w:r>
            <w:r>
              <w:rPr>
                <w:spacing w:val="-1"/>
                <w:sz w:val="11"/>
              </w:rPr>
              <w:t>(4)</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1,075,097</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283" w:type="dxa"/>
            <w:vMerge w:val="continue"/>
            <w:tcBorders>
              <w:bottom w:val="single" w:sz="12" w:space="0" w:color="71B1C8"/>
            </w:tcBorders>
            <w:tcMar>
              <w:bottom w:w="47"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471" w:type="dxa"/>
            <w:tcBorders>
              <w:bottom w:val="single" w:sz="6" w:space="0" w:color="CCCCCC"/>
            </w:tcBorders>
            <w:tcMar>
              <w:bottom w:w="55" w:type="dxa"/>
            </w:tcMar>
            <w:vAlign w:val="center"/>
          </w:tcPr>
          <w:p>
            <w:pPr>
              <w:pStyle w:val="TableContents"/>
              <w:bidi w:val="0"/>
              <w:spacing w:before="0" w:after="283"/>
              <w:jc w:val="left"/>
              <w:rPr/>
            </w:pPr>
            <w:r>
              <w:rPr>
                <w:spacing w:val="-1"/>
              </w:rPr>
              <w:t>Stock Option Vesting</w:t>
            </w:r>
            <w:r>
              <w:rPr>
                <w:spacing w:val="-1"/>
                <w:sz w:val="11"/>
              </w:rPr>
              <w:t>(5)</w:t>
            </w:r>
            <w:r>
              <w:rPr/>
              <w:t xml:space="preserve">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vAlign w:val="center"/>
          </w:tcPr>
          <w:p>
            <w:pPr>
              <w:pStyle w:val="TableContents"/>
              <w:bidi w:val="0"/>
              <w:spacing w:before="0" w:after="283"/>
              <w:jc w:val="left"/>
              <w:rPr/>
            </w:pPr>
            <w:r>
              <w:rPr/>
              <w:t>​</w:t>
            </w:r>
          </w:p>
        </w:tc>
        <w:tc>
          <w:tcPr>
            <w:tcW w:w="248" w:type="dxa"/>
            <w:tcBorders>
              <w:bottom w:val="single" w:sz="6" w:space="0" w:color="CCCCCC"/>
            </w:tcBorders>
            <w:tcMar>
              <w:bottom w:w="55" w:type="dxa"/>
            </w:tcMar>
            <w:vAlign w:val="center"/>
          </w:tcPr>
          <w:p>
            <w:pPr>
              <w:pStyle w:val="TableContents"/>
              <w:bidi w:val="0"/>
              <w:spacing w:before="0" w:after="283"/>
              <w:jc w:val="right"/>
              <w:rPr/>
            </w:pPr>
            <w:r>
              <w:rPr/>
              <w:t>​</w:t>
            </w:r>
          </w:p>
        </w:tc>
        <w:tc>
          <w:tcPr>
            <w:tcW w:w="515" w:type="dxa"/>
            <w:tcBorders>
              <w:bottom w:val="single" w:sz="6" w:space="0" w:color="CCCCCC"/>
            </w:tcBorders>
            <w:tcMar>
              <w:bottom w:w="55" w:type="dxa"/>
            </w:tcMar>
            <w:vAlign w:val="center"/>
          </w:tcPr>
          <w:p>
            <w:pPr>
              <w:pStyle w:val="TableContents"/>
              <w:bidi w:val="0"/>
              <w:spacing w:before="0" w:after="283"/>
              <w:jc w:val="right"/>
              <w:rPr/>
            </w:pPr>
            <w:r>
              <w:rPr/>
              <w:t>0</w:t>
            </w:r>
          </w:p>
        </w:tc>
        <w:tc>
          <w:tcPr>
            <w:tcW w:w="250"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vAlign w:val="center"/>
          </w:tcPr>
          <w:p>
            <w:pPr>
              <w:pStyle w:val="TableContents"/>
              <w:bidi w:val="0"/>
              <w:spacing w:before="0" w:after="283"/>
              <w:jc w:val="left"/>
              <w:rPr/>
            </w:pPr>
            <w:r>
              <w:rPr/>
              <w:t>​</w:t>
            </w:r>
          </w:p>
        </w:tc>
        <w:tc>
          <w:tcPr>
            <w:tcW w:w="224" w:type="dxa"/>
            <w:tcBorders>
              <w:bottom w:val="single" w:sz="6" w:space="0" w:color="CCCCCC"/>
            </w:tcBorders>
            <w:tcMar>
              <w:bottom w:w="55" w:type="dxa"/>
            </w:tcMar>
            <w:vAlign w:val="center"/>
          </w:tcPr>
          <w:p>
            <w:pPr>
              <w:pStyle w:val="TableContents"/>
              <w:bidi w:val="0"/>
              <w:spacing w:before="0" w:after="283"/>
              <w:jc w:val="right"/>
              <w:rPr/>
            </w:pPr>
            <w:r>
              <w:rPr/>
              <w:t>​</w:t>
            </w:r>
          </w:p>
        </w:tc>
        <w:tc>
          <w:tcPr>
            <w:tcW w:w="466" w:type="dxa"/>
            <w:tcBorders>
              <w:bottom w:val="single" w:sz="6" w:space="0" w:color="CCCCCC"/>
            </w:tcBorders>
            <w:tcMar>
              <w:bottom w:w="55" w:type="dxa"/>
            </w:tcMar>
            <w:vAlign w:val="center"/>
          </w:tcPr>
          <w:p>
            <w:pPr>
              <w:pStyle w:val="TableContents"/>
              <w:bidi w:val="0"/>
              <w:spacing w:before="0" w:after="283"/>
              <w:jc w:val="right"/>
              <w:rPr/>
            </w:pPr>
            <w:r>
              <w:rPr/>
              <w:t>0</w:t>
            </w:r>
          </w:p>
        </w:tc>
        <w:tc>
          <w:tcPr>
            <w:tcW w:w="227"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6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vAlign w:val="center"/>
          </w:tcPr>
          <w:p>
            <w:pPr>
              <w:pStyle w:val="TableContents"/>
              <w:bidi w:val="0"/>
              <w:spacing w:before="0" w:after="283"/>
              <w:jc w:val="left"/>
              <w:rPr/>
            </w:pPr>
            <w:r>
              <w:rPr/>
              <w:t>​</w:t>
            </w:r>
          </w:p>
        </w:tc>
        <w:tc>
          <w:tcPr>
            <w:tcW w:w="260" w:type="dxa"/>
            <w:tcBorders>
              <w:bottom w:val="single" w:sz="6" w:space="0" w:color="CCCCCC"/>
            </w:tcBorders>
            <w:tcMar>
              <w:bottom w:w="55" w:type="dxa"/>
            </w:tcMar>
            <w:vAlign w:val="center"/>
          </w:tcPr>
          <w:p>
            <w:pPr>
              <w:pStyle w:val="TableContents"/>
              <w:bidi w:val="0"/>
              <w:spacing w:before="0" w:after="283"/>
              <w:jc w:val="right"/>
              <w:rPr/>
            </w:pPr>
            <w:r>
              <w:rPr/>
              <w:t>​</w:t>
            </w:r>
          </w:p>
        </w:tc>
        <w:tc>
          <w:tcPr>
            <w:tcW w:w="539" w:type="dxa"/>
            <w:tcBorders>
              <w:bottom w:val="single" w:sz="6" w:space="0" w:color="CCCCCC"/>
            </w:tcBorders>
            <w:tcMar>
              <w:bottom w:w="55" w:type="dxa"/>
            </w:tcMar>
            <w:vAlign w:val="center"/>
          </w:tcPr>
          <w:p>
            <w:pPr>
              <w:pStyle w:val="TableContents"/>
              <w:bidi w:val="0"/>
              <w:spacing w:before="0" w:after="283"/>
              <w:jc w:val="right"/>
              <w:rPr/>
            </w:pPr>
            <w:r>
              <w:rPr/>
              <w:t>0</w:t>
            </w:r>
          </w:p>
        </w:tc>
        <w:tc>
          <w:tcPr>
            <w:tcW w:w="26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5" w:type="dxa"/>
            </w:tcMar>
            <w:vAlign w:val="center"/>
          </w:tcPr>
          <w:p>
            <w:pPr>
              <w:pStyle w:val="TableContents"/>
              <w:bidi w:val="0"/>
              <w:spacing w:before="0" w:after="283"/>
              <w:jc w:val="right"/>
              <w:rPr/>
            </w:pPr>
            <w:r>
              <w:rPr/>
              <w:t>​</w:t>
            </w:r>
          </w:p>
        </w:tc>
        <w:tc>
          <w:tcPr>
            <w:tcW w:w="1096" w:type="dxa"/>
            <w:tcBorders>
              <w:bottom w:val="single" w:sz="6" w:space="0" w:color="CCCCCC"/>
            </w:tcBorders>
            <w:tcMar>
              <w:bottom w:w="55" w:type="dxa"/>
            </w:tcMar>
            <w:vAlign w:val="center"/>
          </w:tcPr>
          <w:p>
            <w:pPr>
              <w:pStyle w:val="TableContents"/>
              <w:bidi w:val="0"/>
              <w:spacing w:before="0" w:after="283"/>
              <w:jc w:val="right"/>
              <w:rPr/>
            </w:pPr>
            <w:r>
              <w:rPr/>
              <w:t>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283" w:type="dxa"/>
            <w:vMerge w:val="continue"/>
            <w:tcBorders>
              <w:bottom w:val="single" w:sz="12" w:space="0" w:color="71B1C8"/>
            </w:tcBorders>
            <w:tcMar>
              <w:bottom w:w="47"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471" w:type="dxa"/>
            <w:tcBorders>
              <w:bottom w:val="single" w:sz="12" w:space="0" w:color="71B1C8"/>
            </w:tcBorders>
            <w:tcMar>
              <w:bottom w:w="45" w:type="dxa"/>
            </w:tcMar>
            <w:vAlign w:val="center"/>
          </w:tcPr>
          <w:p>
            <w:pPr>
              <w:pStyle w:val="TableContents"/>
              <w:bidi w:val="0"/>
              <w:spacing w:before="0" w:after="0"/>
              <w:jc w:val="left"/>
              <w:rPr/>
            </w:pPr>
            <w:r>
              <w:rPr>
                <w:spacing w:val="-1"/>
              </w:rPr>
              <w:t>Performance Unit Vesting</w:t>
            </w:r>
            <w:r>
              <w:rPr>
                <w:spacing w:val="-1"/>
                <w:sz w:val="11"/>
              </w:rPr>
              <w:t>(6)</w:t>
            </w:r>
            <w:r>
              <w:rPr/>
              <w:t xml:space="preserve">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48" w:type="dxa"/>
            <w:tcBorders>
              <w:bottom w:val="single" w:sz="12" w:space="0" w:color="71B1C8"/>
            </w:tcBorders>
            <w:vAlign w:val="center"/>
          </w:tcPr>
          <w:p>
            <w:pPr>
              <w:pStyle w:val="TableContents"/>
              <w:bidi w:val="0"/>
              <w:spacing w:before="0" w:after="283"/>
              <w:jc w:val="left"/>
              <w:rPr/>
            </w:pPr>
            <w:r>
              <w:rPr/>
              <w:t>​</w:t>
            </w:r>
          </w:p>
        </w:tc>
        <w:tc>
          <w:tcPr>
            <w:tcW w:w="248" w:type="dxa"/>
            <w:tcBorders>
              <w:bottom w:val="single" w:sz="12" w:space="0" w:color="71B1C8"/>
            </w:tcBorders>
            <w:tcMar>
              <w:bottom w:w="45" w:type="dxa"/>
            </w:tcMar>
            <w:vAlign w:val="center"/>
          </w:tcPr>
          <w:p>
            <w:pPr>
              <w:pStyle w:val="TableContents"/>
              <w:bidi w:val="0"/>
              <w:spacing w:before="0" w:after="283"/>
              <w:jc w:val="right"/>
              <w:rPr/>
            </w:pPr>
            <w:r>
              <w:rPr/>
              <w:t>​</w:t>
            </w:r>
          </w:p>
        </w:tc>
        <w:tc>
          <w:tcPr>
            <w:tcW w:w="515" w:type="dxa"/>
            <w:tcBorders>
              <w:bottom w:val="single" w:sz="12" w:space="0" w:color="71B1C8"/>
            </w:tcBorders>
            <w:tcMar>
              <w:bottom w:w="45" w:type="dxa"/>
            </w:tcMar>
            <w:vAlign w:val="center"/>
          </w:tcPr>
          <w:p>
            <w:pPr>
              <w:pStyle w:val="TableContents"/>
              <w:bidi w:val="0"/>
              <w:spacing w:before="0" w:after="283"/>
              <w:jc w:val="right"/>
              <w:rPr/>
            </w:pPr>
            <w:r>
              <w:rPr/>
              <w:t>0</w:t>
            </w:r>
          </w:p>
        </w:tc>
        <w:tc>
          <w:tcPr>
            <w:tcW w:w="250"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24" w:type="dxa"/>
            <w:tcBorders>
              <w:bottom w:val="single" w:sz="12" w:space="0" w:color="71B1C8"/>
            </w:tcBorders>
            <w:vAlign w:val="center"/>
          </w:tcPr>
          <w:p>
            <w:pPr>
              <w:pStyle w:val="TableContents"/>
              <w:bidi w:val="0"/>
              <w:spacing w:before="0" w:after="283"/>
              <w:jc w:val="left"/>
              <w:rPr/>
            </w:pPr>
            <w:r>
              <w:rPr/>
              <w:t>​</w:t>
            </w:r>
          </w:p>
        </w:tc>
        <w:tc>
          <w:tcPr>
            <w:tcW w:w="224" w:type="dxa"/>
            <w:tcBorders>
              <w:bottom w:val="single" w:sz="12" w:space="0" w:color="71B1C8"/>
            </w:tcBorders>
            <w:tcMar>
              <w:bottom w:w="45" w:type="dxa"/>
            </w:tcMar>
            <w:vAlign w:val="center"/>
          </w:tcPr>
          <w:p>
            <w:pPr>
              <w:pStyle w:val="TableContents"/>
              <w:bidi w:val="0"/>
              <w:spacing w:before="0" w:after="283"/>
              <w:jc w:val="right"/>
              <w:rPr/>
            </w:pPr>
            <w:r>
              <w:rPr/>
              <w:t>​</w:t>
            </w:r>
          </w:p>
        </w:tc>
        <w:tc>
          <w:tcPr>
            <w:tcW w:w="466" w:type="dxa"/>
            <w:tcBorders>
              <w:bottom w:val="single" w:sz="12" w:space="0" w:color="71B1C8"/>
            </w:tcBorders>
            <w:tcMar>
              <w:bottom w:w="45" w:type="dxa"/>
            </w:tcMar>
            <w:vAlign w:val="center"/>
          </w:tcPr>
          <w:p>
            <w:pPr>
              <w:pStyle w:val="TableContents"/>
              <w:bidi w:val="0"/>
              <w:spacing w:before="0" w:after="283"/>
              <w:jc w:val="right"/>
              <w:rPr/>
            </w:pPr>
            <w:r>
              <w:rPr/>
              <w:t>0</w:t>
            </w:r>
          </w:p>
        </w:tc>
        <w:tc>
          <w:tcPr>
            <w:tcW w:w="227"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5"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5" w:type="dxa"/>
            </w:tcMar>
            <w:vAlign w:val="center"/>
          </w:tcPr>
          <w:p>
            <w:pPr>
              <w:pStyle w:val="TableContents"/>
              <w:bidi w:val="0"/>
              <w:spacing w:before="0" w:after="283"/>
              <w:jc w:val="right"/>
              <w:rPr/>
            </w:pPr>
            <w:r>
              <w:rPr/>
              <w:t>0</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60" w:type="dxa"/>
            <w:tcBorders>
              <w:bottom w:val="single" w:sz="12" w:space="0" w:color="71B1C8"/>
            </w:tcBorders>
            <w:vAlign w:val="center"/>
          </w:tcPr>
          <w:p>
            <w:pPr>
              <w:pStyle w:val="TableContents"/>
              <w:bidi w:val="0"/>
              <w:spacing w:before="0" w:after="283"/>
              <w:jc w:val="left"/>
              <w:rPr/>
            </w:pPr>
            <w:r>
              <w:rPr/>
              <w:t>​</w:t>
            </w:r>
          </w:p>
        </w:tc>
        <w:tc>
          <w:tcPr>
            <w:tcW w:w="260" w:type="dxa"/>
            <w:tcBorders>
              <w:bottom w:val="single" w:sz="12" w:space="0" w:color="71B1C8"/>
            </w:tcBorders>
            <w:tcMar>
              <w:bottom w:w="45" w:type="dxa"/>
            </w:tcMar>
            <w:vAlign w:val="center"/>
          </w:tcPr>
          <w:p>
            <w:pPr>
              <w:pStyle w:val="TableContents"/>
              <w:bidi w:val="0"/>
              <w:spacing w:before="0" w:after="283"/>
              <w:jc w:val="right"/>
              <w:rPr/>
            </w:pPr>
            <w:r>
              <w:rPr/>
              <w:t>​</w:t>
            </w:r>
          </w:p>
        </w:tc>
        <w:tc>
          <w:tcPr>
            <w:tcW w:w="539" w:type="dxa"/>
            <w:tcBorders>
              <w:bottom w:val="single" w:sz="12" w:space="0" w:color="71B1C8"/>
            </w:tcBorders>
            <w:tcMar>
              <w:bottom w:w="45" w:type="dxa"/>
            </w:tcMar>
            <w:vAlign w:val="center"/>
          </w:tcPr>
          <w:p>
            <w:pPr>
              <w:pStyle w:val="TableContents"/>
              <w:bidi w:val="0"/>
              <w:spacing w:before="0" w:after="283"/>
              <w:jc w:val="right"/>
              <w:rPr/>
            </w:pPr>
            <w:r>
              <w:rPr/>
              <w:t>0</w:t>
            </w:r>
          </w:p>
        </w:tc>
        <w:tc>
          <w:tcPr>
            <w:tcW w:w="262"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5" w:type="dxa"/>
            </w:tcMar>
            <w:vAlign w:val="center"/>
          </w:tcPr>
          <w:p>
            <w:pPr>
              <w:pStyle w:val="TableContents"/>
              <w:bidi w:val="0"/>
              <w:spacing w:before="0" w:after="283"/>
              <w:jc w:val="right"/>
              <w:rPr/>
            </w:pPr>
            <w:r>
              <w:rPr/>
              <w:t>​</w:t>
            </w:r>
          </w:p>
        </w:tc>
        <w:tc>
          <w:tcPr>
            <w:tcW w:w="1096" w:type="dxa"/>
            <w:tcBorders>
              <w:bottom w:val="single" w:sz="12" w:space="0" w:color="71B1C8"/>
            </w:tcBorders>
            <w:tcMar>
              <w:bottom w:w="45" w:type="dxa"/>
            </w:tcMar>
            <w:vAlign w:val="center"/>
          </w:tcPr>
          <w:p>
            <w:pPr>
              <w:pStyle w:val="TableContents"/>
              <w:bidi w:val="0"/>
              <w:spacing w:before="0" w:after="283"/>
              <w:jc w:val="right"/>
              <w:rPr/>
            </w:pPr>
            <w:r>
              <w:rPr/>
              <w:t>2,185,900</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pacing w:val="-1"/>
          <w:sz w:val="16"/>
        </w:rPr>
      </w:pPr>
      <w:r>
        <w:rPr>
          <w:rFonts w:ascii="Arial;Helvetica;sans-serif" w:hAnsi="Arial;Helvetica;sans-serif"/>
          <w:b w:val="false"/>
          <w:i w:val="false"/>
          <w:caps w:val="false"/>
          <w:smallCaps w:val="false"/>
          <w:color w:val="000000"/>
          <w:spacing w:val="-1"/>
          <w:sz w:val="16"/>
        </w:rPr>
        <w:t xml:space="preserve">Represents cash payments potentially payable upon termination of employment. Amounts shown for termination without “Cause” or resignation for “Good Reason” prior to a change in control are based on a multiple of annual base salary plus bonus amounts that would have otherwise been payable to the officer, which for purposes of this table are assumed to be the amount of the officer’s target bonus. This amount equals 2 times the sum of annual base salary and target bonus for Mr. Dietrich and 1.5 times the sum of </w:t>
      </w:r>
      <w:r>
        <mc:AlternateContent>
          <mc:Choice Requires="wps">
            <w:drawing>
              <wp:anchor behindDoc="0" distT="82550" distB="0" distL="76200" distR="0" simplePos="0" locked="0" layoutInCell="1" allowOverlap="1" relativeHeight="847">
                <wp:simplePos x="0" y="0"/>
                <wp:positionH relativeFrom="column">
                  <wp:align>left</wp:align>
                </wp:positionH>
                <wp:positionV relativeFrom="line">
                  <wp:align>top</wp:align>
                </wp:positionV>
                <wp:extent cx="254000" cy="254000"/>
                <wp:effectExtent l="0" t="0" r="0" b="0"/>
                <wp:wrapSquare wrapText="right"/>
                <wp:docPr id="826" name="Frame54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1"/>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sz w:val="16"/>
                        </w:rPr>
                      </w:pPr>
                      <w:r>
                        <w:rPr>
                          <w:spacing w:val="-1"/>
                          <w:sz w:val="16"/>
                        </w:rPr>
                        <w:t>(1)</w:t>
                      </w:r>
                      <w:r>
                        <w:rPr>
                          <w:sz w:val="16"/>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68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EMAG1"/>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19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annual base salary and target bonus for the other named executive officers. Amounts shown for termination without “Cause” or resignation for “Good Reason” on or after a change in control equal 3.0 times the sum base salary and target bonus for all named executive officers.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Severance payment may be reduced if the full payment would result in a portion of the payment being subject to the excise tax under Section 4999 of the Code. In such event, the amount of the severance payment will be reduced by the minimum amount necessary such that no portion of the severance payment is subject to the excise tax.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76200" distR="0" simplePos="0" locked="0" layoutInCell="1" allowOverlap="1" relativeHeight="848">
                <wp:simplePos x="0" y="0"/>
                <wp:positionH relativeFrom="column">
                  <wp:align>left</wp:align>
                </wp:positionH>
                <wp:positionV relativeFrom="line">
                  <wp:align>top</wp:align>
                </wp:positionV>
                <wp:extent cx="254000" cy="350520"/>
                <wp:effectExtent l="0" t="0" r="0" b="0"/>
                <wp:wrapSquare wrapText="right"/>
                <wp:docPr id="827"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9pt;mso-wrap-distance-bottom:0pt;margin-top:3.9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Amounts shown for termination without “Cause” or resignation for “Good Reason” prior to a change in control equal 1.5 times the present value of 24 months of life, disability, accident and health insurance coverage for Mr. Dietrich and 1.5 times the present value of 18 months of life, disability, accident and health insurance coverage for the other named executive officers. Amounts shown for termination without “Cause” or resignation for “Good Reason” on or after a change in control equal 1.5 times the present value of 24 months of life, disability, accident and health insurance coverage for all named executive officers.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76200" distR="0" simplePos="0" locked="0" layoutInCell="1" allowOverlap="1" relativeHeight="849">
                <wp:simplePos x="0" y="0"/>
                <wp:positionH relativeFrom="column">
                  <wp:align>left</wp:align>
                </wp:positionH>
                <wp:positionV relativeFrom="line">
                  <wp:align>top</wp:align>
                </wp:positionV>
                <wp:extent cx="254000" cy="350520"/>
                <wp:effectExtent l="0" t="0" r="0" b="0"/>
                <wp:wrapSquare wrapText="right"/>
                <wp:docPr id="828"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9pt;mso-wrap-distance-bottom:0pt;margin-top:3.9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This amount represents the aggregate value of DRSUs which would become vested as a direct result of the termination event and/or change in control before the applicable stated vesting date solely as a direct result of the termination event or change in control before the stated vesting date. The stated vesting date is the date at which an award would have vested absent such termination event or change in control. This calculation of value does not discount the value of awards based on the portion of the vesting period elapsed at the date of the termination event or change in control. The value of DRSUs is based on a closing stock price of $60.95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76200" distR="0" simplePos="0" locked="0" layoutInCell="1" allowOverlap="1" relativeHeight="850">
                <wp:simplePos x="0" y="0"/>
                <wp:positionH relativeFrom="column">
                  <wp:align>left</wp:align>
                </wp:positionH>
                <wp:positionV relativeFrom="line">
                  <wp:align>top</wp:align>
                </wp:positionV>
                <wp:extent cx="254000" cy="350520"/>
                <wp:effectExtent l="0" t="0" r="0" b="0"/>
                <wp:wrapSquare wrapText="right"/>
                <wp:docPr id="829"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9pt;mso-wrap-distance-bottom:0pt;margin-top:3.9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This amount represents the aggregate in-the-money value of stock options which would become vested as a direct result of the termination event and/or change in control before the applicable stated vesting date solely as a direct result of the termination event or change in control before the stated vesting date. The stated vesting date is the date at which an award would have vested absent such termination event or change in control. This calculation of value does not attribute any additional value to stock options based on their remaining term and does not discount the value of awards based on the portion of the vesting period elapsed at the date of the termination event or change in control. Represents the intrinsic value of stock options, based on a closing stock price of  $60.95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76200" distR="0" simplePos="0" locked="0" layoutInCell="1" allowOverlap="1" relativeHeight="851">
                <wp:simplePos x="0" y="0"/>
                <wp:positionH relativeFrom="column">
                  <wp:align>left</wp:align>
                </wp:positionH>
                <wp:positionV relativeFrom="line">
                  <wp:align>top</wp:align>
                </wp:positionV>
                <wp:extent cx="254000" cy="350520"/>
                <wp:effectExtent l="0" t="0" r="0" b="0"/>
                <wp:wrapSquare wrapText="right"/>
                <wp:docPr id="830"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9pt;mso-wrap-distance-bottom:0pt;margin-top:3.9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termination due to death, disability or retirement, if a participant has been employed for two of the three years of the performance period, participant is eligible to receive a pro rata payout at the end of the performance period based on actual performance. Participants who have been employed for less than two of the three years of the performance period forfeit outstanding units related to that performance cycle. The Plan gives the Compensation Committee discretion to accelerate the vesting of Performance Units upon a change in control. Under the officers’ CIC agreements, vesting of such Performance Units is required to be accelerated upon a change of control. Amounts represent vesting of Performance Units granted in 2024 and 2025 at the target of $100 per Unit.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9530" distB="0" distL="76200" distR="0" simplePos="0" locked="0" layoutInCell="1" allowOverlap="1" relativeHeight="852">
                <wp:simplePos x="0" y="0"/>
                <wp:positionH relativeFrom="column">
                  <wp:align>left</wp:align>
                </wp:positionH>
                <wp:positionV relativeFrom="line">
                  <wp:align>top</wp:align>
                </wp:positionV>
                <wp:extent cx="254000" cy="350520"/>
                <wp:effectExtent l="0" t="0" r="0" b="0"/>
                <wp:wrapSquare wrapText="right"/>
                <wp:docPr id="831"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9pt;mso-wrap-distance-bottom:0pt;margin-top:3.9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(6)</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EMPLOYMENT AGREEMENTS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0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has employment agreements with each of our named executive officers. The term of each of these agreements was initially 18 months, or 24 months in the case of Mr. Dietrich, and, pursuant to the agreement, is extended on the first day of each month during the term for an additional month, unless either the executive or the Company gives the other written notice that the agreement should not be further extended, or the employee reaches age 65. Under the employment agreements, each of the named executive officers is entitled to an annual base salary not less than their then-current annual base salary. Each may also receive salary increases and annual bonuses in amounts to be determined by the Board or the Compensation Committee. The agreements also entitle the named executive officers to participate in employee benefit plans and other fringe benefits that are generally available to our executive employees. Under each named executive officer’s agreement, he has agreed to comply with certain customary provisions, including covenants not to disclose our confidential information at any time and not to compete with our business during the term of the agreement and, subject to our continued payment of amounts under the agreement, for two years thereafter.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may terminate the employment agreements before the end of the specified term of employment for “Cause.” “</w:t>
      </w:r>
      <w:r>
        <w:rPr>
          <w:rFonts w:ascii="Arial;Helvetica;sans-serif" w:hAnsi="Arial;Helvetica;sans-serif"/>
          <w:b/>
          <w:i w:val="false"/>
          <w:caps w:val="false"/>
          <w:smallCaps w:val="false"/>
          <w:color w:val="000000"/>
          <w:spacing w:val="0"/>
          <w:sz w:val="18"/>
        </w:rPr>
        <w:t>Cause</w:t>
      </w:r>
      <w:r>
        <w:rPr>
          <w:rFonts w:ascii="Arial;Helvetica;sans-serif" w:hAnsi="Arial;Helvetica;sans-serif"/>
          <w:b w:val="false"/>
          <w:i w:val="false"/>
          <w:caps w:val="false"/>
          <w:smallCaps w:val="false"/>
          <w:color w:val="000000"/>
          <w:spacing w:val="-1"/>
          <w:sz w:val="18"/>
        </w:rPr>
        <w:t>” is defined in the agreements as: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5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failure to perform material obligations, following notice and a reasonable period of time to cure such failure,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0330" distB="0" distL="0" distR="0" simplePos="0" locked="0" layoutInCell="1" allowOverlap="1" relativeHeight="853">
                <wp:simplePos x="0" y="0"/>
                <wp:positionH relativeFrom="column">
                  <wp:align>left</wp:align>
                </wp:positionH>
                <wp:positionV relativeFrom="line">
                  <wp:align>top</wp:align>
                </wp:positionV>
                <wp:extent cx="254000" cy="266700"/>
                <wp:effectExtent l="0" t="0" r="0" b="0"/>
                <wp:wrapSquare wrapText="right"/>
                <wp:docPr id="832" name="Frame548"/>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3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acts of felony, fraud or theft.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0" distR="0" simplePos="0" locked="0" layoutInCell="1" allowOverlap="1" relativeHeight="854">
                <wp:simplePos x="0" y="0"/>
                <wp:positionH relativeFrom="column">
                  <wp:align>left</wp:align>
                </wp:positionH>
                <wp:positionV relativeFrom="line">
                  <wp:align>top</wp:align>
                </wp:positionV>
                <wp:extent cx="254000" cy="266700"/>
                <wp:effectExtent l="0" t="0" r="0" b="0"/>
                <wp:wrapSquare wrapText="right"/>
                <wp:docPr id="833" name="Frame549"/>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Similarly, the named executive officer may resign for “Good Reason.” “</w:t>
      </w:r>
      <w:r>
        <w:rPr>
          <w:rFonts w:ascii="Arial;Helvetica;sans-serif" w:hAnsi="Arial;Helvetica;sans-serif"/>
          <w:b/>
          <w:i w:val="false"/>
          <w:caps w:val="false"/>
          <w:smallCaps w:val="false"/>
          <w:color w:val="000000"/>
          <w:spacing w:val="0"/>
          <w:sz w:val="18"/>
        </w:rPr>
        <w:t>Good Reason</w:t>
      </w:r>
      <w:r>
        <w:rPr>
          <w:rFonts w:ascii="Arial;Helvetica;sans-serif" w:hAnsi="Arial;Helvetica;sans-serif"/>
          <w:b w:val="false"/>
          <w:i w:val="false"/>
          <w:caps w:val="false"/>
          <w:smallCaps w:val="false"/>
          <w:color w:val="000000"/>
          <w:spacing w:val="-1"/>
          <w:sz w:val="18"/>
        </w:rPr>
        <w:t>” is defined in the agreements as: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assignment of duties materially inconsistent with the executive’s position, removal from that position, or a substantial diminution in the nature or status of executive’s responsibilities,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855">
                <wp:simplePos x="0" y="0"/>
                <wp:positionH relativeFrom="column">
                  <wp:align>left</wp:align>
                </wp:positionH>
                <wp:positionV relativeFrom="line">
                  <wp:align>top</wp:align>
                </wp:positionV>
                <wp:extent cx="254000" cy="266700"/>
                <wp:effectExtent l="0" t="0" r="0" b="0"/>
                <wp:wrapSquare wrapText="right"/>
                <wp:docPr id="834" name="Frame550"/>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material reduction of the executive’s benefits or base salary,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56">
                <wp:simplePos x="0" y="0"/>
                <wp:positionH relativeFrom="column">
                  <wp:align>left</wp:align>
                </wp:positionH>
                <wp:positionV relativeFrom="line">
                  <wp:align>top</wp:align>
                </wp:positionV>
                <wp:extent cx="254000" cy="266700"/>
                <wp:effectExtent l="0" t="0" r="0" b="0"/>
                <wp:wrapSquare wrapText="right"/>
                <wp:docPr id="835" name="Frame551"/>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relocation of the executive office in which executive is located to a location more than fifty miles away and more than 100 miles from Company’s principal corporate office,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57">
                <wp:simplePos x="0" y="0"/>
                <wp:positionH relativeFrom="column">
                  <wp:align>left</wp:align>
                </wp:positionH>
                <wp:positionV relativeFrom="line">
                  <wp:align>top</wp:align>
                </wp:positionV>
                <wp:extent cx="254000" cy="266700"/>
                <wp:effectExtent l="0" t="0" r="0" b="0"/>
                <wp:wrapSquare wrapText="right"/>
                <wp:docPr id="836" name="Frame552"/>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(iii)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(iii)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failure to obtain a reasonably satisfactory agreement from any successor company to assume and agree to perform the agreement.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58">
                <wp:simplePos x="0" y="0"/>
                <wp:positionH relativeFrom="column">
                  <wp:align>left</wp:align>
                </wp:positionH>
                <wp:positionV relativeFrom="line">
                  <wp:align>top</wp:align>
                </wp:positionV>
                <wp:extent cx="254000" cy="266700"/>
                <wp:effectExtent l="0" t="0" r="0" b="0"/>
                <wp:wrapSquare wrapText="right"/>
                <wp:docPr id="837" name="Frame553"/>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(iv)</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(iv)</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note, with respect to part (iv) of  “Good Reason,” that the employment agreement does not provide guaranteed severance on an acquisition of the Company — an executive only has “Good Reason” to terminate his employment if the acquiring company defaults on its obligations to the executive by failing to assume the obligations under his employment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69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CICA"/>
      <w:bookmarkEnd w:id="92"/>
      <w:r>
        <w:rPr>
          <w:rFonts w:ascii="calibri;arial;sans-serif" w:hAnsi="calibri;arial;sans-serif"/>
          <w:b w:val="false"/>
          <w:i w:val="false"/>
          <w:caps w:val="false"/>
          <w:smallCaps w:val="false"/>
          <w:color w:val="000000"/>
          <w:sz w:val="16"/>
        </w:rPr>
        <w:t>​</w:t>
      </w:r>
      <w:bookmarkStart w:id="93" w:name="tSAAI"/>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Pursuant to the employment agreements, our named executive officers are entitled to severance payments upon termination of employment by the Company “without Cause” or by the named executive officer for “Good Reason.” Severance payments are equal to a multiple of base salary (the multiples are 2 times for Mr. Dietrich and 1.5 times for the other named executive officers) plus an amount equal to the bonus amount that would have otherwise been payable to him during the term of the agreement, but not more than average of such bonus amounts in the prior two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CHANGE IN CONTROL AGREEMENTS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also has Change in Control (CIC) agreements with certain of its executive officers, including each of the named executive officers. The CIC agreements continue through December 31 of each year, and are automatically extended in one-year increments unless we choose to terminate them. If a change in control occurs, the severance agreements are effective for a period of four years from the end of the then-existing term. These agreements are intended to provide for continuity of management in the event of a change in control of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on shareholder feedback we received in 2016, we revised the formula for determining the severance payment amount to which each executive officer is entitled under the CIC agreements. As revised, if, following a change in control, the executive officer is terminated by the Company for any reason, other than for disability, death, retirement or for “Cause” (as defined in the agreements), or if the executive officer terminates his or her employment for “Good Reason” ​(as defined in the agreements), then the executive is entitled to a severance payment of three times the sum of the executive’s base salary and target bonus (in each case, as in effect immediately prior to the change in control or immediately prior to the date of termination, whichever is greater). The severance payment generally will be made in a lump sum. If it is determined that the severance payment plus all other payments or benefits which constitute “parachute payments” within the meaning of Section 280G of the Code would result in a portion of the severance payment being subject to the excise tax under Section 4999 of the Code, then the amount of the severance payment shall be reduced by the minimum amount necessary such that no portion of the payment will be subject to the excise tax. No excise tax “gross-up” is payable by the Company to the executive.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CIC agreements, a change in control includes any of the following events unless approved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are required to report a “change in control” in accordance with the Securities Exchange Act of 1934, as amended;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859">
                <wp:simplePos x="0" y="0"/>
                <wp:positionH relativeFrom="column">
                  <wp:align>left</wp:align>
                </wp:positionH>
                <wp:positionV relativeFrom="line">
                  <wp:align>top</wp:align>
                </wp:positionV>
                <wp:extent cx="254000" cy="350520"/>
                <wp:effectExtent l="0" t="0" r="0" b="0"/>
                <wp:wrapSquare wrapText="right"/>
                <wp:docPr id="838"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 person acquires 30% of our voting securities;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60">
                <wp:simplePos x="0" y="0"/>
                <wp:positionH relativeFrom="column">
                  <wp:align>left</wp:align>
                </wp:positionH>
                <wp:positionV relativeFrom="line">
                  <wp:align>top</wp:align>
                </wp:positionV>
                <wp:extent cx="254000" cy="350520"/>
                <wp:effectExtent l="0" t="0" r="0" b="0"/>
                <wp:wrapSquare wrapText="right"/>
                <wp:docPr id="839"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majority of our directors are replaced during a two-year period, without such directors being approved by two-thirds of the continuing directors;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61">
                <wp:simplePos x="0" y="0"/>
                <wp:positionH relativeFrom="column">
                  <wp:align>left</wp:align>
                </wp:positionH>
                <wp:positionV relativeFrom="line">
                  <wp:align>top</wp:align>
                </wp:positionV>
                <wp:extent cx="254000" cy="525780"/>
                <wp:effectExtent l="0" t="0" r="0" b="0"/>
                <wp:wrapSquare wrapText="right"/>
                <wp:docPr id="840" name="Frame5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0" w:before="0" w:after="283"/>
                              <w:jc w:val="left"/>
                              <w:rPr/>
                            </w:pPr>
                            <w:r>
                              <w:rPr>
                                <w:spacing w:val="-1"/>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10" w:before="0" w:after="283"/>
                        <w:jc w:val="left"/>
                        <w:rPr/>
                      </w:pPr>
                      <w:r>
                        <w:rPr>
                          <w:spacing w:val="-1"/>
                        </w:rPr>
                        <w:t>(iii)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we consummate a merger, liquidation or sale of all or substantially all of our assets.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62">
                <wp:simplePos x="0" y="0"/>
                <wp:positionH relativeFrom="column">
                  <wp:align>left</wp:align>
                </wp:positionH>
                <wp:positionV relativeFrom="line">
                  <wp:align>top</wp:align>
                </wp:positionV>
                <wp:extent cx="254000" cy="525780"/>
                <wp:effectExtent l="0" t="0" r="0" b="0"/>
                <wp:wrapSquare wrapText="right"/>
                <wp:docPr id="841" name="Frame5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0" w:before="0" w:after="283"/>
                              <w:jc w:val="left"/>
                              <w:rPr/>
                            </w:pPr>
                            <w:r>
                              <w:rPr>
                                <w:spacing w:val="-1"/>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(iv)</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For a period of up to two years following a termination that entitles an executive officer to severance payments, the Company will provide life, disability, accident and health insurance coverage substantially similar to the benefits provided before termination, except to the extent such coverage would result in an excise tax being imposed under Section 4999 of the Code.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CIC agreements also provide that upon the occurrence of certain stated events that constitute a “potential change in control” of the Company, the executive officer agrees not to voluntarily terminate his or her employment with the Company for a six-month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STOCK AWARD AND INCENTIVE PLANS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the Company’s 2024 Annual Meeting of Shareholders, the Company’s shareholders ratified the adoption of an amendment and restatement of the Company’s 2015 Stock Award and Incentive Plan (the “2015 Plan”), which provides for grants of incentive and non-qualified stock options, restricted stock, stock appreciation rights, stock awards or performance unit awards. This amendment and restatement increased the number of shares available for issuance pursuant to the 2015 Plan by 889,000 shares and made certain other amendments to the 2015 Plan. The amendment and restatement of the 2015 Plan by the Company’s stockholders applies to all awards granted under the 2015 Plan after March 15, 2024; awards granted prior to such date are governed by the 2015 Plan as in effect prior to the adoption of such changes (or, for awards granted prior to May 2015, by the Company’s 2001 Stock Award and Incentive Plan).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Plans provide for accelerated vesting of stock options and DRSUs upon a change in control of the Company. The Plans require a “double trigger” for accelerated vesting (i.e., both a change in control and termination). The Plans also give the Compensation Committee discretion to accelerate the vesting of Performance Units.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70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GRTR"/>
      <w:bookmarkEnd w:id="94"/>
      <w:r>
        <w:rPr>
          <w:rFonts w:ascii="calibri;arial;sans-serif" w:hAnsi="calibri;arial;sans-serif"/>
          <w:b w:val="false"/>
          <w:i w:val="false"/>
          <w:caps w:val="false"/>
          <w:smallCaps w:val="false"/>
          <w:color w:val="000000"/>
          <w:sz w:val="16"/>
        </w:rPr>
        <w:t>​</w:t>
      </w:r>
      <w:bookmarkStart w:id="95" w:name="tPARA"/>
      <w:bookmarkEnd w:id="95"/>
      <w:r>
        <w:rPr>
          <w:rFonts w:ascii="calibri;arial;sans-serif" w:hAnsi="calibri;arial;sans-serif"/>
          <w:b w:val="false"/>
          <w:i w:val="false"/>
          <w:caps w:val="false"/>
          <w:smallCaps w:val="false"/>
          <w:color w:val="000000"/>
          <w:sz w:val="16"/>
        </w:rPr>
        <w:t>​</w:t>
      </w:r>
      <w:bookmarkStart w:id="96" w:name="tPVP"/>
      <w:bookmarkEnd w:id="96"/>
      <w:r>
        <w:rPr>
          <w:rFonts w:ascii="calibri;arial;sans-serif" w:hAnsi="calibri;arial;sans-serif"/>
          <w:b w:val="false"/>
          <w:i w:val="false"/>
          <w:caps w:val="false"/>
          <w:smallCaps w:val="false"/>
          <w:color w:val="000000"/>
          <w:sz w:val="16"/>
        </w:rPr>
        <w:t>​</w:t>
      </w:r>
      <w:bookmarkStart w:id="97" w:name="GoBack"/>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80" w:before="400" w:after="283"/>
        <w:ind w:left="1020" w:right="0" w:hanging="0"/>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GRANTOR TRUST</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order to secure the benefits accrued under certain programs such as the Supplemental Retirement Plan and the Supplemental Savings Plan, the Company has entered into an agreement establishing a grantor trust within the meaning of the Code. Under the Grantor Trust Agreement, we are required to make certain contributions of cash or other property to the trust upon the retirement of individuals who are beneficiaries of those plans, upon the occurrence of certain events defined as constituting a change in control, for compliance with Code Section 409A, and in certain other circumstances.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PAY RATIO</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the Dodd-Frank Wall Street Reform and Consumer Protection Act of 2010, and SEC rules adopted thereunder, we are required by the SEC to calculate and disclose the total compensation paid to our median paid employee, as well as the ratio of the total compensation paid to the median employee as compared to the total compensation paid to Mr. Dietrich, our Chief Executive Officer. We identified the median employee using our total employee population on October 1, 2025, excluding Mr. Dietrich. To determine the “median employee” from our employee population, we collected for each employee the compensation reflected in our payroll records during the 12-month period ending October 1, 2025, applying a local currency to U.S. dollar exchange rate to the compensation paid to our non-U.S. employees to facilitate comparison of all employees in U.S. dollars. For this purpose, all of our employees in all jurisdictions were included, approximately half of whom were located outside the United States. After determining the median employee, we determined that person’s total annual compensation on the same basis by which we determined our CEO’s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CEO’s total compensation for 2025 was $7,405,693, as reflected in the Summary Compensation Table. The median annual total compensation for all of our employees, excluding our CEO, was $56,593 for 2025. As a result, our CEO’s total compensation for 2025 was approximately 131 times that of the median annual total compensation for all of our employees.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PAY VERSUS PERFORMANCE</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As required by Section 953(a) of the Dodd-Frank Wall Street Reform and Consumer Protection Act, and Item 402(v) of Regulation S-K, we are providing the following Pay Versus Performance information. Under these rules, the SEC has developed a new definition of pay, referred to as Compensation Actually Paid (“CAP”), which is compared here to certain performance measures defined by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determining our executive officers’ CAP, as defined by SEC rules, we are required to make various adjustments to amounts that have been reported in the Summary Compensation Table in previous years. CAP reflects adjusted values to unvested and vested equity awards during the years shown in the table based on year-end stock prices and various accounting valuation assumptions but does not reflect actual amounts paid out for those awards. Accordingly, CAP generally fluctuates due to stock price achievement. For information regarding the decisions made by our Compensation Committee with respect to our Chief Executive Officer’s compensation for each fiscal year, please see the Compensation Discussion &amp; Analysis sections of the proxy statements reporting pay for the fiscal years covered in the table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In accordance with the SEC’s rules, below is the required tabular disclosure for our principal executive officer and our average named executive officer (“NEO”) (excluding the principal executive officer) for reporting years 2021-2025.</w:t>
      </w:r>
      <w:r>
        <w:rPr>
          <w:rFonts w:ascii="Arial;Helvetica;sans-serif" w:hAnsi="Arial;Helvetica;sans-serif"/>
          <w:b w:val="false"/>
          <w:i w:val="false"/>
          <w:caps w:val="false"/>
          <w:smallCaps w:val="false"/>
          <w:color w:val="000000"/>
          <w:spacing w:val="4"/>
          <w:sz w:val="18"/>
        </w:rPr>
        <w:t xml:space="preserve"> </w:t>
      </w:r>
    </w:p>
    <w:tbl>
      <w:tblPr>
        <w:tblW w:w="13968" w:type="dxa"/>
        <w:jc w:val="left"/>
        <w:tblInd w:w="1020" w:type="dxa"/>
        <w:tblLayout w:type="fixed"/>
        <w:tblCellMar>
          <w:top w:w="0" w:type="dxa"/>
          <w:left w:w="0" w:type="dxa"/>
          <w:bottom w:w="28" w:type="dxa"/>
          <w:right w:w="0" w:type="dxa"/>
        </w:tblCellMar>
      </w:tblPr>
      <w:tblGrid>
        <w:gridCol w:w="124"/>
        <w:gridCol w:w="661"/>
        <w:gridCol w:w="109"/>
        <w:gridCol w:w="109"/>
        <w:gridCol w:w="115"/>
        <w:gridCol w:w="115"/>
        <w:gridCol w:w="1125"/>
        <w:gridCol w:w="116"/>
        <w:gridCol w:w="109"/>
        <w:gridCol w:w="109"/>
        <w:gridCol w:w="115"/>
        <w:gridCol w:w="115"/>
        <w:gridCol w:w="1125"/>
        <w:gridCol w:w="116"/>
        <w:gridCol w:w="109"/>
        <w:gridCol w:w="109"/>
        <w:gridCol w:w="115"/>
        <w:gridCol w:w="115"/>
        <w:gridCol w:w="1125"/>
        <w:gridCol w:w="116"/>
        <w:gridCol w:w="109"/>
        <w:gridCol w:w="109"/>
        <w:gridCol w:w="115"/>
        <w:gridCol w:w="115"/>
        <w:gridCol w:w="1125"/>
        <w:gridCol w:w="116"/>
        <w:gridCol w:w="109"/>
        <w:gridCol w:w="109"/>
        <w:gridCol w:w="109"/>
        <w:gridCol w:w="109"/>
        <w:gridCol w:w="766"/>
        <w:gridCol w:w="109"/>
        <w:gridCol w:w="109"/>
        <w:gridCol w:w="109"/>
        <w:gridCol w:w="109"/>
        <w:gridCol w:w="109"/>
        <w:gridCol w:w="766"/>
        <w:gridCol w:w="109"/>
        <w:gridCol w:w="109"/>
        <w:gridCol w:w="109"/>
        <w:gridCol w:w="109"/>
        <w:gridCol w:w="109"/>
        <w:gridCol w:w="646"/>
        <w:gridCol w:w="109"/>
        <w:gridCol w:w="109"/>
        <w:gridCol w:w="109"/>
        <w:gridCol w:w="109"/>
        <w:gridCol w:w="109"/>
        <w:gridCol w:w="646"/>
        <w:gridCol w:w="109"/>
        <w:gridCol w:w="109"/>
        <w:gridCol w:w="109"/>
        <w:gridCol w:w="117"/>
        <w:gridCol w:w="117"/>
        <w:gridCol w:w="697"/>
        <w:gridCol w:w="120"/>
        <w:gridCol w:w="154"/>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13690" w:type="dxa"/>
            <w:gridSpan w:val="55"/>
            <w:tcBorders>
              <w:bottom w:val="single" w:sz="24" w:space="0" w:color="FEFEFE"/>
            </w:tcBorders>
            <w:shd w:fill="002F56" w:val="clear"/>
            <w:tcMar>
              <w:bottom w:w="70" w:type="dxa"/>
            </w:tcMar>
            <w:vAlign w:val="center"/>
          </w:tcPr>
          <w:p>
            <w:pPr>
              <w:pStyle w:val="TableContents"/>
              <w:bidi w:val="0"/>
              <w:spacing w:before="0" w:after="0"/>
              <w:jc w:val="center"/>
              <w:rPr/>
            </w:pPr>
            <w:r>
              <w:rPr>
                <w:spacing w:val="-7"/>
              </w:rPr>
              <w:t>2025 PAY VERSUS PERFORMANCE</w:t>
            </w:r>
            <w:r>
              <w:rPr/>
              <w:t xml:space="preserve">​ </w:t>
            </w:r>
          </w:p>
        </w:tc>
        <w:tc>
          <w:tcPr>
            <w:tcW w:w="154"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vMerge w:val="restart"/>
            <w:tcBorders/>
            <w:shd w:fill="002F56" w:val="clear"/>
            <w:tcMar>
              <w:bottom w:w="0" w:type="dxa"/>
            </w:tcMar>
            <w:vAlign w:val="center"/>
          </w:tcPr>
          <w:p>
            <w:pPr>
              <w:pStyle w:val="TableContents"/>
              <w:bidi w:val="0"/>
              <w:spacing w:before="0" w:after="283"/>
              <w:jc w:val="left"/>
              <w:rPr/>
            </w:pPr>
            <w:r>
              <w:rPr/>
              <w:t>​</w:t>
            </w:r>
          </w:p>
        </w:tc>
        <w:tc>
          <w:tcPr>
            <w:tcW w:w="661" w:type="dxa"/>
            <w:vMerge w:val="restart"/>
            <w:tcBorders/>
            <w:shd w:fill="002F56" w:val="clear"/>
            <w:tcMar>
              <w:bottom w:w="0" w:type="dxa"/>
            </w:tcMar>
            <w:vAlign w:val="center"/>
          </w:tcPr>
          <w:p>
            <w:pPr>
              <w:pStyle w:val="TableContents"/>
              <w:bidi w:val="0"/>
              <w:spacing w:lineRule="atLeast" w:line="156" w:before="0" w:after="0"/>
              <w:jc w:val="left"/>
              <w:rPr>
                <w:spacing w:val="0"/>
              </w:rPr>
            </w:pPr>
            <w:r>
              <w:rPr>
                <w:spacing w:val="0"/>
              </w:rPr>
              <w:t xml:space="preserve">Fiscal Year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471"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(a)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471"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(b)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471"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(c)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471"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(d)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2404" w:type="dxa"/>
            <w:gridSpan w:val="10"/>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(e)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973"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(f)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973"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(g)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51" w:type="dxa"/>
            <w:gridSpan w:val="4"/>
            <w:tcBorders>
              <w:bottom w:val="single" w:sz="2" w:space="0" w:color="71B1C8"/>
            </w:tcBorders>
            <w:shd w:fill="002F56" w:val="clear"/>
            <w:tcMar>
              <w:bottom w:w="59" w:type="dxa"/>
            </w:tcMar>
            <w:vAlign w:val="center"/>
          </w:tcPr>
          <w:p>
            <w:pPr>
              <w:pStyle w:val="TableContents"/>
              <w:bidi w:val="0"/>
              <w:spacing w:before="0" w:after="0"/>
              <w:jc w:val="center"/>
              <w:rPr>
                <w:spacing w:val="0"/>
              </w:rPr>
            </w:pPr>
            <w:r>
              <w:rPr>
                <w:spacing w:val="0"/>
              </w:rPr>
              <w:t xml:space="preserve">(h) </w:t>
            </w:r>
          </w:p>
        </w:tc>
        <w:tc>
          <w:tcPr>
            <w:tcW w:w="154" w:type="dxa"/>
            <w:tcBorders>
              <w:bottom w:val="single" w:sz="2" w:space="0" w:color="71B1C8"/>
            </w:tcBorders>
            <w:shd w:fill="002F56" w:val="clear"/>
            <w:vAlign w:val="center"/>
          </w:tcPr>
          <w:p>
            <w:pPr>
              <w:pStyle w:val="TableContents"/>
              <w:bidi w:val="0"/>
              <w:spacing w:before="0" w:after="283"/>
              <w:jc w:val="left"/>
              <w:rPr/>
            </w:pPr>
            <w:r>
              <w:rPr/>
              <w:t>​</w:t>
            </w:r>
          </w:p>
        </w:tc>
      </w:tr>
      <w:tr>
        <w:trPr/>
        <w:tc>
          <w:tcPr>
            <w:tcW w:w="124" w:type="dxa"/>
            <w:vMerge w:val="continue"/>
            <w:tcBorders/>
            <w:shd w:fill="002F56" w:val="clear"/>
            <w:tcMar>
              <w:bottom w:w="0" w:type="dxa"/>
            </w:tcMar>
            <w:vAlign w:val="center"/>
          </w:tcPr>
          <w:p>
            <w:pPr>
              <w:pStyle w:val="Normal"/>
              <w:bidi w:val="0"/>
              <w:jc w:val="left"/>
              <w:rPr/>
            </w:pPr>
            <w:r>
              <w:rPr/>
            </w:r>
          </w:p>
        </w:tc>
        <w:tc>
          <w:tcPr>
            <w:tcW w:w="661"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Summary </w:t>
              <w:br/>
              <w:t xml:space="preserve">Compensation </w:t>
              <w:br/>
              <w:t>Table Total</w:t>
            </w:r>
            <w:r>
              <w:rPr>
                <w:spacing w:val="-2"/>
              </w:rPr>
              <w:t xml:space="preserve"> –  </w:t>
              <w:br/>
              <w:t>CEO</w:t>
            </w:r>
            <w:r>
              <w:rPr>
                <w:spacing w:val="-1"/>
                <w:sz w:val="9"/>
              </w:rPr>
              <w:t>(1)</w:t>
            </w:r>
            <w:r>
              <w:rPr/>
              <w:t xml:space="preserve"> </w:t>
              <w:br/>
            </w:r>
            <w:r>
              <w:rPr>
                <w:spacing w:val="-2"/>
              </w:rPr>
              <w:t xml:space="preserve">($)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Compensation </w:t>
              <w:br/>
              <w:t xml:space="preserve">Actually Paid </w:t>
              <w:br/>
              <w:t>Total</w:t>
            </w:r>
            <w:r>
              <w:rPr>
                <w:spacing w:val="-2"/>
              </w:rPr>
              <w:t> – CEO</w:t>
            </w:r>
            <w:r>
              <w:rPr>
                <w:spacing w:val="-1"/>
                <w:sz w:val="9"/>
              </w:rPr>
              <w:t>(2)</w:t>
            </w:r>
            <w:r>
              <w:rPr/>
              <w:t xml:space="preserve"> </w:t>
              <w:br/>
            </w:r>
            <w:r>
              <w:rPr>
                <w:spacing w:val="-2"/>
              </w:rPr>
              <w:t xml:space="preserve">($)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Summary </w:t>
              <w:br/>
              <w:t xml:space="preserve">Compensation </w:t>
              <w:br/>
              <w:t>Table Total</w:t>
            </w:r>
            <w:r>
              <w:rPr>
                <w:spacing w:val="-2"/>
              </w:rPr>
              <w:t> – </w:t>
            </w:r>
            <w:r>
              <w:rPr/>
              <w:t xml:space="preserve"> </w:t>
              <w:br/>
            </w:r>
            <w:r>
              <w:rPr>
                <w:spacing w:val="0"/>
              </w:rPr>
              <w:t xml:space="preserve">Non-CEO NEO </w:t>
              <w:br/>
              <w:t>Average</w:t>
            </w:r>
            <w:r>
              <w:rPr>
                <w:spacing w:val="-1"/>
                <w:sz w:val="9"/>
              </w:rPr>
              <w:t>(3)</w:t>
            </w:r>
            <w:r>
              <w:rPr/>
              <w:t xml:space="preserve"> </w:t>
              <w:br/>
            </w:r>
            <w:r>
              <w:rPr>
                <w:spacing w:val="-2"/>
              </w:rPr>
              <w:t xml:space="preserve">($)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471"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Compensation </w:t>
              <w:br/>
              <w:t xml:space="preserve">Actually Paid </w:t>
              <w:br/>
              <w:t>Total</w:t>
            </w:r>
            <w:r>
              <w:rPr>
                <w:spacing w:val="-2"/>
              </w:rPr>
              <w:t> – </w:t>
            </w:r>
            <w:r>
              <w:rPr/>
              <w:t xml:space="preserve"> </w:t>
              <w:br/>
            </w:r>
            <w:r>
              <w:rPr>
                <w:spacing w:val="0"/>
              </w:rPr>
              <w:t xml:space="preserve">Non-CEO NEO </w:t>
              <w:br/>
              <w:t>Average</w:t>
            </w:r>
            <w:r>
              <w:rPr>
                <w:spacing w:val="-1"/>
                <w:sz w:val="9"/>
              </w:rPr>
              <w:t>(4)</w:t>
            </w:r>
            <w:r>
              <w:rPr/>
              <w:t xml:space="preserve"> </w:t>
              <w:br/>
            </w:r>
            <w:r>
              <w:rPr>
                <w:spacing w:val="-2"/>
              </w:rPr>
              <w:t xml:space="preserve">($)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2404" w:type="dxa"/>
            <w:gridSpan w:val="10"/>
            <w:tcBorders>
              <w:bottom w:val="single" w:sz="2" w:space="0" w:color="71B1C8"/>
            </w:tcBorders>
            <w:shd w:fill="002F56" w:val="clear"/>
            <w:tcMar>
              <w:bottom w:w="54" w:type="dxa"/>
            </w:tcMar>
            <w:vAlign w:val="center"/>
          </w:tcPr>
          <w:p>
            <w:pPr>
              <w:pStyle w:val="TableContents"/>
              <w:bidi w:val="0"/>
              <w:spacing w:before="0" w:after="0"/>
              <w:jc w:val="center"/>
              <w:rPr>
                <w:spacing w:val="0"/>
              </w:rPr>
            </w:pPr>
            <w:r>
              <w:rPr>
                <w:spacing w:val="0"/>
              </w:rPr>
              <w:t xml:space="preserve">Value of Fixed $100 </w:t>
              <w:br/>
              <w:t xml:space="preserve">Investment Based on: </w:t>
            </w:r>
          </w:p>
        </w:tc>
        <w:tc>
          <w:tcPr>
            <w:tcW w:w="109" w:type="dxa"/>
            <w:tcBorders>
              <w:bottom w:val="single" w:sz="2" w:space="0" w:color="71B1C8"/>
            </w:tcBorders>
            <w:shd w:fill="002F56" w:val="clear"/>
            <w:vAlign w:val="center"/>
          </w:tcPr>
          <w:p>
            <w:pPr>
              <w:pStyle w:val="TableContents"/>
              <w:bidi w:val="0"/>
              <w:spacing w:before="0" w:after="283"/>
              <w:jc w:val="left"/>
              <w:rPr/>
            </w:pPr>
            <w:r>
              <w:rPr/>
              <w:t>​</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973"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Net </w:t>
              <w:br/>
              <w:t>Income</w:t>
            </w:r>
            <w:r>
              <w:rPr>
                <w:spacing w:val="-1"/>
                <w:sz w:val="9"/>
              </w:rPr>
              <w:t>(7)</w:t>
            </w:r>
            <w:r>
              <w:rPr/>
              <w:t xml:space="preserve"> </w:t>
              <w:br/>
            </w:r>
            <w:r>
              <w:rPr>
                <w:spacing w:val="-2"/>
              </w:rPr>
              <w:t xml:space="preserve">($M)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973"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Adjusted </w:t>
              <w:br/>
              <w:t xml:space="preserve">Net </w:t>
              <w:br/>
              <w:t>Income</w:t>
            </w:r>
            <w:r>
              <w:rPr>
                <w:spacing w:val="-1"/>
                <w:sz w:val="9"/>
              </w:rPr>
              <w:t>(8)</w:t>
            </w:r>
            <w:r>
              <w:rPr/>
              <w:t xml:space="preserve"> </w:t>
              <w:br/>
            </w:r>
            <w:r>
              <w:rPr>
                <w:spacing w:val="-2"/>
              </w:rPr>
              <w:t xml:space="preserve">($M) </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9" w:type="dxa"/>
            <w:vMerge w:val="restart"/>
            <w:tcBorders/>
            <w:shd w:fill="002F56" w:val="clear"/>
            <w:tcMar>
              <w:bottom w:w="0" w:type="dxa"/>
            </w:tcMar>
            <w:vAlign w:val="center"/>
          </w:tcPr>
          <w:p>
            <w:pPr>
              <w:pStyle w:val="TableContents"/>
              <w:bidi w:val="0"/>
              <w:spacing w:before="0" w:after="283"/>
              <w:jc w:val="left"/>
              <w:rPr/>
            </w:pPr>
            <w:r>
              <w:rPr/>
              <w:t>​</w:t>
            </w:r>
          </w:p>
        </w:tc>
        <w:tc>
          <w:tcPr>
            <w:tcW w:w="1051" w:type="dxa"/>
            <w:gridSpan w:val="4"/>
            <w:vMerge w:val="restart"/>
            <w:tcBorders/>
            <w:shd w:fill="002F56" w:val="clear"/>
            <w:tcMar>
              <w:bottom w:w="0" w:type="dxa"/>
            </w:tcMar>
            <w:vAlign w:val="center"/>
          </w:tcPr>
          <w:p>
            <w:pPr>
              <w:pStyle w:val="TableContents"/>
              <w:bidi w:val="0"/>
              <w:spacing w:lineRule="atLeast" w:line="142" w:before="0" w:after="0"/>
              <w:jc w:val="center"/>
              <w:rPr/>
            </w:pPr>
            <w:r>
              <w:rPr>
                <w:spacing w:val="0"/>
              </w:rPr>
              <w:t xml:space="preserve">Adjusted </w:t>
              <w:br/>
              <w:t xml:space="preserve">Operating </w:t>
              <w:br/>
              <w:t>Income</w:t>
            </w:r>
            <w:r>
              <w:rPr>
                <w:spacing w:val="-1"/>
                <w:sz w:val="9"/>
              </w:rPr>
              <w:t>(9)</w:t>
            </w:r>
            <w:r>
              <w:rPr/>
              <w:t xml:space="preserve"> </w:t>
              <w:br/>
            </w:r>
            <w:r>
              <w:rPr>
                <w:spacing w:val="-2"/>
              </w:rPr>
              <w:t xml:space="preserve">($M) </w:t>
            </w:r>
          </w:p>
        </w:tc>
        <w:tc>
          <w:tcPr>
            <w:tcW w:w="154" w:type="dxa"/>
            <w:vMerge w:val="restart"/>
            <w:tcBorders/>
            <w:shd w:fill="002F56" w:val="clear"/>
            <w:tcMar>
              <w:bottom w:w="0" w:type="dxa"/>
            </w:tcMar>
            <w:vAlign w:val="center"/>
          </w:tcPr>
          <w:p>
            <w:pPr>
              <w:pStyle w:val="TableContents"/>
              <w:bidi w:val="0"/>
              <w:spacing w:before="0" w:after="283"/>
              <w:jc w:val="left"/>
              <w:rPr/>
            </w:pPr>
            <w:r>
              <w:rPr/>
              <w:t>​</w:t>
            </w:r>
          </w:p>
        </w:tc>
      </w:tr>
      <w:tr>
        <w:trPr/>
        <w:tc>
          <w:tcPr>
            <w:tcW w:w="124" w:type="dxa"/>
            <w:vMerge w:val="continue"/>
            <w:tcBorders/>
            <w:shd w:fill="002F56" w:val="clear"/>
            <w:tcMar>
              <w:bottom w:w="0" w:type="dxa"/>
            </w:tcMar>
            <w:vAlign w:val="center"/>
          </w:tcPr>
          <w:p>
            <w:pPr>
              <w:pStyle w:val="Normal"/>
              <w:bidi w:val="0"/>
              <w:jc w:val="left"/>
              <w:rPr/>
            </w:pPr>
            <w:r>
              <w:rPr/>
            </w:r>
          </w:p>
        </w:tc>
        <w:tc>
          <w:tcPr>
            <w:tcW w:w="661"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471" w:type="dxa"/>
            <w:gridSpan w:val="4"/>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471" w:type="dxa"/>
            <w:gridSpan w:val="4"/>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471" w:type="dxa"/>
            <w:gridSpan w:val="4"/>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471" w:type="dxa"/>
            <w:gridSpan w:val="4"/>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tcBorders/>
            <w:shd w:fill="002F56" w:val="clear"/>
            <w:tcMar>
              <w:bottom w:w="0" w:type="dxa"/>
            </w:tcMar>
            <w:vAlign w:val="center"/>
          </w:tcPr>
          <w:p>
            <w:pPr>
              <w:pStyle w:val="TableContents"/>
              <w:bidi w:val="0"/>
              <w:spacing w:before="0" w:after="283"/>
              <w:jc w:val="left"/>
              <w:rPr/>
            </w:pPr>
            <w:r>
              <w:rPr/>
              <w:t>​</w:t>
            </w:r>
          </w:p>
        </w:tc>
        <w:tc>
          <w:tcPr>
            <w:tcW w:w="1093" w:type="dxa"/>
            <w:gridSpan w:val="4"/>
            <w:tcBorders/>
            <w:shd w:fill="002F56" w:val="clear"/>
            <w:tcMar>
              <w:bottom w:w="0" w:type="dxa"/>
            </w:tcMar>
            <w:vAlign w:val="center"/>
          </w:tcPr>
          <w:p>
            <w:pPr>
              <w:pStyle w:val="TableContents"/>
              <w:bidi w:val="0"/>
              <w:spacing w:lineRule="atLeast" w:line="142" w:before="0" w:after="0"/>
              <w:jc w:val="center"/>
              <w:rPr/>
            </w:pPr>
            <w:r>
              <w:rPr>
                <w:spacing w:val="-2"/>
              </w:rPr>
              <w:t xml:space="preserve">MTI </w:t>
              <w:br/>
              <w:t>TSR</w:t>
            </w:r>
            <w:r>
              <w:rPr>
                <w:spacing w:val="-1"/>
                <w:sz w:val="9"/>
              </w:rPr>
              <w:t>(5)</w:t>
            </w:r>
            <w:r>
              <w:rPr/>
              <w:t xml:space="preserve"> </w:t>
              <w:br/>
            </w:r>
            <w:r>
              <w:rPr>
                <w:spacing w:val="-2"/>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3" w:type="dxa"/>
            <w:gridSpan w:val="4"/>
            <w:tcBorders/>
            <w:shd w:fill="002F56" w:val="clear"/>
            <w:tcMar>
              <w:bottom w:w="0" w:type="dxa"/>
            </w:tcMar>
            <w:vAlign w:val="center"/>
          </w:tcPr>
          <w:p>
            <w:pPr>
              <w:pStyle w:val="TableContents"/>
              <w:bidi w:val="0"/>
              <w:spacing w:lineRule="atLeast" w:line="142" w:before="0" w:after="0"/>
              <w:jc w:val="center"/>
              <w:rPr/>
            </w:pPr>
            <w:r>
              <w:rPr>
                <w:spacing w:val="0"/>
              </w:rPr>
              <w:t xml:space="preserve">Peer Company </w:t>
              <w:br/>
              <w:t>Index TSR</w:t>
            </w:r>
            <w:r>
              <w:rPr>
                <w:spacing w:val="-1"/>
                <w:sz w:val="9"/>
              </w:rPr>
              <w:t>(6)</w:t>
            </w:r>
            <w:r>
              <w:rPr>
                <w:spacing w:val="-2"/>
              </w:rPr>
              <w:t xml:space="preserve">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vMerge w:val="continue"/>
            <w:tcBorders/>
            <w:shd w:fill="002F56" w:val="clear"/>
            <w:tcMar>
              <w:bottom w:w="0" w:type="dxa"/>
            </w:tcMar>
            <w:vAlign w:val="center"/>
          </w:tcPr>
          <w:p>
            <w:pPr>
              <w:pStyle w:val="Normal"/>
              <w:bidi w:val="0"/>
              <w:jc w:val="left"/>
              <w:rPr/>
            </w:pPr>
            <w:r>
              <w:rPr/>
            </w:r>
          </w:p>
        </w:tc>
        <w:tc>
          <w:tcPr>
            <w:tcW w:w="973" w:type="dxa"/>
            <w:gridSpan w:val="4"/>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973" w:type="dxa"/>
            <w:gridSpan w:val="4"/>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9" w:type="dxa"/>
            <w:vMerge w:val="continue"/>
            <w:tcBorders/>
            <w:shd w:fill="002F56" w:val="clear"/>
            <w:tcMar>
              <w:bottom w:w="0" w:type="dxa"/>
            </w:tcMar>
            <w:vAlign w:val="center"/>
          </w:tcPr>
          <w:p>
            <w:pPr>
              <w:pStyle w:val="Normal"/>
              <w:bidi w:val="0"/>
              <w:jc w:val="left"/>
              <w:rPr/>
            </w:pPr>
            <w:r>
              <w:rPr/>
            </w:r>
          </w:p>
        </w:tc>
        <w:tc>
          <w:tcPr>
            <w:tcW w:w="1051" w:type="dxa"/>
            <w:gridSpan w:val="4"/>
            <w:vMerge w:val="continue"/>
            <w:tcBorders/>
            <w:shd w:fill="002F56" w:val="clear"/>
            <w:tcMar>
              <w:bottom w:w="0" w:type="dxa"/>
            </w:tcMar>
            <w:vAlign w:val="center"/>
          </w:tcPr>
          <w:p>
            <w:pPr>
              <w:pStyle w:val="Normal"/>
              <w:bidi w:val="0"/>
              <w:jc w:val="left"/>
              <w:rPr/>
            </w:pPr>
            <w:r>
              <w:rPr/>
            </w:r>
          </w:p>
        </w:tc>
        <w:tc>
          <w:tcPr>
            <w:tcW w:w="154" w:type="dxa"/>
            <w:vMerge w:val="continue"/>
            <w:tcBorders/>
            <w:shd w:fill="002F56" w:val="clear"/>
            <w:tcMar>
              <w:bottom w:w="0" w:type="dxa"/>
            </w:tcMar>
            <w:vAlign w:val="center"/>
          </w:tcPr>
          <w:p>
            <w:pPr>
              <w:pStyle w:val="Normal"/>
              <w:bidi w:val="0"/>
              <w:jc w:val="left"/>
              <w:rPr/>
            </w:pPr>
            <w:r>
              <w:rPr/>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61"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2025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7,405,693</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5,800,409</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2,589,098</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 xml:space="preserve">2,067,409 </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100.40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103.16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(14.0)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177.8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tcMar>
              <w:bottom w:w="49" w:type="dxa"/>
            </w:tcMar>
            <w:vAlign w:val="center"/>
          </w:tcPr>
          <w:p>
            <w:pPr>
              <w:pStyle w:val="TableContents"/>
              <w:bidi w:val="0"/>
              <w:spacing w:before="0" w:after="283"/>
              <w:jc w:val="right"/>
              <w:rPr/>
            </w:pPr>
            <w:r>
              <w:rPr/>
              <w:t>​</w:t>
            </w:r>
          </w:p>
        </w:tc>
        <w:tc>
          <w:tcPr>
            <w:tcW w:w="697" w:type="dxa"/>
            <w:tcBorders>
              <w:bottom w:val="single" w:sz="6" w:space="0" w:color="CCCCCC"/>
            </w:tcBorders>
            <w:tcMar>
              <w:bottom w:w="49" w:type="dxa"/>
            </w:tcMar>
            <w:vAlign w:val="center"/>
          </w:tcPr>
          <w:p>
            <w:pPr>
              <w:pStyle w:val="TableContents"/>
              <w:bidi w:val="0"/>
              <w:spacing w:before="0" w:after="283"/>
              <w:jc w:val="right"/>
              <w:rPr/>
            </w:pPr>
            <w:r>
              <w:rPr/>
              <w:t>287.1</w:t>
            </w:r>
          </w:p>
        </w:tc>
        <w:tc>
          <w:tcPr>
            <w:tcW w:w="120"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61"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7,907,030</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8,360,947</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2,665,258</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2,700,178</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 xml:space="preserve">124.61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 xml:space="preserve">98.73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170.9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202.6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tcMar>
              <w:bottom w:w="49" w:type="dxa"/>
            </w:tcMar>
            <w:vAlign w:val="center"/>
          </w:tcPr>
          <w:p>
            <w:pPr>
              <w:pStyle w:val="TableContents"/>
              <w:bidi w:val="0"/>
              <w:spacing w:before="0" w:after="283"/>
              <w:jc w:val="right"/>
              <w:rPr/>
            </w:pPr>
            <w:r>
              <w:rPr/>
              <w:t>​</w:t>
            </w:r>
          </w:p>
        </w:tc>
        <w:tc>
          <w:tcPr>
            <w:tcW w:w="697" w:type="dxa"/>
            <w:tcBorders>
              <w:bottom w:val="single" w:sz="6" w:space="0" w:color="CCCCCC"/>
            </w:tcBorders>
            <w:tcMar>
              <w:bottom w:w="49" w:type="dxa"/>
            </w:tcMar>
            <w:vAlign w:val="center"/>
          </w:tcPr>
          <w:p>
            <w:pPr>
              <w:pStyle w:val="TableContents"/>
              <w:bidi w:val="0"/>
              <w:spacing w:before="0" w:after="283"/>
              <w:jc w:val="right"/>
              <w:rPr/>
            </w:pPr>
            <w:r>
              <w:rPr/>
              <w:t>315.5</w:t>
            </w:r>
          </w:p>
        </w:tc>
        <w:tc>
          <w:tcPr>
            <w:tcW w:w="120"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61"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8,355,252</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8,952,346</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2,515,894</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2,592,052</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 xml:space="preserve">115.97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 xml:space="preserve">113.50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88.3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174.1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tcMar>
              <w:bottom w:w="49" w:type="dxa"/>
            </w:tcMar>
            <w:vAlign w:val="center"/>
          </w:tcPr>
          <w:p>
            <w:pPr>
              <w:pStyle w:val="TableContents"/>
              <w:bidi w:val="0"/>
              <w:spacing w:before="0" w:after="283"/>
              <w:jc w:val="right"/>
              <w:rPr/>
            </w:pPr>
            <w:r>
              <w:rPr/>
              <w:t>​</w:t>
            </w:r>
          </w:p>
        </w:tc>
        <w:tc>
          <w:tcPr>
            <w:tcW w:w="697" w:type="dxa"/>
            <w:tcBorders>
              <w:bottom w:val="single" w:sz="6" w:space="0" w:color="CCCCCC"/>
            </w:tcBorders>
            <w:tcMar>
              <w:bottom w:w="49" w:type="dxa"/>
            </w:tcMar>
            <w:vAlign w:val="center"/>
          </w:tcPr>
          <w:p>
            <w:pPr>
              <w:pStyle w:val="TableContents"/>
              <w:bidi w:val="0"/>
              <w:spacing w:before="0" w:after="283"/>
              <w:jc w:val="right"/>
              <w:rPr/>
            </w:pPr>
            <w:r>
              <w:rPr/>
              <w:t>279.9</w:t>
            </w:r>
          </w:p>
        </w:tc>
        <w:tc>
          <w:tcPr>
            <w:tcW w:w="120"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6" w:space="0" w:color="CCCCCC"/>
            </w:tcBorders>
            <w:vAlign w:val="center"/>
          </w:tcPr>
          <w:p>
            <w:pPr>
              <w:pStyle w:val="TableContents"/>
              <w:bidi w:val="0"/>
              <w:spacing w:before="0" w:after="283"/>
              <w:jc w:val="left"/>
              <w:rPr/>
            </w:pPr>
            <w:r>
              <w:rPr/>
              <w:t>​</w:t>
            </w:r>
          </w:p>
        </w:tc>
        <w:tc>
          <w:tcPr>
            <w:tcW w:w="661" w:type="dxa"/>
            <w:tcBorders>
              <w:bottom w:val="single" w:sz="6" w:space="0" w:color="CCCCCC"/>
            </w:tcBorders>
            <w:tcMar>
              <w:bottom w:w="49"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7,439,476</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6,245,290</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1,926,529</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49" w:type="dxa"/>
            </w:tcMar>
            <w:vAlign w:val="center"/>
          </w:tcPr>
          <w:p>
            <w:pPr>
              <w:pStyle w:val="TableContents"/>
              <w:bidi w:val="0"/>
              <w:spacing w:before="0" w:after="283"/>
              <w:jc w:val="right"/>
              <w:rPr/>
            </w:pPr>
            <w:r>
              <w:rPr/>
              <w:t>​</w:t>
            </w:r>
          </w:p>
        </w:tc>
        <w:tc>
          <w:tcPr>
            <w:tcW w:w="1125" w:type="dxa"/>
            <w:tcBorders>
              <w:bottom w:val="single" w:sz="6" w:space="0" w:color="CCCCCC"/>
            </w:tcBorders>
            <w:tcMar>
              <w:bottom w:w="49" w:type="dxa"/>
            </w:tcMar>
            <w:vAlign w:val="center"/>
          </w:tcPr>
          <w:p>
            <w:pPr>
              <w:pStyle w:val="TableContents"/>
              <w:bidi w:val="0"/>
              <w:spacing w:before="0" w:after="283"/>
              <w:jc w:val="right"/>
              <w:rPr/>
            </w:pPr>
            <w:r>
              <w:rPr/>
              <w:t>1,351,820</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 xml:space="preserve">98.31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766" w:type="dxa"/>
            <w:tcBorders>
              <w:bottom w:val="single" w:sz="6" w:space="0" w:color="CCCCCC"/>
            </w:tcBorders>
            <w:tcMar>
              <w:bottom w:w="49" w:type="dxa"/>
            </w:tcMar>
            <w:vAlign w:val="center"/>
          </w:tcPr>
          <w:p>
            <w:pPr>
              <w:pStyle w:val="TableContents"/>
              <w:bidi w:val="0"/>
              <w:spacing w:before="0" w:after="283"/>
              <w:jc w:val="right"/>
              <w:rPr/>
            </w:pPr>
            <w:r>
              <w:rPr/>
              <w:t xml:space="preserve">119.12 </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126.3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49" w:type="dxa"/>
            </w:tcMar>
            <w:vAlign w:val="center"/>
          </w:tcPr>
          <w:p>
            <w:pPr>
              <w:pStyle w:val="TableContents"/>
              <w:bidi w:val="0"/>
              <w:spacing w:before="0" w:after="283"/>
              <w:jc w:val="right"/>
              <w:rPr/>
            </w:pPr>
            <w:r>
              <w:rPr/>
              <w:t>​</w:t>
            </w:r>
          </w:p>
        </w:tc>
        <w:tc>
          <w:tcPr>
            <w:tcW w:w="646" w:type="dxa"/>
            <w:tcBorders>
              <w:bottom w:val="single" w:sz="6" w:space="0" w:color="CCCCCC"/>
            </w:tcBorders>
            <w:tcMar>
              <w:bottom w:w="49" w:type="dxa"/>
            </w:tcMar>
            <w:vAlign w:val="center"/>
          </w:tcPr>
          <w:p>
            <w:pPr>
              <w:pStyle w:val="TableContents"/>
              <w:bidi w:val="0"/>
              <w:spacing w:before="0" w:after="283"/>
              <w:jc w:val="right"/>
              <w:rPr/>
            </w:pPr>
            <w:r>
              <w:rPr/>
              <w:t>164.2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vAlign w:val="center"/>
          </w:tcPr>
          <w:p>
            <w:pPr>
              <w:pStyle w:val="TableContents"/>
              <w:bidi w:val="0"/>
              <w:spacing w:before="0" w:after="283"/>
              <w:jc w:val="left"/>
              <w:rPr/>
            </w:pPr>
            <w:r>
              <w:rPr/>
              <w:t>​</w:t>
            </w:r>
          </w:p>
        </w:tc>
        <w:tc>
          <w:tcPr>
            <w:tcW w:w="117" w:type="dxa"/>
            <w:tcBorders>
              <w:bottom w:val="single" w:sz="6" w:space="0" w:color="CCCCCC"/>
            </w:tcBorders>
            <w:tcMar>
              <w:bottom w:w="49" w:type="dxa"/>
            </w:tcMar>
            <w:vAlign w:val="center"/>
          </w:tcPr>
          <w:p>
            <w:pPr>
              <w:pStyle w:val="TableContents"/>
              <w:bidi w:val="0"/>
              <w:spacing w:before="0" w:after="283"/>
              <w:jc w:val="right"/>
              <w:rPr/>
            </w:pPr>
            <w:r>
              <w:rPr/>
              <w:t>​</w:t>
            </w:r>
          </w:p>
        </w:tc>
        <w:tc>
          <w:tcPr>
            <w:tcW w:w="697" w:type="dxa"/>
            <w:tcBorders>
              <w:bottom w:val="single" w:sz="6" w:space="0" w:color="CCCCCC"/>
            </w:tcBorders>
            <w:tcMar>
              <w:bottom w:w="49" w:type="dxa"/>
            </w:tcMar>
            <w:vAlign w:val="center"/>
          </w:tcPr>
          <w:p>
            <w:pPr>
              <w:pStyle w:val="TableContents"/>
              <w:bidi w:val="0"/>
              <w:spacing w:before="0" w:after="283"/>
              <w:jc w:val="right"/>
              <w:rPr/>
            </w:pPr>
            <w:r>
              <w:rPr/>
              <w:t>252.5</w:t>
            </w:r>
          </w:p>
        </w:tc>
        <w:tc>
          <w:tcPr>
            <w:tcW w:w="120"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661" w:type="dxa"/>
            <w:tcBorders>
              <w:bottom w:val="single" w:sz="12" w:space="0" w:color="71B1C8"/>
            </w:tcBorders>
            <w:tcMar>
              <w:bottom w:w="48"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tcMar>
              <w:bottom w:w="48" w:type="dxa"/>
            </w:tcMar>
            <w:vAlign w:val="center"/>
          </w:tcPr>
          <w:p>
            <w:pPr>
              <w:pStyle w:val="TableContents"/>
              <w:bidi w:val="0"/>
              <w:spacing w:before="0" w:after="283"/>
              <w:jc w:val="right"/>
              <w:rPr/>
            </w:pPr>
            <w:r>
              <w:rPr/>
              <w:t>​</w:t>
            </w:r>
          </w:p>
        </w:tc>
        <w:tc>
          <w:tcPr>
            <w:tcW w:w="1125" w:type="dxa"/>
            <w:tcBorders>
              <w:bottom w:val="single" w:sz="12" w:space="0" w:color="71B1C8"/>
            </w:tcBorders>
            <w:tcMar>
              <w:bottom w:w="48" w:type="dxa"/>
            </w:tcMar>
            <w:vAlign w:val="center"/>
          </w:tcPr>
          <w:p>
            <w:pPr>
              <w:pStyle w:val="TableContents"/>
              <w:bidi w:val="0"/>
              <w:spacing w:before="0" w:after="283"/>
              <w:jc w:val="right"/>
              <w:rPr/>
            </w:pPr>
            <w:r>
              <w:rPr/>
              <w:t>7,085,896</w:t>
            </w:r>
          </w:p>
        </w:tc>
        <w:tc>
          <w:tcPr>
            <w:tcW w:w="11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tcMar>
              <w:bottom w:w="48" w:type="dxa"/>
            </w:tcMar>
            <w:vAlign w:val="center"/>
          </w:tcPr>
          <w:p>
            <w:pPr>
              <w:pStyle w:val="TableContents"/>
              <w:bidi w:val="0"/>
              <w:spacing w:before="0" w:after="283"/>
              <w:jc w:val="right"/>
              <w:rPr/>
            </w:pPr>
            <w:r>
              <w:rPr/>
              <w:t>​</w:t>
            </w:r>
          </w:p>
        </w:tc>
        <w:tc>
          <w:tcPr>
            <w:tcW w:w="1125" w:type="dxa"/>
            <w:tcBorders>
              <w:bottom w:val="single" w:sz="12" w:space="0" w:color="71B1C8"/>
            </w:tcBorders>
            <w:tcMar>
              <w:bottom w:w="48" w:type="dxa"/>
            </w:tcMar>
            <w:vAlign w:val="center"/>
          </w:tcPr>
          <w:p>
            <w:pPr>
              <w:pStyle w:val="TableContents"/>
              <w:bidi w:val="0"/>
              <w:spacing w:before="0" w:after="283"/>
              <w:jc w:val="right"/>
              <w:rPr/>
            </w:pPr>
            <w:r>
              <w:rPr/>
              <w:t>8,148,175</w:t>
            </w:r>
          </w:p>
        </w:tc>
        <w:tc>
          <w:tcPr>
            <w:tcW w:w="11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tcMar>
              <w:bottom w:w="48" w:type="dxa"/>
            </w:tcMar>
            <w:vAlign w:val="center"/>
          </w:tcPr>
          <w:p>
            <w:pPr>
              <w:pStyle w:val="TableContents"/>
              <w:bidi w:val="0"/>
              <w:spacing w:before="0" w:after="283"/>
              <w:jc w:val="right"/>
              <w:rPr/>
            </w:pPr>
            <w:r>
              <w:rPr/>
              <w:t>​</w:t>
            </w:r>
          </w:p>
        </w:tc>
        <w:tc>
          <w:tcPr>
            <w:tcW w:w="1125" w:type="dxa"/>
            <w:tcBorders>
              <w:bottom w:val="single" w:sz="12" w:space="0" w:color="71B1C8"/>
            </w:tcBorders>
            <w:tcMar>
              <w:bottom w:w="48" w:type="dxa"/>
            </w:tcMar>
            <w:vAlign w:val="center"/>
          </w:tcPr>
          <w:p>
            <w:pPr>
              <w:pStyle w:val="TableContents"/>
              <w:bidi w:val="0"/>
              <w:spacing w:before="0" w:after="283"/>
              <w:jc w:val="right"/>
              <w:rPr/>
            </w:pPr>
            <w:r>
              <w:rPr/>
              <w:t>2,513,207</w:t>
            </w:r>
          </w:p>
        </w:tc>
        <w:tc>
          <w:tcPr>
            <w:tcW w:w="11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tcMar>
              <w:bottom w:w="48" w:type="dxa"/>
            </w:tcMar>
            <w:vAlign w:val="center"/>
          </w:tcPr>
          <w:p>
            <w:pPr>
              <w:pStyle w:val="TableContents"/>
              <w:bidi w:val="0"/>
              <w:spacing w:before="0" w:after="283"/>
              <w:jc w:val="right"/>
              <w:rPr/>
            </w:pPr>
            <w:r>
              <w:rPr/>
              <w:t>​</w:t>
            </w:r>
          </w:p>
        </w:tc>
        <w:tc>
          <w:tcPr>
            <w:tcW w:w="1125" w:type="dxa"/>
            <w:tcBorders>
              <w:bottom w:val="single" w:sz="12" w:space="0" w:color="71B1C8"/>
            </w:tcBorders>
            <w:tcMar>
              <w:bottom w:w="48" w:type="dxa"/>
            </w:tcMar>
            <w:vAlign w:val="center"/>
          </w:tcPr>
          <w:p>
            <w:pPr>
              <w:pStyle w:val="TableContents"/>
              <w:bidi w:val="0"/>
              <w:spacing w:before="0" w:after="283"/>
              <w:jc w:val="right"/>
              <w:rPr/>
            </w:pPr>
            <w:r>
              <w:rPr/>
              <w:t>2,850,830</w:t>
            </w:r>
          </w:p>
        </w:tc>
        <w:tc>
          <w:tcPr>
            <w:tcW w:w="11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766" w:type="dxa"/>
            <w:tcBorders>
              <w:bottom w:val="single" w:sz="12" w:space="0" w:color="71B1C8"/>
            </w:tcBorders>
            <w:tcMar>
              <w:bottom w:w="48" w:type="dxa"/>
            </w:tcMar>
            <w:vAlign w:val="center"/>
          </w:tcPr>
          <w:p>
            <w:pPr>
              <w:pStyle w:val="TableContents"/>
              <w:bidi w:val="0"/>
              <w:spacing w:before="0" w:after="283"/>
              <w:jc w:val="right"/>
              <w:rPr/>
            </w:pPr>
            <w:r>
              <w:rPr/>
              <w:t xml:space="preserve">118.07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766" w:type="dxa"/>
            <w:tcBorders>
              <w:bottom w:val="single" w:sz="12" w:space="0" w:color="71B1C8"/>
            </w:tcBorders>
            <w:tcMar>
              <w:bottom w:w="48" w:type="dxa"/>
            </w:tcMar>
            <w:vAlign w:val="center"/>
          </w:tcPr>
          <w:p>
            <w:pPr>
              <w:pStyle w:val="TableContents"/>
              <w:bidi w:val="0"/>
              <w:spacing w:before="0" w:after="283"/>
              <w:jc w:val="right"/>
              <w:rPr/>
            </w:pPr>
            <w:r>
              <w:rPr/>
              <w:t xml:space="preserve">135.44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646" w:type="dxa"/>
            <w:tcBorders>
              <w:bottom w:val="single" w:sz="12" w:space="0" w:color="71B1C8"/>
            </w:tcBorders>
            <w:tcMar>
              <w:bottom w:w="48" w:type="dxa"/>
            </w:tcMar>
            <w:vAlign w:val="center"/>
          </w:tcPr>
          <w:p>
            <w:pPr>
              <w:pStyle w:val="TableContents"/>
              <w:bidi w:val="0"/>
              <w:spacing w:before="0" w:after="283"/>
              <w:jc w:val="right"/>
              <w:rPr/>
            </w:pPr>
            <w:r>
              <w:rPr/>
              <w:t>168.5</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8" w:type="dxa"/>
            </w:tcMar>
            <w:vAlign w:val="center"/>
          </w:tcPr>
          <w:p>
            <w:pPr>
              <w:pStyle w:val="TableContents"/>
              <w:bidi w:val="0"/>
              <w:spacing w:before="0" w:after="283"/>
              <w:jc w:val="right"/>
              <w:rPr/>
            </w:pPr>
            <w:r>
              <w:rPr/>
              <w:t>​</w:t>
            </w:r>
          </w:p>
        </w:tc>
        <w:tc>
          <w:tcPr>
            <w:tcW w:w="646" w:type="dxa"/>
            <w:tcBorders>
              <w:bottom w:val="single" w:sz="12" w:space="0" w:color="71B1C8"/>
            </w:tcBorders>
            <w:tcMar>
              <w:bottom w:w="48" w:type="dxa"/>
            </w:tcMar>
            <w:vAlign w:val="center"/>
          </w:tcPr>
          <w:p>
            <w:pPr>
              <w:pStyle w:val="TableContents"/>
              <w:bidi w:val="0"/>
              <w:spacing w:before="0" w:after="283"/>
              <w:jc w:val="right"/>
              <w:rPr/>
            </w:pPr>
            <w:r>
              <w:rPr/>
              <w:t>173.8</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7" w:type="dxa"/>
            <w:tcBorders>
              <w:bottom w:val="single" w:sz="12" w:space="0" w:color="71B1C8"/>
            </w:tcBorders>
            <w:vAlign w:val="center"/>
          </w:tcPr>
          <w:p>
            <w:pPr>
              <w:pStyle w:val="TableContents"/>
              <w:bidi w:val="0"/>
              <w:spacing w:before="0" w:after="283"/>
              <w:jc w:val="left"/>
              <w:rPr/>
            </w:pPr>
            <w:r>
              <w:rPr/>
              <w:t>​</w:t>
            </w:r>
          </w:p>
        </w:tc>
        <w:tc>
          <w:tcPr>
            <w:tcW w:w="117" w:type="dxa"/>
            <w:tcBorders>
              <w:bottom w:val="single" w:sz="12" w:space="0" w:color="71B1C8"/>
            </w:tcBorders>
            <w:tcMar>
              <w:bottom w:w="48" w:type="dxa"/>
            </w:tcMar>
            <w:vAlign w:val="center"/>
          </w:tcPr>
          <w:p>
            <w:pPr>
              <w:pStyle w:val="TableContents"/>
              <w:bidi w:val="0"/>
              <w:spacing w:before="0" w:after="283"/>
              <w:jc w:val="right"/>
              <w:rPr/>
            </w:pPr>
            <w:r>
              <w:rPr/>
              <w:t>​</w:t>
            </w:r>
          </w:p>
        </w:tc>
        <w:tc>
          <w:tcPr>
            <w:tcW w:w="697" w:type="dxa"/>
            <w:tcBorders>
              <w:bottom w:val="single" w:sz="12" w:space="0" w:color="71B1C8"/>
            </w:tcBorders>
            <w:tcMar>
              <w:bottom w:w="48" w:type="dxa"/>
            </w:tcMar>
            <w:vAlign w:val="center"/>
          </w:tcPr>
          <w:p>
            <w:pPr>
              <w:pStyle w:val="TableContents"/>
              <w:bidi w:val="0"/>
              <w:spacing w:before="0" w:after="283"/>
              <w:jc w:val="right"/>
              <w:rPr/>
            </w:pPr>
            <w:r>
              <w:rPr/>
              <w:t>240.7</w:t>
            </w:r>
          </w:p>
        </w:tc>
        <w:tc>
          <w:tcPr>
            <w:tcW w:w="120"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compensation amounts reported in the “</w:t>
      </w:r>
      <w:r>
        <w:rPr>
          <w:rFonts w:ascii="Arial;Helvetica;sans-serif" w:hAnsi="Arial;Helvetica;sans-serif"/>
          <w:b w:val="false"/>
          <w:i/>
          <w:caps w:val="false"/>
          <w:smallCaps w:val="false"/>
          <w:color w:val="000000"/>
          <w:sz w:val="16"/>
        </w:rPr>
        <w:t>Summary Compensation Table</w:t>
      </w:r>
      <w:r>
        <w:rPr>
          <w:rFonts w:ascii="Arial;Helvetica;sans-serif" w:hAnsi="Arial;Helvetica;sans-serif"/>
          <w:b w:val="false"/>
          <w:i w:val="false"/>
          <w:caps w:val="false"/>
          <w:smallCaps w:val="false"/>
          <w:color w:val="000000"/>
          <w:spacing w:val="-1"/>
          <w:sz w:val="16"/>
        </w:rPr>
        <w:t>” for our CEO (our principal executive officer), Douglas T. Dietrich, for the respective years shown.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863">
                <wp:simplePos x="0" y="0"/>
                <wp:positionH relativeFrom="column">
                  <wp:align>left</wp:align>
                </wp:positionH>
                <wp:positionV relativeFrom="line">
                  <wp:align>top</wp:align>
                </wp:positionV>
                <wp:extent cx="254000" cy="350520"/>
                <wp:effectExtent l="0" t="0" r="0" b="0"/>
                <wp:wrapSquare wrapText="right"/>
                <wp:docPr id="842"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71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6"/>
        </w:rPr>
        <w:t>Compensation Actually Paid” to our CEO in each of for the respective years shown reflects the respective amounts set forth in column (a) of the table above, adjusted as set forth below in Reconciliation of Summary Compensation Table to Compensation Actually Paid, in accordance with SEC rules.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76200" distR="0" simplePos="0" locked="0" layoutInCell="1" allowOverlap="1" relativeHeight="864">
                <wp:simplePos x="0" y="0"/>
                <wp:positionH relativeFrom="column">
                  <wp:align>left</wp:align>
                </wp:positionH>
                <wp:positionV relativeFrom="line">
                  <wp:posOffset>635</wp:posOffset>
                </wp:positionV>
                <wp:extent cx="254000" cy="350520"/>
                <wp:effectExtent l="0" t="0" r="0" b="0"/>
                <wp:wrapSquare wrapText="right"/>
                <wp:docPr id="843"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2"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average compensation amounts reported in the “</w:t>
      </w:r>
      <w:r>
        <w:rPr>
          <w:rFonts w:ascii="Arial;Helvetica;sans-serif" w:hAnsi="Arial;Helvetica;sans-serif"/>
          <w:b w:val="false"/>
          <w:i/>
          <w:caps w:val="false"/>
          <w:smallCaps w:val="false"/>
          <w:color w:val="000000"/>
          <w:sz w:val="16"/>
        </w:rPr>
        <w:t>Summary Compensation Table</w:t>
      </w:r>
      <w:r>
        <w:rPr>
          <w:rFonts w:ascii="Arial;Helvetica;sans-serif" w:hAnsi="Arial;Helvetica;sans-serif"/>
          <w:b w:val="false"/>
          <w:i w:val="false"/>
          <w:caps w:val="false"/>
          <w:smallCaps w:val="false"/>
          <w:color w:val="000000"/>
          <w:spacing w:val="-1"/>
          <w:sz w:val="16"/>
        </w:rPr>
        <w:t>” for our non-CEO NEOs for the respective years shown. The following non-CEO NEOs are included in the average figures shown: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9370" distB="0" distL="76200" distR="0" simplePos="0" locked="0" layoutInCell="1" allowOverlap="1" relativeHeight="865">
                <wp:simplePos x="0" y="0"/>
                <wp:positionH relativeFrom="column">
                  <wp:align>left</wp:align>
                </wp:positionH>
                <wp:positionV relativeFrom="line">
                  <wp:align>top</wp:align>
                </wp:positionV>
                <wp:extent cx="254000" cy="350520"/>
                <wp:effectExtent l="0" t="0" r="0" b="0"/>
                <wp:wrapSquare wrapText="right"/>
                <wp:docPr id="844"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1pt;mso-wrap-distance-bottom:0pt;margin-top:3.1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2025: Erik C. Aldag, D.J. Monagle, III, Brett Argirakis, Jonathan J. Hastings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2024: Erik C. Aldag, D.J. Monagle, III, Brett Argirakis, Jonathan J. Hastings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2023: Erik C. Aldag, D.J. Monagle, III, Jonathan J. Hastings, Brett Argirakis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2022: Eric C. Aldag, D.J. Monagle, III, Jonathan J. Hastings, Thomas J. Meek, Matthew E. Garth</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2021: Matthew E. Garth, D.J. Monagle, III, Jonathan J. Hastings, Thomas J. Meek</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60" w:after="0"/>
        <w:ind w:left="154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6"/>
        </w:rPr>
        <w:t>Compensation Actually Paid” to our non-CEO NEOs (the persons set forth in note (3) above) in each of the respective years shown reflects the respective amounts set forth in column (c) of the table above, adjusted as set forth below in Reconciliation of Summary Compensation Table to Compensation Actually Paid, in accordance with SEC rules.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66">
                <wp:simplePos x="0" y="0"/>
                <wp:positionH relativeFrom="column">
                  <wp:align>left</wp:align>
                </wp:positionH>
                <wp:positionV relativeFrom="line">
                  <wp:align>top</wp:align>
                </wp:positionV>
                <wp:extent cx="254000" cy="350520"/>
                <wp:effectExtent l="0" t="0" r="0" b="0"/>
                <wp:wrapSquare wrapText="right"/>
                <wp:docPr id="845"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Represents the cumulative total shareholder return (TSR) of a $100 investment in the Company from the beginning of fiscal year 2021 through December 31 of each of 2025, 2024, 2023, 2022, and 2021, respectively. TSR includes share price appreciation and assumes dividend reinvestment.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67">
                <wp:simplePos x="0" y="0"/>
                <wp:positionH relativeFrom="column">
                  <wp:align>left</wp:align>
                </wp:positionH>
                <wp:positionV relativeFrom="line">
                  <wp:align>top</wp:align>
                </wp:positionV>
                <wp:extent cx="254000" cy="350520"/>
                <wp:effectExtent l="0" t="0" r="0" b="0"/>
                <wp:wrapSquare wrapText="right"/>
                <wp:docPr id="846"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Represents the cumulative TSR of a $100 investment in the group of companies used by the Company for reference in setting overall compensation for our executives (“Peer Group TSR”) from the beginning of fiscal year 2021 through December 31 of each of 2025, 2024, 2023, 2022, and 2021 respectively. The specific companies constituting such peer group in each year is set forth in the Compensation Discussion &amp; Analysis section of the proxy statement reporting pay for such fiscal year. TSR includes share price appreciation and assumes dividend reinvestment and is weighted accordingly to the respective companies’ stock market capitalization at the beginning of each period for which a return is indicated.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68">
                <wp:simplePos x="0" y="0"/>
                <wp:positionH relativeFrom="column">
                  <wp:align>left</wp:align>
                </wp:positionH>
                <wp:positionV relativeFrom="line">
                  <wp:align>top</wp:align>
                </wp:positionV>
                <wp:extent cx="254000" cy="350520"/>
                <wp:effectExtent l="0" t="0" r="0" b="0"/>
                <wp:wrapSquare wrapText="right"/>
                <wp:docPr id="847"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(6)</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Reflects “Consolidated Net Income” in the company’s Consolidated Income Statements included in the Company’s Annual Reports on Form 10-K for each of the years ended December 31, 2025, 2024, 2023, 2022, and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69">
                <wp:simplePos x="0" y="0"/>
                <wp:positionH relativeFrom="column">
                  <wp:align>left</wp:align>
                </wp:positionH>
                <wp:positionV relativeFrom="line">
                  <wp:align>top</wp:align>
                </wp:positionV>
                <wp:extent cx="254000" cy="350520"/>
                <wp:effectExtent l="0" t="0" r="0" b="0"/>
                <wp:wrapSquare wrapText="right"/>
                <wp:docPr id="848"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(7)</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Reflects “Adjusted Net Income” for each of the years ended December 31, 2025, 2024, 2023, 2022, and 2021 which is Net Income, excluding special items, which is a non-GAAP measure. Adjusted Net Income is a supplemental non-GAAP measure that we believe provides meaningful supplemental information regarding our performance, as Consolidated Net Income includes special items that are not indicative of the ongoing operating results and thereby affect the comparability of results between periods. See </w:t>
      </w:r>
      <w:r>
        <w:rPr>
          <w:rFonts w:ascii="Arial;Helvetica;sans-serif" w:hAnsi="Arial;Helvetica;sans-serif"/>
          <w:b w:val="false"/>
          <w:i/>
          <w:caps w:val="false"/>
          <w:smallCaps w:val="false"/>
          <w:color w:val="000000"/>
          <w:sz w:val="16"/>
        </w:rPr>
        <w:t>Appendix A</w:t>
      </w:r>
      <w:r>
        <w:rPr>
          <w:rFonts w:ascii="Arial;Helvetica;sans-serif" w:hAnsi="Arial;Helvetica;sans-serif"/>
          <w:b w:val="false"/>
          <w:i w:val="false"/>
          <w:caps w:val="false"/>
          <w:smallCaps w:val="false"/>
          <w:color w:val="000000"/>
          <w:spacing w:val="-1"/>
          <w:sz w:val="16"/>
        </w:rPr>
        <w:t xml:space="preserve"> for a reconciliation to GAAP Consolidated Net Income.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70">
                <wp:simplePos x="0" y="0"/>
                <wp:positionH relativeFrom="column">
                  <wp:align>left</wp:align>
                </wp:positionH>
                <wp:positionV relativeFrom="line">
                  <wp:align>top</wp:align>
                </wp:positionV>
                <wp:extent cx="254000" cy="350520"/>
                <wp:effectExtent l="0" t="0" r="0" b="0"/>
                <wp:wrapSquare wrapText="right"/>
                <wp:docPr id="849"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(8)</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 xml:space="preserve">Company-selected measure is Adjusted Operating Income, excluding special items, which is a non-GAAP financial measure. See </w:t>
      </w:r>
      <w:r>
        <w:rPr>
          <w:rFonts w:ascii="Arial;Helvetica;sans-serif" w:hAnsi="Arial;Helvetica;sans-serif"/>
          <w:b w:val="false"/>
          <w:i/>
          <w:caps w:val="false"/>
          <w:smallCaps w:val="false"/>
          <w:color w:val="000000"/>
          <w:sz w:val="16"/>
        </w:rPr>
        <w:t>Appendix A</w:t>
      </w:r>
      <w:r>
        <w:rPr>
          <w:rFonts w:ascii="Arial;Helvetica;sans-serif" w:hAnsi="Arial;Helvetica;sans-serif"/>
          <w:b w:val="false"/>
          <w:i w:val="false"/>
          <w:caps w:val="false"/>
          <w:smallCaps w:val="false"/>
          <w:color w:val="000000"/>
          <w:spacing w:val="-1"/>
          <w:sz w:val="16"/>
        </w:rPr>
        <w:t xml:space="preserve"> for a reconciliation to GAAP Operating Income.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76200" distR="0" simplePos="0" locked="0" layoutInCell="1" allowOverlap="1" relativeHeight="871">
                <wp:simplePos x="0" y="0"/>
                <wp:positionH relativeFrom="column">
                  <wp:align>left</wp:align>
                </wp:positionH>
                <wp:positionV relativeFrom="line">
                  <wp:align>top</wp:align>
                </wp:positionV>
                <wp:extent cx="254000" cy="350520"/>
                <wp:effectExtent l="0" t="0" r="0" b="0"/>
                <wp:wrapSquare wrapText="right"/>
                <wp:docPr id="850"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3pt;mso-wrap-distance-bottom:0pt;margin-top:3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(9)</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10" w:before="228" w:after="283"/>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RECONCILIATION OF SUMMARY COMPENSATION TABLE TO COMPENSATION ACTUALLY PAID</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0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SEC rules require certain adjustments be made to the Summary Compensation Table totals to determine CAP as reported in the “</w:t>
      </w:r>
      <w:r>
        <w:rPr>
          <w:rFonts w:ascii="Arial;Helvetica;sans-serif" w:hAnsi="Arial;Helvetica;sans-serif"/>
          <w:b w:val="false"/>
          <w:i/>
          <w:caps w:val="false"/>
          <w:smallCaps w:val="false"/>
          <w:color w:val="000000"/>
          <w:sz w:val="18"/>
        </w:rPr>
        <w:t>Pay Versus Performance Table</w:t>
      </w:r>
      <w:r>
        <w:rPr>
          <w:rFonts w:ascii="Arial;Helvetica;sans-serif" w:hAnsi="Arial;Helvetica;sans-serif"/>
          <w:b w:val="false"/>
          <w:i w:val="false"/>
          <w:caps w:val="false"/>
          <w:smallCaps w:val="false"/>
          <w:color w:val="000000"/>
          <w:spacing w:val="-1"/>
          <w:sz w:val="18"/>
        </w:rPr>
        <w:t>” above. The CAP amounts do not reflect the actual amount of compensation earned by or paid to our executives during the applicable years, but rather are amounts determined in accordance with Item 402(v) of Regulation 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details the applicable adjustments that were made to determine CAP (all amounts for the NEOs other than the CEO are averages):</w:t>
      </w:r>
      <w:r>
        <w:rPr>
          <w:rFonts w:ascii="Arial;Helvetica;sans-serif" w:hAnsi="Arial;Helvetica;sans-serif"/>
          <w:b w:val="false"/>
          <w:i w:val="false"/>
          <w:caps w:val="false"/>
          <w:smallCaps w:val="false"/>
          <w:color w:val="000000"/>
          <w:spacing w:val="4"/>
          <w:sz w:val="18"/>
        </w:rPr>
        <w:t xml:space="preserve"> </w:t>
      </w:r>
    </w:p>
    <w:tbl>
      <w:tblPr>
        <w:tblW w:w="12144" w:type="dxa"/>
        <w:jc w:val="left"/>
        <w:tblInd w:w="1020" w:type="dxa"/>
        <w:tblLayout w:type="fixed"/>
        <w:tblCellMar>
          <w:top w:w="0" w:type="dxa"/>
          <w:left w:w="0" w:type="dxa"/>
          <w:bottom w:w="28" w:type="dxa"/>
          <w:right w:w="0" w:type="dxa"/>
        </w:tblCellMar>
      </w:tblPr>
      <w:tblGrid>
        <w:gridCol w:w="124"/>
        <w:gridCol w:w="1090"/>
        <w:gridCol w:w="109"/>
        <w:gridCol w:w="109"/>
        <w:gridCol w:w="109"/>
        <w:gridCol w:w="109"/>
        <w:gridCol w:w="586"/>
        <w:gridCol w:w="109"/>
        <w:gridCol w:w="109"/>
        <w:gridCol w:w="109"/>
        <w:gridCol w:w="115"/>
        <w:gridCol w:w="115"/>
        <w:gridCol w:w="1125"/>
        <w:gridCol w:w="116"/>
        <w:gridCol w:w="109"/>
        <w:gridCol w:w="109"/>
        <w:gridCol w:w="109"/>
        <w:gridCol w:w="109"/>
        <w:gridCol w:w="1066"/>
        <w:gridCol w:w="109"/>
        <w:gridCol w:w="109"/>
        <w:gridCol w:w="109"/>
        <w:gridCol w:w="109"/>
        <w:gridCol w:w="109"/>
        <w:gridCol w:w="1066"/>
        <w:gridCol w:w="109"/>
        <w:gridCol w:w="109"/>
        <w:gridCol w:w="109"/>
        <w:gridCol w:w="109"/>
        <w:gridCol w:w="109"/>
        <w:gridCol w:w="961"/>
        <w:gridCol w:w="109"/>
        <w:gridCol w:w="109"/>
        <w:gridCol w:w="109"/>
        <w:gridCol w:w="131"/>
        <w:gridCol w:w="131"/>
        <w:gridCol w:w="925"/>
        <w:gridCol w:w="134"/>
        <w:gridCol w:w="109"/>
        <w:gridCol w:w="109"/>
        <w:gridCol w:w="115"/>
        <w:gridCol w:w="115"/>
        <w:gridCol w:w="1125"/>
        <w:gridCol w:w="116"/>
        <w:gridCol w:w="154"/>
      </w:tblGrid>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1090" w:type="dxa"/>
            <w:tcBorders>
              <w:bottom w:val="single" w:sz="6" w:space="0" w:color="002F56"/>
            </w:tcBorders>
            <w:shd w:fill="002F56" w:val="clear"/>
            <w:vAlign w:val="center"/>
          </w:tcPr>
          <w:p>
            <w:pPr>
              <w:pStyle w:val="TableContents"/>
              <w:bidi w:val="0"/>
              <w:spacing w:before="0" w:after="0"/>
              <w:jc w:val="left"/>
              <w:rPr>
                <w:spacing w:val="0"/>
              </w:rPr>
            </w:pPr>
            <w:r>
              <w:rPr>
                <w:spacing w:val="0"/>
              </w:rPr>
              <w:t xml:space="preserve">Executive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913" w:type="dxa"/>
            <w:gridSpan w:val="4"/>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Fiscal </w:t>
              <w:br/>
              <w:t xml:space="preserve">Year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71"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Reported </w:t>
              <w:br/>
              <w:t xml:space="preserve">Summary </w:t>
              <w:br/>
              <w:t xml:space="preserve">Compensation </w:t>
              <w:br/>
              <w:t>Table Total</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42" w:before="0" w:after="0"/>
              <w:jc w:val="center"/>
              <w:rPr/>
            </w:pPr>
            <w:r>
              <w:rPr>
                <w:i/>
              </w:rPr>
              <w:t>Deduct:</w:t>
            </w:r>
            <w:r>
              <w:rPr/>
              <w:t xml:space="preserve"> </w:t>
              <w:br/>
            </w:r>
            <w:r>
              <w:rPr>
                <w:spacing w:val="0"/>
              </w:rPr>
              <w:t xml:space="preserve">Reported Value </w:t>
              <w:br/>
              <w:t xml:space="preserve">of Equity </w:t>
              <w:br/>
              <w:t>Awards</w:t>
            </w:r>
            <w:r>
              <w:rPr>
                <w:spacing w:val="-1"/>
                <w:sz w:val="9"/>
              </w:rPr>
              <w:t>(1)</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lineRule="atLeast" w:line="142" w:before="0" w:after="0"/>
              <w:jc w:val="center"/>
              <w:rPr/>
            </w:pPr>
            <w:r>
              <w:rPr>
                <w:i/>
              </w:rPr>
              <w:t>Add:</w:t>
            </w:r>
            <w:r>
              <w:rPr/>
              <w:t xml:space="preserve"> </w:t>
              <w:br/>
            </w:r>
            <w:r>
              <w:rPr>
                <w:spacing w:val="0"/>
              </w:rPr>
              <w:t xml:space="preserve">Equity Award </w:t>
              <w:br/>
              <w:t>Adjustments</w:t>
            </w:r>
            <w:r>
              <w:rPr>
                <w:spacing w:val="-1"/>
                <w:sz w:val="9"/>
              </w:rPr>
              <w:t>(2)</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88" w:type="dxa"/>
            <w:gridSpan w:val="4"/>
            <w:tcBorders>
              <w:bottom w:val="single" w:sz="6" w:space="0" w:color="002F56"/>
            </w:tcBorders>
            <w:shd w:fill="002F56" w:val="clear"/>
            <w:vAlign w:val="center"/>
          </w:tcPr>
          <w:p>
            <w:pPr>
              <w:pStyle w:val="TableContents"/>
              <w:bidi w:val="0"/>
              <w:spacing w:lineRule="atLeast" w:line="142" w:before="0" w:after="0"/>
              <w:jc w:val="center"/>
              <w:rPr/>
            </w:pPr>
            <w:r>
              <w:rPr>
                <w:i/>
              </w:rPr>
              <w:t>Deduct:</w:t>
            </w:r>
            <w:r>
              <w:rPr/>
              <w:t xml:space="preserve"> </w:t>
              <w:br/>
            </w:r>
            <w:r>
              <w:rPr>
                <w:spacing w:val="0"/>
              </w:rPr>
              <w:t xml:space="preserve">Reported Change in the </w:t>
              <w:br/>
              <w:t xml:space="preserve">Actuarial Present Value </w:t>
              <w:br/>
              <w:t>of Pension Benefits</w:t>
            </w:r>
            <w:r>
              <w:rPr>
                <w:spacing w:val="-1"/>
                <w:sz w:val="9"/>
              </w:rPr>
              <w:t>(3)</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21" w:type="dxa"/>
            <w:gridSpan w:val="4"/>
            <w:tcBorders>
              <w:bottom w:val="single" w:sz="6" w:space="0" w:color="002F56"/>
            </w:tcBorders>
            <w:shd w:fill="002F56" w:val="clear"/>
            <w:vAlign w:val="center"/>
          </w:tcPr>
          <w:p>
            <w:pPr>
              <w:pStyle w:val="TableContents"/>
              <w:bidi w:val="0"/>
              <w:spacing w:lineRule="atLeast" w:line="142" w:before="0" w:after="0"/>
              <w:jc w:val="center"/>
              <w:rPr/>
            </w:pPr>
            <w:r>
              <w:rPr>
                <w:i/>
              </w:rPr>
              <w:t>Add:</w:t>
            </w:r>
            <w:r>
              <w:rPr/>
              <w:t xml:space="preserve"> </w:t>
              <w:br/>
            </w:r>
            <w:r>
              <w:rPr>
                <w:spacing w:val="0"/>
              </w:rPr>
              <w:t xml:space="preserve">Pension Benefit </w:t>
              <w:br/>
              <w:t>Adjustments</w:t>
            </w:r>
            <w:r>
              <w:rPr>
                <w:spacing w:val="-1"/>
                <w:sz w:val="9"/>
              </w:rPr>
              <w:t>(4)</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71"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Compensation </w:t>
              <w:br/>
              <w:t>Actually Paid</w:t>
            </w:r>
            <w:r>
              <w:rPr/>
              <w:t xml:space="preserve"> </w:t>
              <w:br/>
            </w:r>
            <w:r>
              <w:rPr>
                <w:spacing w:val="-2"/>
              </w:rPr>
              <w:t xml:space="preserve">($) </w:t>
            </w:r>
          </w:p>
        </w:tc>
        <w:tc>
          <w:tcPr>
            <w:tcW w:w="154"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090" w:type="dxa"/>
            <w:vMerge w:val="restart"/>
            <w:tcBorders>
              <w:bottom w:val="single" w:sz="2" w:space="0" w:color="002F56"/>
            </w:tcBorders>
            <w:tcMar>
              <w:bottom w:w="56" w:type="dxa"/>
            </w:tcMar>
            <w:vAlign w:val="center"/>
          </w:tcPr>
          <w:p>
            <w:pPr>
              <w:pStyle w:val="TableContents"/>
              <w:bidi w:val="0"/>
              <w:spacing w:lineRule="atLeast" w:line="188" w:before="0" w:after="0"/>
              <w:jc w:val="left"/>
              <w:rPr>
                <w:spacing w:val="-1"/>
              </w:rPr>
            </w:pPr>
            <w:r>
              <w:rPr>
                <w:spacing w:val="-1"/>
              </w:rPr>
              <w:t xml:space="preserve">CEO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lineRule="atLeast" w:line="188" w:before="0" w:after="283"/>
              <w:jc w:val="right"/>
              <w:rPr/>
            </w:pPr>
            <w:r>
              <w:rPr/>
              <w:t>7,405,693</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3,078,825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1,709,922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lineRule="atLeast" w:line="188" w:before="0" w:after="283"/>
              <w:jc w:val="right"/>
              <w:rPr/>
            </w:pPr>
            <w:r>
              <w:rPr/>
              <w:t>319,549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lineRule="atLeast" w:line="188" w:before="0" w:after="283"/>
              <w:jc w:val="right"/>
              <w:rPr/>
            </w:pPr>
            <w:r>
              <w:rPr/>
              <w:t>83,168</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lineRule="atLeast" w:line="188" w:before="0" w:after="283"/>
              <w:jc w:val="right"/>
              <w:rPr/>
            </w:pPr>
            <w:r>
              <w:rPr/>
              <w:t>5,800,409</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7,907,030</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2,923,868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3,123,471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(180,815)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before="0" w:after="283"/>
              <w:jc w:val="right"/>
              <w:rPr/>
            </w:pPr>
            <w:r>
              <w:rPr/>
              <w:t>73,499</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8,360,947</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8,355,252</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3,644,434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4,578,216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413,206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before="0" w:after="283"/>
              <w:jc w:val="right"/>
              <w:rPr/>
            </w:pPr>
            <w:r>
              <w:rPr/>
              <w:t>76,518</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8,952,346</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7,439,476</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3,193,769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2,289,319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366,896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before="0" w:after="283"/>
              <w:jc w:val="right"/>
              <w:rPr/>
            </w:pPr>
            <w:r>
              <w:rPr/>
              <w:t>77,160</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6,245,290</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5" w:type="dxa"/>
            <w:tcBorders>
              <w:bottom w:val="single" w:sz="6" w:space="0" w:color="002F56"/>
            </w:tcBorders>
            <w:vAlign w:val="center"/>
          </w:tcPr>
          <w:p>
            <w:pPr>
              <w:pStyle w:val="TableContents"/>
              <w:bidi w:val="0"/>
              <w:spacing w:before="0" w:after="283"/>
              <w:jc w:val="left"/>
              <w:rPr/>
            </w:pPr>
            <w:r>
              <w:rPr/>
              <w:t>​</w:t>
            </w:r>
          </w:p>
        </w:tc>
        <w:tc>
          <w:tcPr>
            <w:tcW w:w="115" w:type="dxa"/>
            <w:tcBorders>
              <w:bottom w:val="single" w:sz="6" w:space="0" w:color="002F56"/>
            </w:tcBorders>
            <w:tcMar>
              <w:bottom w:w="49" w:type="dxa"/>
            </w:tcMar>
            <w:vAlign w:val="center"/>
          </w:tcPr>
          <w:p>
            <w:pPr>
              <w:pStyle w:val="TableContents"/>
              <w:bidi w:val="0"/>
              <w:spacing w:before="0" w:after="283"/>
              <w:jc w:val="right"/>
              <w:rPr/>
            </w:pPr>
            <w:r>
              <w:rPr/>
              <w:t>​</w:t>
            </w:r>
          </w:p>
        </w:tc>
        <w:tc>
          <w:tcPr>
            <w:tcW w:w="1125" w:type="dxa"/>
            <w:tcBorders>
              <w:bottom w:val="single" w:sz="6" w:space="0" w:color="002F56"/>
            </w:tcBorders>
            <w:tcMar>
              <w:bottom w:w="49" w:type="dxa"/>
            </w:tcMar>
            <w:vAlign w:val="center"/>
          </w:tcPr>
          <w:p>
            <w:pPr>
              <w:pStyle w:val="TableContents"/>
              <w:bidi w:val="0"/>
              <w:spacing w:before="0" w:after="283"/>
              <w:jc w:val="right"/>
              <w:rPr/>
            </w:pPr>
            <w:r>
              <w:rPr/>
              <w:t>7,085,896</w:t>
            </w:r>
          </w:p>
        </w:tc>
        <w:tc>
          <w:tcPr>
            <w:tcW w:w="116"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2,880,003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3,906,225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961" w:type="dxa"/>
            <w:tcBorders>
              <w:bottom w:val="single" w:sz="6" w:space="0" w:color="002F56"/>
            </w:tcBorders>
            <w:tcMar>
              <w:bottom w:w="49" w:type="dxa"/>
            </w:tcMar>
            <w:vAlign w:val="center"/>
          </w:tcPr>
          <w:p>
            <w:pPr>
              <w:pStyle w:val="TableContents"/>
              <w:bidi w:val="0"/>
              <w:spacing w:before="0" w:after="283"/>
              <w:jc w:val="right"/>
              <w:rPr/>
            </w:pPr>
            <w:r>
              <w:rPr/>
              <w:t>47,892</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1" w:type="dxa"/>
            <w:tcBorders>
              <w:bottom w:val="single" w:sz="6" w:space="0" w:color="002F56"/>
            </w:tcBorders>
            <w:vAlign w:val="center"/>
          </w:tcPr>
          <w:p>
            <w:pPr>
              <w:pStyle w:val="TableContents"/>
              <w:bidi w:val="0"/>
              <w:spacing w:before="0" w:after="283"/>
              <w:jc w:val="left"/>
              <w:rPr/>
            </w:pPr>
            <w:r>
              <w:rPr/>
              <w:t>​</w:t>
            </w:r>
          </w:p>
        </w:tc>
        <w:tc>
          <w:tcPr>
            <w:tcW w:w="131" w:type="dxa"/>
            <w:tcBorders>
              <w:bottom w:val="single" w:sz="6" w:space="0" w:color="002F56"/>
            </w:tcBorders>
            <w:tcMar>
              <w:bottom w:w="49" w:type="dxa"/>
            </w:tcMar>
            <w:vAlign w:val="center"/>
          </w:tcPr>
          <w:p>
            <w:pPr>
              <w:pStyle w:val="TableContents"/>
              <w:bidi w:val="0"/>
              <w:spacing w:before="0" w:after="283"/>
              <w:jc w:val="right"/>
              <w:rPr/>
            </w:pPr>
            <w:r>
              <w:rPr/>
              <w:t>​</w:t>
            </w:r>
          </w:p>
        </w:tc>
        <w:tc>
          <w:tcPr>
            <w:tcW w:w="925" w:type="dxa"/>
            <w:tcBorders>
              <w:bottom w:val="single" w:sz="6" w:space="0" w:color="002F56"/>
            </w:tcBorders>
            <w:tcMar>
              <w:bottom w:w="49" w:type="dxa"/>
            </w:tcMar>
            <w:vAlign w:val="center"/>
          </w:tcPr>
          <w:p>
            <w:pPr>
              <w:pStyle w:val="TableContents"/>
              <w:bidi w:val="0"/>
              <w:spacing w:before="0" w:after="283"/>
              <w:jc w:val="right"/>
              <w:rPr/>
            </w:pPr>
            <w:r>
              <w:rPr/>
              <w:t>83,949</w:t>
            </w:r>
          </w:p>
        </w:tc>
        <w:tc>
          <w:tcPr>
            <w:tcW w:w="134"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5" w:type="dxa"/>
            <w:tcBorders>
              <w:bottom w:val="single" w:sz="6" w:space="0" w:color="002F56"/>
            </w:tcBorders>
            <w:vAlign w:val="center"/>
          </w:tcPr>
          <w:p>
            <w:pPr>
              <w:pStyle w:val="TableContents"/>
              <w:bidi w:val="0"/>
              <w:spacing w:before="0" w:after="283"/>
              <w:jc w:val="left"/>
              <w:rPr/>
            </w:pPr>
            <w:r>
              <w:rPr/>
              <w:t>​</w:t>
            </w:r>
          </w:p>
        </w:tc>
        <w:tc>
          <w:tcPr>
            <w:tcW w:w="115" w:type="dxa"/>
            <w:tcBorders>
              <w:bottom w:val="single" w:sz="6" w:space="0" w:color="002F56"/>
            </w:tcBorders>
            <w:tcMar>
              <w:bottom w:w="49" w:type="dxa"/>
            </w:tcMar>
            <w:vAlign w:val="center"/>
          </w:tcPr>
          <w:p>
            <w:pPr>
              <w:pStyle w:val="TableContents"/>
              <w:bidi w:val="0"/>
              <w:spacing w:before="0" w:after="283"/>
              <w:jc w:val="right"/>
              <w:rPr/>
            </w:pPr>
            <w:r>
              <w:rPr/>
              <w:t>​</w:t>
            </w:r>
          </w:p>
        </w:tc>
        <w:tc>
          <w:tcPr>
            <w:tcW w:w="1125" w:type="dxa"/>
            <w:tcBorders>
              <w:bottom w:val="single" w:sz="6" w:space="0" w:color="002F56"/>
            </w:tcBorders>
            <w:tcMar>
              <w:bottom w:w="49" w:type="dxa"/>
            </w:tcMar>
            <w:vAlign w:val="center"/>
          </w:tcPr>
          <w:p>
            <w:pPr>
              <w:pStyle w:val="TableContents"/>
              <w:bidi w:val="0"/>
              <w:spacing w:before="0" w:after="283"/>
              <w:jc w:val="right"/>
              <w:rPr/>
            </w:pPr>
            <w:r>
              <w:rPr/>
              <w:t>8,148,175</w:t>
            </w:r>
          </w:p>
        </w:tc>
        <w:tc>
          <w:tcPr>
            <w:tcW w:w="116"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090" w:type="dxa"/>
            <w:vMerge w:val="restart"/>
            <w:tcBorders>
              <w:bottom w:val="single" w:sz="12" w:space="0" w:color="71B1C8"/>
            </w:tcBorders>
            <w:tcMar>
              <w:bottom w:w="49" w:type="dxa"/>
            </w:tcMar>
            <w:vAlign w:val="center"/>
          </w:tcPr>
          <w:p>
            <w:pPr>
              <w:pStyle w:val="TableContents"/>
              <w:bidi w:val="0"/>
              <w:spacing w:lineRule="atLeast" w:line="188" w:before="0" w:after="0"/>
              <w:jc w:val="left"/>
              <w:rPr>
                <w:spacing w:val="-1"/>
              </w:rPr>
            </w:pPr>
            <w:r>
              <w:rPr>
                <w:spacing w:val="-1"/>
              </w:rPr>
              <w:t xml:space="preserve">Non-CEO Named Executive Officers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lineRule="atLeast" w:line="188" w:before="0" w:after="283"/>
              <w:jc w:val="right"/>
              <w:rPr/>
            </w:pPr>
            <w:r>
              <w:rPr/>
              <w:t>2,589,098</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892,696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511,170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lineRule="atLeast" w:line="188" w:before="0" w:after="283"/>
              <w:jc w:val="right"/>
              <w:rPr/>
            </w:pPr>
            <w:r>
              <w:rPr/>
              <w:t>149,840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lineRule="atLeast" w:line="188" w:before="0" w:after="283"/>
              <w:jc w:val="right"/>
              <w:rPr/>
            </w:pPr>
            <w:r>
              <w:rPr/>
              <w:t>9,677</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lineRule="atLeast" w:line="188" w:before="0" w:after="283"/>
              <w:jc w:val="right"/>
              <w:rPr/>
            </w:pPr>
            <w:r>
              <w:rPr/>
              <w:t xml:space="preserve">2,067,409 </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2,665,258</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822,630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884,301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36,545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before="0" w:after="283"/>
              <w:jc w:val="right"/>
              <w:rPr/>
            </w:pPr>
            <w:r>
              <w:rPr/>
              <w:t>9,794</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2,700,178</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2,515,894</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907,850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1,115,584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140,946</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before="0" w:after="283"/>
              <w:jc w:val="right"/>
              <w:rPr/>
            </w:pPr>
            <w:r>
              <w:rPr/>
              <w:t>9,370</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2,592,052</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1,926,529</w:t>
            </w:r>
          </w:p>
        </w:tc>
        <w:tc>
          <w:tcPr>
            <w:tcW w:w="116"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784,613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232,604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37,104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vAlign w:val="center"/>
          </w:tcPr>
          <w:p>
            <w:pPr>
              <w:pStyle w:val="TableContents"/>
              <w:bidi w:val="0"/>
              <w:spacing w:before="0" w:after="283"/>
              <w:jc w:val="left"/>
              <w:rPr/>
            </w:pPr>
            <w:r>
              <w:rPr/>
              <w:t>​</w:t>
            </w:r>
          </w:p>
        </w:tc>
        <w:tc>
          <w:tcPr>
            <w:tcW w:w="131" w:type="dxa"/>
            <w:tcBorders>
              <w:bottom w:val="single" w:sz="6" w:space="0" w:color="CCCCCC"/>
            </w:tcBorders>
            <w:tcMar>
              <w:bottom w:w="56" w:type="dxa"/>
            </w:tcMar>
            <w:vAlign w:val="center"/>
          </w:tcPr>
          <w:p>
            <w:pPr>
              <w:pStyle w:val="TableContents"/>
              <w:bidi w:val="0"/>
              <w:spacing w:before="0" w:after="283"/>
              <w:jc w:val="right"/>
              <w:rPr/>
            </w:pPr>
            <w:r>
              <w:rPr/>
              <w:t>​</w:t>
            </w:r>
          </w:p>
        </w:tc>
        <w:tc>
          <w:tcPr>
            <w:tcW w:w="925" w:type="dxa"/>
            <w:tcBorders>
              <w:bottom w:val="single" w:sz="6" w:space="0" w:color="CCCCCC"/>
            </w:tcBorders>
            <w:tcMar>
              <w:bottom w:w="56" w:type="dxa"/>
            </w:tcMar>
            <w:vAlign w:val="center"/>
          </w:tcPr>
          <w:p>
            <w:pPr>
              <w:pStyle w:val="TableContents"/>
              <w:bidi w:val="0"/>
              <w:spacing w:before="0" w:after="283"/>
              <w:jc w:val="right"/>
              <w:rPr/>
            </w:pPr>
            <w:r>
              <w:rPr/>
              <w:t>14,404</w:t>
            </w:r>
          </w:p>
        </w:tc>
        <w:tc>
          <w:tcPr>
            <w:tcW w:w="13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vAlign w:val="center"/>
          </w:tcPr>
          <w:p>
            <w:pPr>
              <w:pStyle w:val="TableContents"/>
              <w:bidi w:val="0"/>
              <w:spacing w:before="0" w:after="283"/>
              <w:jc w:val="left"/>
              <w:rPr/>
            </w:pPr>
            <w:r>
              <w:rPr/>
              <w:t>​</w:t>
            </w:r>
          </w:p>
        </w:tc>
        <w:tc>
          <w:tcPr>
            <w:tcW w:w="115" w:type="dxa"/>
            <w:tcBorders>
              <w:bottom w:val="single" w:sz="6" w:space="0" w:color="CCCCCC"/>
            </w:tcBorders>
            <w:tcMar>
              <w:bottom w:w="56" w:type="dxa"/>
            </w:tcMar>
            <w:vAlign w:val="center"/>
          </w:tcPr>
          <w:p>
            <w:pPr>
              <w:pStyle w:val="TableContents"/>
              <w:bidi w:val="0"/>
              <w:spacing w:before="0" w:after="283"/>
              <w:jc w:val="right"/>
              <w:rPr/>
            </w:pPr>
            <w:r>
              <w:rPr/>
              <w:t>​</w:t>
            </w:r>
          </w:p>
        </w:tc>
        <w:tc>
          <w:tcPr>
            <w:tcW w:w="1125" w:type="dxa"/>
            <w:tcBorders>
              <w:bottom w:val="single" w:sz="6" w:space="0" w:color="CCCCCC"/>
            </w:tcBorders>
            <w:tcMar>
              <w:bottom w:w="56" w:type="dxa"/>
            </w:tcMar>
            <w:vAlign w:val="center"/>
          </w:tcPr>
          <w:p>
            <w:pPr>
              <w:pStyle w:val="TableContents"/>
              <w:bidi w:val="0"/>
              <w:spacing w:before="0" w:after="283"/>
              <w:jc w:val="right"/>
              <w:rPr/>
            </w:pPr>
            <w:r>
              <w:rPr/>
              <w:t>1,351,820</w:t>
            </w:r>
          </w:p>
        </w:tc>
        <w:tc>
          <w:tcPr>
            <w:tcW w:w="116"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586" w:type="dxa"/>
            <w:tcBorders>
              <w:bottom w:val="single" w:sz="12" w:space="0" w:color="71B1C8"/>
            </w:tcBorders>
            <w:tcMar>
              <w:bottom w:w="47" w:type="dxa"/>
            </w:tcMar>
            <w:vAlign w:val="center"/>
          </w:tcPr>
          <w:p>
            <w:pPr>
              <w:pStyle w:val="TableContents"/>
              <w:bidi w:val="0"/>
              <w:spacing w:before="0" w:after="283"/>
              <w:jc w:val="right"/>
              <w:rPr/>
            </w:pPr>
            <w:r>
              <w:rPr/>
              <w:t>2021</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tcMar>
              <w:bottom w:w="47" w:type="dxa"/>
            </w:tcMar>
            <w:vAlign w:val="center"/>
          </w:tcPr>
          <w:p>
            <w:pPr>
              <w:pStyle w:val="TableContents"/>
              <w:bidi w:val="0"/>
              <w:spacing w:before="0" w:after="283"/>
              <w:jc w:val="right"/>
              <w:rPr/>
            </w:pPr>
            <w:r>
              <w:rPr/>
              <w:t>​</w:t>
            </w:r>
          </w:p>
        </w:tc>
        <w:tc>
          <w:tcPr>
            <w:tcW w:w="1125" w:type="dxa"/>
            <w:tcBorders>
              <w:bottom w:val="single" w:sz="12" w:space="0" w:color="71B1C8"/>
            </w:tcBorders>
            <w:tcMar>
              <w:bottom w:w="47" w:type="dxa"/>
            </w:tcMar>
            <w:vAlign w:val="center"/>
          </w:tcPr>
          <w:p>
            <w:pPr>
              <w:pStyle w:val="TableContents"/>
              <w:bidi w:val="0"/>
              <w:spacing w:before="0" w:after="283"/>
              <w:jc w:val="right"/>
              <w:rPr/>
            </w:pPr>
            <w:r>
              <w:rPr/>
              <w:t>2,513,207</w:t>
            </w:r>
          </w:p>
        </w:tc>
        <w:tc>
          <w:tcPr>
            <w:tcW w:w="116"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839,071</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1,169,933</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961" w:type="dxa"/>
            <w:tcBorders>
              <w:bottom w:val="single" w:sz="12" w:space="0" w:color="71B1C8"/>
            </w:tcBorders>
            <w:tcMar>
              <w:bottom w:w="47" w:type="dxa"/>
            </w:tcMar>
            <w:vAlign w:val="center"/>
          </w:tcPr>
          <w:p>
            <w:pPr>
              <w:pStyle w:val="TableContents"/>
              <w:bidi w:val="0"/>
              <w:spacing w:before="0" w:after="283"/>
              <w:jc w:val="right"/>
              <w:rPr/>
            </w:pPr>
            <w:r>
              <w:rPr/>
              <w:t>13,690</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31" w:type="dxa"/>
            <w:tcBorders>
              <w:bottom w:val="single" w:sz="12" w:space="0" w:color="71B1C8"/>
            </w:tcBorders>
            <w:vAlign w:val="center"/>
          </w:tcPr>
          <w:p>
            <w:pPr>
              <w:pStyle w:val="TableContents"/>
              <w:bidi w:val="0"/>
              <w:spacing w:before="0" w:after="283"/>
              <w:jc w:val="left"/>
              <w:rPr/>
            </w:pPr>
            <w:r>
              <w:rPr/>
              <w:t>​</w:t>
            </w:r>
          </w:p>
        </w:tc>
        <w:tc>
          <w:tcPr>
            <w:tcW w:w="131" w:type="dxa"/>
            <w:tcBorders>
              <w:bottom w:val="single" w:sz="12" w:space="0" w:color="71B1C8"/>
            </w:tcBorders>
            <w:tcMar>
              <w:bottom w:w="47" w:type="dxa"/>
            </w:tcMar>
            <w:vAlign w:val="center"/>
          </w:tcPr>
          <w:p>
            <w:pPr>
              <w:pStyle w:val="TableContents"/>
              <w:bidi w:val="0"/>
              <w:spacing w:before="0" w:after="283"/>
              <w:jc w:val="right"/>
              <w:rPr/>
            </w:pPr>
            <w:r>
              <w:rPr/>
              <w:t>​</w:t>
            </w:r>
          </w:p>
        </w:tc>
        <w:tc>
          <w:tcPr>
            <w:tcW w:w="925" w:type="dxa"/>
            <w:tcBorders>
              <w:bottom w:val="single" w:sz="12" w:space="0" w:color="71B1C8"/>
            </w:tcBorders>
            <w:tcMar>
              <w:bottom w:w="47" w:type="dxa"/>
            </w:tcMar>
            <w:vAlign w:val="center"/>
          </w:tcPr>
          <w:p>
            <w:pPr>
              <w:pStyle w:val="TableContents"/>
              <w:bidi w:val="0"/>
              <w:spacing w:before="0" w:after="283"/>
              <w:jc w:val="right"/>
              <w:rPr/>
            </w:pPr>
            <w:r>
              <w:rPr/>
              <w:t>20,451</w:t>
            </w:r>
          </w:p>
        </w:tc>
        <w:tc>
          <w:tcPr>
            <w:tcW w:w="134"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vAlign w:val="center"/>
          </w:tcPr>
          <w:p>
            <w:pPr>
              <w:pStyle w:val="TableContents"/>
              <w:bidi w:val="0"/>
              <w:spacing w:before="0" w:after="283"/>
              <w:jc w:val="left"/>
              <w:rPr/>
            </w:pPr>
            <w:r>
              <w:rPr/>
              <w:t>​</w:t>
            </w:r>
          </w:p>
        </w:tc>
        <w:tc>
          <w:tcPr>
            <w:tcW w:w="115" w:type="dxa"/>
            <w:tcBorders>
              <w:bottom w:val="single" w:sz="12" w:space="0" w:color="71B1C8"/>
            </w:tcBorders>
            <w:tcMar>
              <w:bottom w:w="47" w:type="dxa"/>
            </w:tcMar>
            <w:vAlign w:val="center"/>
          </w:tcPr>
          <w:p>
            <w:pPr>
              <w:pStyle w:val="TableContents"/>
              <w:bidi w:val="0"/>
              <w:spacing w:before="0" w:after="283"/>
              <w:jc w:val="right"/>
              <w:rPr/>
            </w:pPr>
            <w:r>
              <w:rPr/>
              <w:t>​</w:t>
            </w:r>
          </w:p>
        </w:tc>
        <w:tc>
          <w:tcPr>
            <w:tcW w:w="1125" w:type="dxa"/>
            <w:tcBorders>
              <w:bottom w:val="single" w:sz="12" w:space="0" w:color="71B1C8"/>
            </w:tcBorders>
            <w:tcMar>
              <w:bottom w:w="47" w:type="dxa"/>
            </w:tcMar>
            <w:vAlign w:val="center"/>
          </w:tcPr>
          <w:p>
            <w:pPr>
              <w:pStyle w:val="TableContents"/>
              <w:bidi w:val="0"/>
              <w:spacing w:before="0" w:after="283"/>
              <w:jc w:val="right"/>
              <w:rPr/>
            </w:pPr>
            <w:r>
              <w:rPr/>
              <w:t>2,850,830</w:t>
            </w:r>
          </w:p>
        </w:tc>
        <w:tc>
          <w:tcPr>
            <w:tcW w:w="116"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reported value of equity awards represents the grant date fair value of equity awards as reported in the “Stock Awards” and “Option Awards” columns of the Summary Compensation Table for each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872">
                <wp:simplePos x="0" y="0"/>
                <wp:positionH relativeFrom="column">
                  <wp:align>left</wp:align>
                </wp:positionH>
                <wp:positionV relativeFrom="line">
                  <wp:align>top</wp:align>
                </wp:positionV>
                <wp:extent cx="254000" cy="350520"/>
                <wp:effectExtent l="0" t="0" r="0" b="0"/>
                <wp:wrapSquare wrapText="right"/>
                <wp:docPr id="851"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72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equity award adjustments for each applicable year include the addition (or subtraction, as applicable) of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76200" distR="0" simplePos="0" locked="0" layoutInCell="1" allowOverlap="1" relativeHeight="873">
                <wp:simplePos x="0" y="0"/>
                <wp:positionH relativeFrom="column">
                  <wp:align>left</wp:align>
                </wp:positionH>
                <wp:positionV relativeFrom="line">
                  <wp:posOffset>635</wp:posOffset>
                </wp:positionV>
                <wp:extent cx="254000" cy="350520"/>
                <wp:effectExtent l="0" t="0" r="0" b="0"/>
                <wp:wrapSquare wrapText="right"/>
                <wp:docPr id="852"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year-end fair value of any equity awards granted in the applicable year that are outstanding and unvested as of the end of the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8420" distB="0" distL="330200" distR="0" simplePos="0" locked="0" layoutInCell="1" allowOverlap="1" relativeHeight="874">
                <wp:simplePos x="0" y="0"/>
                <wp:positionH relativeFrom="column">
                  <wp:align>left</wp:align>
                </wp:positionH>
                <wp:positionV relativeFrom="line">
                  <wp:align>top</wp:align>
                </wp:positionV>
                <wp:extent cx="254000" cy="350520"/>
                <wp:effectExtent l="0" t="0" r="0" b="0"/>
                <wp:wrapSquare wrapText="right"/>
                <wp:docPr id="853"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6pt;mso-wrap-distance-right:0pt;mso-wrap-distance-top:4.6pt;mso-wrap-distance-bottom:0pt;margin-top:4.6pt;mso-position-vertical:top;mso-position-vertical-relative:text;margin-left:26pt;mso-position-horizontal:left;mso-position-horizontal-relative:text">
                <v:textbox>
                  <w:txbxContent>
                    <w:p>
                      <w:pPr>
                        <w:pStyle w:val="TextBody"/>
                        <w:bidi w:val="0"/>
                        <w:spacing w:lineRule="atLeast" w:line="200" w:before="0" w:after="283"/>
                        <w:jc w:val="left"/>
                        <w:rPr/>
                      </w:pPr>
                      <w:r>
                        <w:rPr>
                          <w:spacing w:val="-1"/>
                        </w:rPr>
                        <w:t>(i)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 of change in fair value as of the end of the applicable year (from the end of the prior fiscal year) of any awards granted in prior years that are outstanding and unvested as of the end of the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8420" distB="0" distL="330200" distR="0" simplePos="0" locked="0" layoutInCell="1" allowOverlap="1" relativeHeight="875">
                <wp:simplePos x="0" y="0"/>
                <wp:positionH relativeFrom="column">
                  <wp:align>left</wp:align>
                </wp:positionH>
                <wp:positionV relativeFrom="line">
                  <wp:align>top</wp:align>
                </wp:positionV>
                <wp:extent cx="254000" cy="350520"/>
                <wp:effectExtent l="0" t="0" r="0" b="0"/>
                <wp:wrapSquare wrapText="right"/>
                <wp:docPr id="854"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6pt;mso-wrap-distance-right:0pt;mso-wrap-distance-top:4.6pt;mso-wrap-distance-bottom:0pt;margin-top:4.6pt;mso-position-vertical:top;mso-position-vertical-relative:text;margin-left:26pt;mso-position-horizontal:left;mso-position-horizontal-relative:text">
                <v:textbox>
                  <w:txbxContent>
                    <w:p>
                      <w:pPr>
                        <w:pStyle w:val="TextBody"/>
                        <w:bidi w:val="0"/>
                        <w:spacing w:lineRule="atLeast" w:line="200" w:before="0" w:after="283"/>
                        <w:jc w:val="left"/>
                        <w:rPr/>
                      </w:pPr>
                      <w:r>
                        <w:rPr>
                          <w:spacing w:val="-1"/>
                        </w:rPr>
                        <w:t>(ii)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2"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awards that are granted and vest in same applicable year, the fair value as of the vesting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8420" distB="0" distL="330200" distR="0" simplePos="0" locked="0" layoutInCell="1" allowOverlap="1" relativeHeight="876">
                <wp:simplePos x="0" y="0"/>
                <wp:positionH relativeFrom="column">
                  <wp:align>left</wp:align>
                </wp:positionH>
                <wp:positionV relativeFrom="line">
                  <wp:align>top</wp:align>
                </wp:positionV>
                <wp:extent cx="254000" cy="525780"/>
                <wp:effectExtent l="0" t="0" r="0" b="0"/>
                <wp:wrapSquare wrapText="right"/>
                <wp:docPr id="855" name="Frame5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6pt;mso-wrap-distance-right:0pt;mso-wrap-distance-top:4.6pt;mso-wrap-distance-bottom:0pt;margin-top:4.6pt;mso-position-vertical:top;mso-position-vertical-relative:text;margin-left:26pt;mso-position-horizontal:left;mso-position-horizontal-relative:text">
                <v:textbox>
                  <w:txbxContent>
                    <w:p>
                      <w:pPr>
                        <w:pStyle w:val="TextBody"/>
                        <w:bidi w:val="0"/>
                        <w:spacing w:lineRule="atLeast" w:line="200" w:before="0" w:after="283"/>
                        <w:jc w:val="left"/>
                        <w:rPr/>
                      </w:pPr>
                      <w:r>
                        <w:rPr>
                          <w:spacing w:val="-1"/>
                        </w:rPr>
                        <w:t>(iii)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awards granted in prior years that vest in the applicable year, the amount equal to the change in fair value as of the vesting date (from the end of the prior fiscal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9690" distB="0" distL="330200" distR="0" simplePos="0" locked="0" layoutInCell="1" allowOverlap="1" relativeHeight="877">
                <wp:simplePos x="0" y="0"/>
                <wp:positionH relativeFrom="column">
                  <wp:align>left</wp:align>
                </wp:positionH>
                <wp:positionV relativeFrom="line">
                  <wp:align>top</wp:align>
                </wp:positionV>
                <wp:extent cx="254000" cy="525780"/>
                <wp:effectExtent l="0" t="0" r="0" b="0"/>
                <wp:wrapSquare wrapText="right"/>
                <wp:docPr id="856" name="Frame5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6pt;mso-wrap-distance-right:0pt;mso-wrap-distance-top:4.7pt;mso-wrap-distance-bottom:0pt;margin-top:4.7pt;mso-position-vertical:top;mso-position-vertical-relative:text;margin-left:72pt;mso-position-horizontal:left;mso-position-horizontal-relative:text">
                <v:textbox>
                  <w:txbxContent>
                    <w:p>
                      <w:pPr>
                        <w:pStyle w:val="TextBody"/>
                        <w:bidi w:val="0"/>
                        <w:spacing w:lineRule="atLeast" w:line="200" w:before="0" w:after="283"/>
                        <w:jc w:val="left"/>
                        <w:rPr/>
                      </w:pPr>
                      <w:r>
                        <w:rPr>
                          <w:spacing w:val="-1"/>
                        </w:rPr>
                        <w:t>(iv)</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for awards granted in prior years that are determined to fail to meet the applicable vesting conditions during the applicable year, a deduction for the amount equal to the fair value at the end of the prior fiscal year; and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9690" distB="0" distL="330200" distR="0" simplePos="0" locked="0" layoutInCell="1" allowOverlap="1" relativeHeight="878">
                <wp:simplePos x="0" y="0"/>
                <wp:positionH relativeFrom="column">
                  <wp:align>left</wp:align>
                </wp:positionH>
                <wp:positionV relativeFrom="line">
                  <wp:align>top</wp:align>
                </wp:positionV>
                <wp:extent cx="254000" cy="350520"/>
                <wp:effectExtent l="0" t="0" r="0" b="0"/>
                <wp:wrapSquare wrapText="right"/>
                <wp:docPr id="857"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6pt;mso-wrap-distance-right:0pt;mso-wrap-distance-top:4.7pt;mso-wrap-distance-bottom:0pt;margin-top:4.7pt;mso-position-vertical:top;mso-position-vertical-relative:text;margin-left:26pt;mso-position-horizontal:left;mso-position-horizontal-relative:text">
                <v:textbox>
                  <w:txbxContent>
                    <w:p>
                      <w:pPr>
                        <w:pStyle w:val="TextBody"/>
                        <w:bidi w:val="0"/>
                        <w:spacing w:lineRule="atLeast" w:line="200" w:before="0" w:after="283"/>
                        <w:jc w:val="left"/>
                        <w:rPr/>
                      </w:pPr>
                      <w:r>
                        <w:rPr>
                          <w:spacing w:val="-1"/>
                        </w:rPr>
                        <w:t>(v)</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9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dollar value of any dividends or other earnings paid on equity awards in the applicable year prior to the vesting date that are not otherwise reflected in the fair value of such award or included in any other component of total compensation for the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9690" distB="0" distL="330200" distR="0" simplePos="0" locked="0" layoutInCell="1" allowOverlap="1" relativeHeight="879">
                <wp:simplePos x="0" y="0"/>
                <wp:positionH relativeFrom="column">
                  <wp:align>left</wp:align>
                </wp:positionH>
                <wp:positionV relativeFrom="line">
                  <wp:align>top</wp:align>
                </wp:positionV>
                <wp:extent cx="254000" cy="525780"/>
                <wp:effectExtent l="0" t="0" r="0" b="0"/>
                <wp:wrapSquare wrapText="right"/>
                <wp:docPr id="858" name="Frame5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6pt;mso-wrap-distance-right:0pt;mso-wrap-distance-top:4.7pt;mso-wrap-distance-bottom:0pt;margin-top:4.7pt;mso-position-vertical:top;mso-position-vertical-relative:text;margin-left:26pt;mso-position-horizontal:left;mso-position-horizontal-relative:text">
                <v:textbox>
                  <w:txbxContent>
                    <w:p>
                      <w:pPr>
                        <w:pStyle w:val="TextBody"/>
                        <w:bidi w:val="0"/>
                        <w:spacing w:lineRule="atLeast" w:line="200" w:before="0" w:after="283"/>
                        <w:jc w:val="left"/>
                        <w:rPr/>
                      </w:pPr>
                      <w:r>
                        <w:rPr>
                          <w:spacing w:val="-1"/>
                        </w:rPr>
                        <w:t>(vi)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amounts deducted or added in calculating the equity award adjustments are as follows:</w:t>
      </w:r>
      <w:r>
        <w:rPr>
          <w:rFonts w:ascii="Arial;Helvetica;sans-serif" w:hAnsi="Arial;Helvetica;sans-serif"/>
          <w:b w:val="false"/>
          <w:i w:val="false"/>
          <w:caps w:val="false"/>
          <w:smallCaps w:val="false"/>
          <w:color w:val="000000"/>
          <w:spacing w:val="3"/>
          <w:sz w:val="16"/>
        </w:rPr>
        <w:t xml:space="preserve"> </w:t>
      </w:r>
    </w:p>
    <w:tbl>
      <w:tblPr>
        <w:tblW w:w="13653" w:type="dxa"/>
        <w:jc w:val="left"/>
        <w:tblInd w:w="1020" w:type="dxa"/>
        <w:tblLayout w:type="fixed"/>
        <w:tblCellMar>
          <w:top w:w="0" w:type="dxa"/>
          <w:left w:w="0" w:type="dxa"/>
          <w:bottom w:w="28" w:type="dxa"/>
          <w:right w:w="0" w:type="dxa"/>
        </w:tblCellMar>
      </w:tblPr>
      <w:tblGrid>
        <w:gridCol w:w="124"/>
        <w:gridCol w:w="1090"/>
        <w:gridCol w:w="109"/>
        <w:gridCol w:w="109"/>
        <w:gridCol w:w="109"/>
        <w:gridCol w:w="109"/>
        <w:gridCol w:w="586"/>
        <w:gridCol w:w="109"/>
        <w:gridCol w:w="109"/>
        <w:gridCol w:w="109"/>
        <w:gridCol w:w="109"/>
        <w:gridCol w:w="109"/>
        <w:gridCol w:w="1066"/>
        <w:gridCol w:w="109"/>
        <w:gridCol w:w="109"/>
        <w:gridCol w:w="109"/>
        <w:gridCol w:w="135"/>
        <w:gridCol w:w="135"/>
        <w:gridCol w:w="1198"/>
        <w:gridCol w:w="138"/>
        <w:gridCol w:w="109"/>
        <w:gridCol w:w="109"/>
        <w:gridCol w:w="141"/>
        <w:gridCol w:w="141"/>
        <w:gridCol w:w="447"/>
        <w:gridCol w:w="142"/>
        <w:gridCol w:w="109"/>
        <w:gridCol w:w="109"/>
        <w:gridCol w:w="135"/>
        <w:gridCol w:w="135"/>
        <w:gridCol w:w="1198"/>
        <w:gridCol w:w="138"/>
        <w:gridCol w:w="109"/>
        <w:gridCol w:w="109"/>
        <w:gridCol w:w="109"/>
        <w:gridCol w:w="109"/>
        <w:gridCol w:w="961"/>
        <w:gridCol w:w="109"/>
        <w:gridCol w:w="109"/>
        <w:gridCol w:w="109"/>
        <w:gridCol w:w="238"/>
        <w:gridCol w:w="238"/>
        <w:gridCol w:w="756"/>
        <w:gridCol w:w="239"/>
        <w:gridCol w:w="109"/>
        <w:gridCol w:w="109"/>
        <w:gridCol w:w="109"/>
        <w:gridCol w:w="109"/>
        <w:gridCol w:w="1066"/>
        <w:gridCol w:w="109"/>
        <w:gridCol w:w="154"/>
      </w:tblGrid>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1090" w:type="dxa"/>
            <w:tcBorders>
              <w:bottom w:val="single" w:sz="6" w:space="0" w:color="002F56"/>
            </w:tcBorders>
            <w:shd w:fill="002F56" w:val="clear"/>
            <w:vAlign w:val="center"/>
          </w:tcPr>
          <w:p>
            <w:pPr>
              <w:pStyle w:val="TableContents"/>
              <w:bidi w:val="0"/>
              <w:spacing w:before="0" w:after="0"/>
              <w:jc w:val="left"/>
              <w:rPr>
                <w:spacing w:val="0"/>
              </w:rPr>
            </w:pPr>
            <w:r>
              <w:rPr>
                <w:spacing w:val="0"/>
              </w:rPr>
              <w:t xml:space="preserve">Executive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913" w:type="dxa"/>
            <w:gridSpan w:val="4"/>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Fiscal </w:t>
              <w:br/>
              <w:t xml:space="preserve">Year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Year End Fair </w:t>
              <w:br/>
              <w:t xml:space="preserve">Value of </w:t>
              <w:br/>
              <w:t xml:space="preserve">Equity </w:t>
              <w:br/>
              <w:t xml:space="preserve">Awards </w:t>
              <w:br/>
              <w:t xml:space="preserve">Granted </w:t>
              <w:br/>
              <w:t xml:space="preserve">During the </w:t>
              <w:br/>
              <w:t>Year</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606"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Year-over-Year </w:t>
              <w:br/>
              <w:t xml:space="preserve">Change in Fair </w:t>
              <w:br/>
              <w:t xml:space="preserve">Value of </w:t>
              <w:br/>
              <w:t xml:space="preserve">Outstanding </w:t>
              <w:br/>
              <w:t xml:space="preserve">and Unvested </w:t>
              <w:br/>
              <w:t>Equity Awards</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871"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Fair Value as </w:t>
              <w:br/>
              <w:t xml:space="preserve">of Vesting </w:t>
              <w:br/>
              <w:t xml:space="preserve">Date of Equity </w:t>
              <w:br/>
              <w:t xml:space="preserve">Awards </w:t>
              <w:br/>
              <w:t xml:space="preserve">Granted and </w:t>
              <w:br/>
              <w:t xml:space="preserve">Vested in </w:t>
              <w:br/>
              <w:t>the Year</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606"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Year-over-Year </w:t>
              <w:br/>
              <w:t xml:space="preserve">Change in Fair </w:t>
              <w:br/>
              <w:t xml:space="preserve">Value of Equity </w:t>
              <w:br/>
              <w:t xml:space="preserve">Awards </w:t>
              <w:br/>
              <w:t xml:space="preserve">Granted in </w:t>
              <w:br/>
              <w:t xml:space="preserve">Prior Years </w:t>
              <w:br/>
              <w:t xml:space="preserve">that Vested in </w:t>
              <w:br/>
              <w:t>the Year</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88"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Fair Value at </w:t>
              <w:br/>
              <w:t xml:space="preserve">the End of the </w:t>
              <w:br/>
              <w:t xml:space="preserve">Prior Year of </w:t>
              <w:br/>
              <w:t xml:space="preserve">Equity </w:t>
              <w:br/>
              <w:t xml:space="preserve">Awards that </w:t>
              <w:br/>
              <w:t xml:space="preserve">Failed to Meet </w:t>
              <w:br/>
              <w:t xml:space="preserve">Vesting </w:t>
              <w:br/>
              <w:t xml:space="preserve">Conditions in </w:t>
              <w:br/>
              <w:t>the Year</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71"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393"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Total Equity </w:t>
              <w:br/>
              <w:t xml:space="preserve">Award </w:t>
              <w:br/>
              <w:t>Adjustments</w:t>
            </w:r>
            <w:r>
              <w:rPr/>
              <w:t xml:space="preserve"> </w:t>
              <w:br/>
            </w:r>
            <w:r>
              <w:rPr>
                <w:spacing w:val="-2"/>
              </w:rPr>
              <w:t xml:space="preserve">($) </w:t>
            </w:r>
          </w:p>
        </w:tc>
        <w:tc>
          <w:tcPr>
            <w:tcW w:w="154"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1090" w:type="dxa"/>
            <w:vMerge w:val="restart"/>
            <w:tcBorders>
              <w:bottom w:val="single" w:sz="2" w:space="0" w:color="002F56"/>
            </w:tcBorders>
            <w:tcMar>
              <w:bottom w:w="56" w:type="dxa"/>
            </w:tcMar>
            <w:vAlign w:val="center"/>
          </w:tcPr>
          <w:p>
            <w:pPr>
              <w:pStyle w:val="TableContents"/>
              <w:bidi w:val="0"/>
              <w:spacing w:lineRule="atLeast" w:line="188" w:before="0" w:after="0"/>
              <w:jc w:val="left"/>
              <w:rPr>
                <w:spacing w:val="-1"/>
              </w:rPr>
            </w:pPr>
            <w:r>
              <w:rPr>
                <w:spacing w:val="-1"/>
              </w:rPr>
              <w:t xml:space="preserve">CEO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2,396,848</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lineRule="atLeast" w:line="188" w:before="0" w:after="283"/>
              <w:jc w:val="right"/>
              <w:rPr/>
            </w:pPr>
            <w:r>
              <w:rPr/>
              <w:t>(718,516)</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lineRule="atLeast" w:line="188" w:before="0" w:after="283"/>
              <w:jc w:val="right"/>
              <w:rPr/>
            </w:pPr>
            <w:r>
              <w:rPr/>
              <w:t>31,590</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1,709,922</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3,231,960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150,683</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(259,172)</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3,123,471</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3,882,533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411,274</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284,409</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4,578,216</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2,876,810</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(481,710)</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(105,781)</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2,289,319</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1090"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3,318,797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5" w:type="dxa"/>
            <w:tcBorders>
              <w:bottom w:val="single" w:sz="6" w:space="0" w:color="002F56"/>
            </w:tcBorders>
            <w:vAlign w:val="center"/>
          </w:tcPr>
          <w:p>
            <w:pPr>
              <w:pStyle w:val="TableContents"/>
              <w:bidi w:val="0"/>
              <w:spacing w:before="0" w:after="283"/>
              <w:jc w:val="left"/>
              <w:rPr/>
            </w:pPr>
            <w:r>
              <w:rPr/>
              <w:t>​</w:t>
            </w:r>
          </w:p>
        </w:tc>
        <w:tc>
          <w:tcPr>
            <w:tcW w:w="135" w:type="dxa"/>
            <w:tcBorders>
              <w:bottom w:val="single" w:sz="6" w:space="0" w:color="002F56"/>
            </w:tcBorders>
            <w:tcMar>
              <w:bottom w:w="49" w:type="dxa"/>
            </w:tcMar>
            <w:vAlign w:val="center"/>
          </w:tcPr>
          <w:p>
            <w:pPr>
              <w:pStyle w:val="TableContents"/>
              <w:bidi w:val="0"/>
              <w:spacing w:before="0" w:after="283"/>
              <w:jc w:val="right"/>
              <w:rPr/>
            </w:pPr>
            <w:r>
              <w:rPr/>
              <w:t>​</w:t>
            </w:r>
          </w:p>
        </w:tc>
        <w:tc>
          <w:tcPr>
            <w:tcW w:w="1198" w:type="dxa"/>
            <w:tcBorders>
              <w:bottom w:val="single" w:sz="6" w:space="0" w:color="002F56"/>
            </w:tcBorders>
            <w:tcMar>
              <w:bottom w:w="49" w:type="dxa"/>
            </w:tcMar>
            <w:vAlign w:val="center"/>
          </w:tcPr>
          <w:p>
            <w:pPr>
              <w:pStyle w:val="TableContents"/>
              <w:bidi w:val="0"/>
              <w:spacing w:before="0" w:after="283"/>
              <w:jc w:val="right"/>
              <w:rPr/>
            </w:pPr>
            <w:r>
              <w:rPr/>
              <w:t>465,055</w:t>
            </w:r>
          </w:p>
        </w:tc>
        <w:tc>
          <w:tcPr>
            <w:tcW w:w="138"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41" w:type="dxa"/>
            <w:tcBorders>
              <w:bottom w:val="single" w:sz="6" w:space="0" w:color="002F56"/>
            </w:tcBorders>
            <w:vAlign w:val="center"/>
          </w:tcPr>
          <w:p>
            <w:pPr>
              <w:pStyle w:val="TableContents"/>
              <w:bidi w:val="0"/>
              <w:spacing w:before="0" w:after="283"/>
              <w:jc w:val="left"/>
              <w:rPr/>
            </w:pPr>
            <w:r>
              <w:rPr/>
              <w:t>​</w:t>
            </w:r>
          </w:p>
        </w:tc>
        <w:tc>
          <w:tcPr>
            <w:tcW w:w="141" w:type="dxa"/>
            <w:tcBorders>
              <w:bottom w:val="single" w:sz="6" w:space="0" w:color="002F56"/>
            </w:tcBorders>
            <w:tcMar>
              <w:bottom w:w="49" w:type="dxa"/>
            </w:tcMar>
            <w:vAlign w:val="center"/>
          </w:tcPr>
          <w:p>
            <w:pPr>
              <w:pStyle w:val="TableContents"/>
              <w:bidi w:val="0"/>
              <w:spacing w:before="0" w:after="283"/>
              <w:jc w:val="right"/>
              <w:rPr/>
            </w:pPr>
            <w:r>
              <w:rPr/>
              <w:t>​</w:t>
            </w:r>
          </w:p>
        </w:tc>
        <w:tc>
          <w:tcPr>
            <w:tcW w:w="447" w:type="dxa"/>
            <w:tcBorders>
              <w:bottom w:val="single" w:sz="6" w:space="0" w:color="002F56"/>
            </w:tcBorders>
            <w:tcMar>
              <w:bottom w:w="49" w:type="dxa"/>
            </w:tcMar>
            <w:vAlign w:val="center"/>
          </w:tcPr>
          <w:p>
            <w:pPr>
              <w:pStyle w:val="TableContents"/>
              <w:bidi w:val="0"/>
              <w:spacing w:before="0" w:after="283"/>
              <w:jc w:val="right"/>
              <w:rPr/>
            </w:pPr>
            <w:r>
              <w:rPr/>
              <w:t>—</w:t>
            </w:r>
          </w:p>
        </w:tc>
        <w:tc>
          <w:tcPr>
            <w:tcW w:w="142"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35" w:type="dxa"/>
            <w:tcBorders>
              <w:bottom w:val="single" w:sz="6" w:space="0" w:color="002F56"/>
            </w:tcBorders>
            <w:vAlign w:val="center"/>
          </w:tcPr>
          <w:p>
            <w:pPr>
              <w:pStyle w:val="TableContents"/>
              <w:bidi w:val="0"/>
              <w:spacing w:before="0" w:after="283"/>
              <w:jc w:val="left"/>
              <w:rPr/>
            </w:pPr>
            <w:r>
              <w:rPr/>
              <w:t>​</w:t>
            </w:r>
          </w:p>
        </w:tc>
        <w:tc>
          <w:tcPr>
            <w:tcW w:w="135" w:type="dxa"/>
            <w:tcBorders>
              <w:bottom w:val="single" w:sz="6" w:space="0" w:color="002F56"/>
            </w:tcBorders>
            <w:tcMar>
              <w:bottom w:w="49" w:type="dxa"/>
            </w:tcMar>
            <w:vAlign w:val="center"/>
          </w:tcPr>
          <w:p>
            <w:pPr>
              <w:pStyle w:val="TableContents"/>
              <w:bidi w:val="0"/>
              <w:spacing w:before="0" w:after="283"/>
              <w:jc w:val="right"/>
              <w:rPr/>
            </w:pPr>
            <w:r>
              <w:rPr/>
              <w:t>​</w:t>
            </w:r>
          </w:p>
        </w:tc>
        <w:tc>
          <w:tcPr>
            <w:tcW w:w="1198" w:type="dxa"/>
            <w:tcBorders>
              <w:bottom w:val="single" w:sz="6" w:space="0" w:color="002F56"/>
            </w:tcBorders>
            <w:tcMar>
              <w:bottom w:w="49" w:type="dxa"/>
            </w:tcMar>
            <w:vAlign w:val="center"/>
          </w:tcPr>
          <w:p>
            <w:pPr>
              <w:pStyle w:val="TableContents"/>
              <w:bidi w:val="0"/>
              <w:spacing w:before="0" w:after="283"/>
              <w:jc w:val="right"/>
              <w:rPr/>
            </w:pPr>
            <w:r>
              <w:rPr/>
              <w:t>122,373</w:t>
            </w:r>
          </w:p>
        </w:tc>
        <w:tc>
          <w:tcPr>
            <w:tcW w:w="138"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961" w:type="dxa"/>
            <w:tcBorders>
              <w:bottom w:val="single" w:sz="6" w:space="0" w:color="002F56"/>
            </w:tcBorders>
            <w:tcMar>
              <w:bottom w:w="49" w:type="dxa"/>
            </w:tcMar>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38" w:type="dxa"/>
            <w:tcBorders>
              <w:bottom w:val="single" w:sz="6" w:space="0" w:color="002F56"/>
            </w:tcBorders>
            <w:vAlign w:val="center"/>
          </w:tcPr>
          <w:p>
            <w:pPr>
              <w:pStyle w:val="TableContents"/>
              <w:bidi w:val="0"/>
              <w:spacing w:before="0" w:after="283"/>
              <w:jc w:val="left"/>
              <w:rPr/>
            </w:pPr>
            <w:r>
              <w:rPr/>
              <w:t>​</w:t>
            </w:r>
          </w:p>
        </w:tc>
        <w:tc>
          <w:tcPr>
            <w:tcW w:w="238" w:type="dxa"/>
            <w:tcBorders>
              <w:bottom w:val="single" w:sz="6" w:space="0" w:color="002F56"/>
            </w:tcBorders>
            <w:tcMar>
              <w:bottom w:w="49" w:type="dxa"/>
            </w:tcMar>
            <w:vAlign w:val="center"/>
          </w:tcPr>
          <w:p>
            <w:pPr>
              <w:pStyle w:val="TableContents"/>
              <w:bidi w:val="0"/>
              <w:spacing w:before="0" w:after="283"/>
              <w:jc w:val="right"/>
              <w:rPr/>
            </w:pPr>
            <w:r>
              <w:rPr/>
              <w:t>​</w:t>
            </w:r>
          </w:p>
        </w:tc>
        <w:tc>
          <w:tcPr>
            <w:tcW w:w="756" w:type="dxa"/>
            <w:tcBorders>
              <w:bottom w:val="single" w:sz="6" w:space="0" w:color="002F56"/>
            </w:tcBorders>
            <w:tcMar>
              <w:bottom w:w="49" w:type="dxa"/>
            </w:tcMar>
            <w:vAlign w:val="center"/>
          </w:tcPr>
          <w:p>
            <w:pPr>
              <w:pStyle w:val="TableContents"/>
              <w:bidi w:val="0"/>
              <w:spacing w:before="0" w:after="283"/>
              <w:jc w:val="right"/>
              <w:rPr/>
            </w:pPr>
            <w:r>
              <w:rPr/>
              <w:t>—</w:t>
            </w:r>
          </w:p>
        </w:tc>
        <w:tc>
          <w:tcPr>
            <w:tcW w:w="23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1066" w:type="dxa"/>
            <w:tcBorders>
              <w:bottom w:val="single" w:sz="6" w:space="0" w:color="002F56"/>
            </w:tcBorders>
            <w:tcMar>
              <w:bottom w:w="49" w:type="dxa"/>
            </w:tcMar>
            <w:vAlign w:val="center"/>
          </w:tcPr>
          <w:p>
            <w:pPr>
              <w:pStyle w:val="TableContents"/>
              <w:bidi w:val="0"/>
              <w:spacing w:before="0" w:after="283"/>
              <w:jc w:val="right"/>
              <w:rPr/>
            </w:pPr>
            <w:r>
              <w:rPr/>
              <w:t>3,906,225</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1090" w:type="dxa"/>
            <w:vMerge w:val="restart"/>
            <w:tcBorders>
              <w:bottom w:val="single" w:sz="12" w:space="0" w:color="71B1C8"/>
            </w:tcBorders>
            <w:tcMar>
              <w:bottom w:w="49" w:type="dxa"/>
            </w:tcMar>
            <w:vAlign w:val="center"/>
          </w:tcPr>
          <w:p>
            <w:pPr>
              <w:pStyle w:val="TableContents"/>
              <w:bidi w:val="0"/>
              <w:spacing w:lineRule="atLeast" w:line="188" w:before="0" w:after="0"/>
              <w:jc w:val="left"/>
              <w:rPr>
                <w:spacing w:val="-1"/>
              </w:rPr>
            </w:pPr>
            <w:r>
              <w:rPr>
                <w:spacing w:val="-1"/>
              </w:rPr>
              <w:t xml:space="preserve">Non-CEO Named Executive Officers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694,959</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lineRule="atLeast" w:line="188" w:before="0" w:after="283"/>
              <w:jc w:val="right"/>
              <w:rPr/>
            </w:pPr>
            <w:r>
              <w:rPr/>
              <w:t>(192,460)</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lineRule="atLeast" w:line="188" w:before="0" w:after="283"/>
              <w:jc w:val="right"/>
              <w:rPr/>
            </w:pPr>
            <w:r>
              <w:rPr/>
              <w:t>8,671</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lineRule="atLeast" w:line="188" w:before="0" w:after="283"/>
              <w:jc w:val="right"/>
              <w:rPr/>
            </w:pPr>
            <w:r>
              <w:rPr/>
              <w:t>511,170</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909,311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35,872</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(60,882)</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884,301</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967,482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89,057</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59,045</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1,115,584</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543,381</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(85,220)</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vAlign w:val="center"/>
          </w:tcPr>
          <w:p>
            <w:pPr>
              <w:pStyle w:val="TableContents"/>
              <w:bidi w:val="0"/>
              <w:spacing w:before="0" w:after="283"/>
              <w:jc w:val="left"/>
              <w:rPr/>
            </w:pPr>
            <w:r>
              <w:rPr/>
              <w:t>​</w:t>
            </w:r>
          </w:p>
        </w:tc>
        <w:tc>
          <w:tcPr>
            <w:tcW w:w="141" w:type="dxa"/>
            <w:tcBorders>
              <w:bottom w:val="single" w:sz="6" w:space="0" w:color="CCCCCC"/>
            </w:tcBorders>
            <w:tcMar>
              <w:bottom w:w="56" w:type="dxa"/>
            </w:tcMar>
            <w:vAlign w:val="center"/>
          </w:tcPr>
          <w:p>
            <w:pPr>
              <w:pStyle w:val="TableContents"/>
              <w:bidi w:val="0"/>
              <w:spacing w:before="0" w:after="283"/>
              <w:jc w:val="right"/>
              <w:rPr/>
            </w:pPr>
            <w:r>
              <w:rPr/>
              <w:t>​</w:t>
            </w:r>
          </w:p>
        </w:tc>
        <w:tc>
          <w:tcPr>
            <w:tcW w:w="447" w:type="dxa"/>
            <w:tcBorders>
              <w:bottom w:val="single" w:sz="6" w:space="0" w:color="CCCCCC"/>
            </w:tcBorders>
            <w:tcMar>
              <w:bottom w:w="56" w:type="dxa"/>
            </w:tcMar>
            <w:vAlign w:val="center"/>
          </w:tcPr>
          <w:p>
            <w:pPr>
              <w:pStyle w:val="TableContents"/>
              <w:bidi w:val="0"/>
              <w:spacing w:before="0" w:after="283"/>
              <w:jc w:val="right"/>
              <w:rPr/>
            </w:pPr>
            <w:r>
              <w:rPr/>
              <w:t>—</w:t>
            </w:r>
          </w:p>
        </w:tc>
        <w:tc>
          <w:tcPr>
            <w:tcW w:w="142"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vAlign w:val="center"/>
          </w:tcPr>
          <w:p>
            <w:pPr>
              <w:pStyle w:val="TableContents"/>
              <w:bidi w:val="0"/>
              <w:spacing w:before="0" w:after="283"/>
              <w:jc w:val="left"/>
              <w:rPr/>
            </w:pPr>
            <w:r>
              <w:rPr/>
              <w:t>​</w:t>
            </w:r>
          </w:p>
        </w:tc>
        <w:tc>
          <w:tcPr>
            <w:tcW w:w="135" w:type="dxa"/>
            <w:tcBorders>
              <w:bottom w:val="single" w:sz="6" w:space="0" w:color="CCCCCC"/>
            </w:tcBorders>
            <w:tcMar>
              <w:bottom w:w="56" w:type="dxa"/>
            </w:tcMar>
            <w:vAlign w:val="center"/>
          </w:tcPr>
          <w:p>
            <w:pPr>
              <w:pStyle w:val="TableContents"/>
              <w:bidi w:val="0"/>
              <w:spacing w:before="0" w:after="283"/>
              <w:jc w:val="right"/>
              <w:rPr/>
            </w:pPr>
            <w:r>
              <w:rPr/>
              <w:t>​</w:t>
            </w:r>
          </w:p>
        </w:tc>
        <w:tc>
          <w:tcPr>
            <w:tcW w:w="1198" w:type="dxa"/>
            <w:tcBorders>
              <w:bottom w:val="single" w:sz="6" w:space="0" w:color="CCCCCC"/>
            </w:tcBorders>
            <w:tcMar>
              <w:bottom w:w="56" w:type="dxa"/>
            </w:tcMar>
            <w:vAlign w:val="center"/>
          </w:tcPr>
          <w:p>
            <w:pPr>
              <w:pStyle w:val="TableContents"/>
              <w:bidi w:val="0"/>
              <w:spacing w:before="0" w:after="283"/>
              <w:jc w:val="right"/>
              <w:rPr/>
            </w:pPr>
            <w:r>
              <w:rPr/>
              <w:t>(26,604)</w:t>
            </w:r>
          </w:p>
        </w:tc>
        <w:tc>
          <w:tcPr>
            <w:tcW w:w="138"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961" w:type="dxa"/>
            <w:tcBorders>
              <w:bottom w:val="single" w:sz="6" w:space="0" w:color="CCCCCC"/>
            </w:tcBorders>
            <w:tcMar>
              <w:bottom w:w="56" w:type="dxa"/>
            </w:tcMar>
            <w:vAlign w:val="center"/>
          </w:tcPr>
          <w:p>
            <w:pPr>
              <w:pStyle w:val="TableContents"/>
              <w:bidi w:val="0"/>
              <w:spacing w:before="0" w:after="283"/>
              <w:jc w:val="right"/>
              <w:rPr/>
            </w:pPr>
            <w:r>
              <w:rPr/>
              <w:t>(198,953)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vAlign w:val="center"/>
          </w:tcPr>
          <w:p>
            <w:pPr>
              <w:pStyle w:val="TableContents"/>
              <w:bidi w:val="0"/>
              <w:spacing w:before="0" w:after="283"/>
              <w:jc w:val="left"/>
              <w:rPr/>
            </w:pPr>
            <w:r>
              <w:rPr/>
              <w:t>​</w:t>
            </w:r>
          </w:p>
        </w:tc>
        <w:tc>
          <w:tcPr>
            <w:tcW w:w="238" w:type="dxa"/>
            <w:tcBorders>
              <w:bottom w:val="single" w:sz="6" w:space="0" w:color="CCCCCC"/>
            </w:tcBorders>
            <w:tcMar>
              <w:bottom w:w="56" w:type="dxa"/>
            </w:tcMar>
            <w:vAlign w:val="center"/>
          </w:tcPr>
          <w:p>
            <w:pPr>
              <w:pStyle w:val="TableContents"/>
              <w:bidi w:val="0"/>
              <w:spacing w:before="0" w:after="283"/>
              <w:jc w:val="right"/>
              <w:rPr/>
            </w:pPr>
            <w:r>
              <w:rPr/>
              <w:t>​</w:t>
            </w:r>
          </w:p>
        </w:tc>
        <w:tc>
          <w:tcPr>
            <w:tcW w:w="756" w:type="dxa"/>
            <w:tcBorders>
              <w:bottom w:val="single" w:sz="6" w:space="0" w:color="CCCCCC"/>
            </w:tcBorders>
            <w:tcMar>
              <w:bottom w:w="56" w:type="dxa"/>
            </w:tcMar>
            <w:vAlign w:val="center"/>
          </w:tcPr>
          <w:p>
            <w:pPr>
              <w:pStyle w:val="TableContents"/>
              <w:bidi w:val="0"/>
              <w:spacing w:before="0" w:after="283"/>
              <w:jc w:val="right"/>
              <w:rPr/>
            </w:pPr>
            <w:r>
              <w:rPr/>
              <w:t>—</w:t>
            </w:r>
          </w:p>
        </w:tc>
        <w:tc>
          <w:tcPr>
            <w:tcW w:w="23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1066" w:type="dxa"/>
            <w:tcBorders>
              <w:bottom w:val="single" w:sz="6" w:space="0" w:color="CCCCCC"/>
            </w:tcBorders>
            <w:tcMar>
              <w:bottom w:w="56" w:type="dxa"/>
            </w:tcMar>
            <w:vAlign w:val="center"/>
          </w:tcPr>
          <w:p>
            <w:pPr>
              <w:pStyle w:val="TableContents"/>
              <w:bidi w:val="0"/>
              <w:spacing w:before="0" w:after="283"/>
              <w:jc w:val="right"/>
              <w:rPr/>
            </w:pPr>
            <w:r>
              <w:rPr/>
              <w:t>232,604</w:t>
            </w:r>
          </w:p>
        </w:tc>
        <w:tc>
          <w:tcPr>
            <w:tcW w:w="109" w:type="dxa"/>
            <w:tcBorders>
              <w:bottom w:val="single" w:sz="6" w:space="0" w:color="CCCCCC"/>
            </w:tcBorders>
            <w:vAlign w:val="center"/>
          </w:tcPr>
          <w:p>
            <w:pPr>
              <w:pStyle w:val="TableContents"/>
              <w:bidi w:val="0"/>
              <w:spacing w:before="0" w:after="283"/>
              <w:jc w:val="left"/>
              <w:rPr/>
            </w:pPr>
            <w:r>
              <w:rPr/>
              <w:t>​</w:t>
            </w:r>
          </w:p>
        </w:tc>
        <w:tc>
          <w:tcPr>
            <w:tcW w:w="154"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1090"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586" w:type="dxa"/>
            <w:tcBorders>
              <w:bottom w:val="single" w:sz="12" w:space="0" w:color="71B1C8"/>
            </w:tcBorders>
            <w:tcMar>
              <w:bottom w:w="47" w:type="dxa"/>
            </w:tcMar>
            <w:vAlign w:val="center"/>
          </w:tcPr>
          <w:p>
            <w:pPr>
              <w:pStyle w:val="TableContents"/>
              <w:bidi w:val="0"/>
              <w:spacing w:before="0" w:after="283"/>
              <w:jc w:val="right"/>
              <w:rPr/>
            </w:pPr>
            <w:r>
              <w:rPr/>
              <w:t>2021</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967,065</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35" w:type="dxa"/>
            <w:tcBorders>
              <w:bottom w:val="single" w:sz="12" w:space="0" w:color="71B1C8"/>
            </w:tcBorders>
            <w:vAlign w:val="center"/>
          </w:tcPr>
          <w:p>
            <w:pPr>
              <w:pStyle w:val="TableContents"/>
              <w:bidi w:val="0"/>
              <w:spacing w:before="0" w:after="283"/>
              <w:jc w:val="left"/>
              <w:rPr/>
            </w:pPr>
            <w:r>
              <w:rPr/>
              <w:t>​</w:t>
            </w:r>
          </w:p>
        </w:tc>
        <w:tc>
          <w:tcPr>
            <w:tcW w:w="135" w:type="dxa"/>
            <w:tcBorders>
              <w:bottom w:val="single" w:sz="12" w:space="0" w:color="71B1C8"/>
            </w:tcBorders>
            <w:tcMar>
              <w:bottom w:w="47" w:type="dxa"/>
            </w:tcMar>
            <w:vAlign w:val="center"/>
          </w:tcPr>
          <w:p>
            <w:pPr>
              <w:pStyle w:val="TableContents"/>
              <w:bidi w:val="0"/>
              <w:spacing w:before="0" w:after="283"/>
              <w:jc w:val="right"/>
              <w:rPr/>
            </w:pPr>
            <w:r>
              <w:rPr/>
              <w:t>​</w:t>
            </w:r>
          </w:p>
        </w:tc>
        <w:tc>
          <w:tcPr>
            <w:tcW w:w="1198" w:type="dxa"/>
            <w:tcBorders>
              <w:bottom w:val="single" w:sz="12" w:space="0" w:color="71B1C8"/>
            </w:tcBorders>
            <w:tcMar>
              <w:bottom w:w="47" w:type="dxa"/>
            </w:tcMar>
            <w:vAlign w:val="center"/>
          </w:tcPr>
          <w:p>
            <w:pPr>
              <w:pStyle w:val="TableContents"/>
              <w:bidi w:val="0"/>
              <w:spacing w:before="0" w:after="283"/>
              <w:jc w:val="right"/>
              <w:rPr/>
            </w:pPr>
            <w:r>
              <w:rPr/>
              <w:t>139,116</w:t>
            </w:r>
          </w:p>
        </w:tc>
        <w:tc>
          <w:tcPr>
            <w:tcW w:w="138"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41" w:type="dxa"/>
            <w:tcBorders>
              <w:bottom w:val="single" w:sz="12" w:space="0" w:color="71B1C8"/>
            </w:tcBorders>
            <w:vAlign w:val="center"/>
          </w:tcPr>
          <w:p>
            <w:pPr>
              <w:pStyle w:val="TableContents"/>
              <w:bidi w:val="0"/>
              <w:spacing w:before="0" w:after="283"/>
              <w:jc w:val="left"/>
              <w:rPr/>
            </w:pPr>
            <w:r>
              <w:rPr/>
              <w:t>​</w:t>
            </w:r>
          </w:p>
        </w:tc>
        <w:tc>
          <w:tcPr>
            <w:tcW w:w="141" w:type="dxa"/>
            <w:tcBorders>
              <w:bottom w:val="single" w:sz="12" w:space="0" w:color="71B1C8"/>
            </w:tcBorders>
            <w:tcMar>
              <w:bottom w:w="47" w:type="dxa"/>
            </w:tcMar>
            <w:vAlign w:val="center"/>
          </w:tcPr>
          <w:p>
            <w:pPr>
              <w:pStyle w:val="TableContents"/>
              <w:bidi w:val="0"/>
              <w:spacing w:before="0" w:after="283"/>
              <w:jc w:val="right"/>
              <w:rPr/>
            </w:pPr>
            <w:r>
              <w:rPr/>
              <w:t>​</w:t>
            </w:r>
          </w:p>
        </w:tc>
        <w:tc>
          <w:tcPr>
            <w:tcW w:w="447" w:type="dxa"/>
            <w:tcBorders>
              <w:bottom w:val="single" w:sz="12" w:space="0" w:color="71B1C8"/>
            </w:tcBorders>
            <w:tcMar>
              <w:bottom w:w="47" w:type="dxa"/>
            </w:tcMar>
            <w:vAlign w:val="center"/>
          </w:tcPr>
          <w:p>
            <w:pPr>
              <w:pStyle w:val="TableContents"/>
              <w:bidi w:val="0"/>
              <w:spacing w:before="0" w:after="283"/>
              <w:jc w:val="right"/>
              <w:rPr/>
            </w:pPr>
            <w:r>
              <w:rPr/>
              <w:t>—</w:t>
            </w:r>
          </w:p>
        </w:tc>
        <w:tc>
          <w:tcPr>
            <w:tcW w:w="142"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35" w:type="dxa"/>
            <w:tcBorders>
              <w:bottom w:val="single" w:sz="12" w:space="0" w:color="71B1C8"/>
            </w:tcBorders>
            <w:vAlign w:val="center"/>
          </w:tcPr>
          <w:p>
            <w:pPr>
              <w:pStyle w:val="TableContents"/>
              <w:bidi w:val="0"/>
              <w:spacing w:before="0" w:after="283"/>
              <w:jc w:val="left"/>
              <w:rPr/>
            </w:pPr>
            <w:r>
              <w:rPr/>
              <w:t>​</w:t>
            </w:r>
          </w:p>
        </w:tc>
        <w:tc>
          <w:tcPr>
            <w:tcW w:w="135" w:type="dxa"/>
            <w:tcBorders>
              <w:bottom w:val="single" w:sz="12" w:space="0" w:color="71B1C8"/>
            </w:tcBorders>
            <w:tcMar>
              <w:bottom w:w="47" w:type="dxa"/>
            </w:tcMar>
            <w:vAlign w:val="center"/>
          </w:tcPr>
          <w:p>
            <w:pPr>
              <w:pStyle w:val="TableContents"/>
              <w:bidi w:val="0"/>
              <w:spacing w:before="0" w:after="283"/>
              <w:jc w:val="right"/>
              <w:rPr/>
            </w:pPr>
            <w:r>
              <w:rPr/>
              <w:t>​</w:t>
            </w:r>
          </w:p>
        </w:tc>
        <w:tc>
          <w:tcPr>
            <w:tcW w:w="1198" w:type="dxa"/>
            <w:tcBorders>
              <w:bottom w:val="single" w:sz="12" w:space="0" w:color="71B1C8"/>
            </w:tcBorders>
            <w:tcMar>
              <w:bottom w:w="47" w:type="dxa"/>
            </w:tcMar>
            <w:vAlign w:val="center"/>
          </w:tcPr>
          <w:p>
            <w:pPr>
              <w:pStyle w:val="TableContents"/>
              <w:bidi w:val="0"/>
              <w:spacing w:before="0" w:after="283"/>
              <w:jc w:val="right"/>
              <w:rPr/>
            </w:pPr>
            <w:r>
              <w:rPr/>
              <w:t>63,752</w:t>
            </w:r>
          </w:p>
        </w:tc>
        <w:tc>
          <w:tcPr>
            <w:tcW w:w="138"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961" w:type="dxa"/>
            <w:tcBorders>
              <w:bottom w:val="single" w:sz="12" w:space="0" w:color="71B1C8"/>
            </w:tcBorders>
            <w:tcMar>
              <w:bottom w:w="47" w:type="dxa"/>
            </w:tcMar>
            <w:vAlign w:val="center"/>
          </w:tcPr>
          <w:p>
            <w:pPr>
              <w:pStyle w:val="TableContents"/>
              <w:bidi w:val="0"/>
              <w:spacing w:before="0" w:after="283"/>
              <w:jc w:val="righ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38" w:type="dxa"/>
            <w:tcBorders>
              <w:bottom w:val="single" w:sz="12" w:space="0" w:color="71B1C8"/>
            </w:tcBorders>
            <w:vAlign w:val="center"/>
          </w:tcPr>
          <w:p>
            <w:pPr>
              <w:pStyle w:val="TableContents"/>
              <w:bidi w:val="0"/>
              <w:spacing w:before="0" w:after="283"/>
              <w:jc w:val="left"/>
              <w:rPr/>
            </w:pPr>
            <w:r>
              <w:rPr/>
              <w:t>​</w:t>
            </w:r>
          </w:p>
        </w:tc>
        <w:tc>
          <w:tcPr>
            <w:tcW w:w="238" w:type="dxa"/>
            <w:tcBorders>
              <w:bottom w:val="single" w:sz="12" w:space="0" w:color="71B1C8"/>
            </w:tcBorders>
            <w:tcMar>
              <w:bottom w:w="47" w:type="dxa"/>
            </w:tcMar>
            <w:vAlign w:val="center"/>
          </w:tcPr>
          <w:p>
            <w:pPr>
              <w:pStyle w:val="TableContents"/>
              <w:bidi w:val="0"/>
              <w:spacing w:before="0" w:after="283"/>
              <w:jc w:val="right"/>
              <w:rPr/>
            </w:pPr>
            <w:r>
              <w:rPr/>
              <w:t>​</w:t>
            </w:r>
          </w:p>
        </w:tc>
        <w:tc>
          <w:tcPr>
            <w:tcW w:w="756" w:type="dxa"/>
            <w:tcBorders>
              <w:bottom w:val="single" w:sz="12" w:space="0" w:color="71B1C8"/>
            </w:tcBorders>
            <w:tcMar>
              <w:bottom w:w="47" w:type="dxa"/>
            </w:tcMar>
            <w:vAlign w:val="center"/>
          </w:tcPr>
          <w:p>
            <w:pPr>
              <w:pStyle w:val="TableContents"/>
              <w:bidi w:val="0"/>
              <w:spacing w:before="0" w:after="283"/>
              <w:jc w:val="right"/>
              <w:rPr/>
            </w:pPr>
            <w:r>
              <w:rPr/>
              <w:t>—</w:t>
            </w:r>
          </w:p>
        </w:tc>
        <w:tc>
          <w:tcPr>
            <w:tcW w:w="23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1066" w:type="dxa"/>
            <w:tcBorders>
              <w:bottom w:val="single" w:sz="12" w:space="0" w:color="71B1C8"/>
            </w:tcBorders>
            <w:tcMar>
              <w:bottom w:w="47" w:type="dxa"/>
            </w:tcMar>
            <w:vAlign w:val="center"/>
          </w:tcPr>
          <w:p>
            <w:pPr>
              <w:pStyle w:val="TableContents"/>
              <w:bidi w:val="0"/>
              <w:spacing w:before="0" w:after="283"/>
              <w:jc w:val="right"/>
              <w:rPr/>
            </w:pPr>
            <w:r>
              <w:rPr/>
              <w:t>1,169,933</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13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amounts in this column represent the amounts reported in “Change in Pension and Nonqualified Deferred Compensation” column of the Summary Compensation Table for each applicable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2550" distB="0" distL="76200" distR="0" simplePos="0" locked="0" layoutInCell="1" allowOverlap="1" relativeHeight="880">
                <wp:simplePos x="0" y="0"/>
                <wp:positionH relativeFrom="column">
                  <wp:align>left</wp:align>
                </wp:positionH>
                <wp:positionV relativeFrom="line">
                  <wp:align>top</wp:align>
                </wp:positionV>
                <wp:extent cx="254000" cy="350520"/>
                <wp:effectExtent l="0" t="0" r="0" b="0"/>
                <wp:wrapSquare wrapText="right"/>
                <wp:docPr id="859"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6.5pt;mso-wrap-distance-bottom:0pt;margin-top:6.5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94"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total pension benefit adjustments for each applicable year include the aggregate of two components: (i) the actuarially determined service cost for services rendered by the executive during the applicable year (the “service cost”); and (ii) the entire cost of benefits granted in a plan amendment (or initiation) during the applicable year that are attributed by the benefit formula to services rendered in periods prior to the plan amendment or initiation (the “prior service cost”), in each case, calculated in accordance with U.S. GAAP. The amounts deducted or added in calculating the pension benefit adjustments are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9690" distB="0" distL="76200" distR="0" simplePos="0" locked="0" layoutInCell="1" allowOverlap="1" relativeHeight="881">
                <wp:simplePos x="0" y="0"/>
                <wp:positionH relativeFrom="column">
                  <wp:align>left</wp:align>
                </wp:positionH>
                <wp:positionV relativeFrom="line">
                  <wp:align>top</wp:align>
                </wp:positionV>
                <wp:extent cx="254000" cy="350520"/>
                <wp:effectExtent l="0" t="0" r="0" b="0"/>
                <wp:wrapSquare wrapText="right"/>
                <wp:docPr id="860"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7pt;mso-wrap-distance-bottom:0pt;margin-top:4.7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tbl>
      <w:tblPr>
        <w:tblW w:w="9185" w:type="dxa"/>
        <w:jc w:val="left"/>
        <w:tblInd w:w="1020" w:type="dxa"/>
        <w:tblLayout w:type="fixed"/>
        <w:tblCellMar>
          <w:top w:w="0" w:type="dxa"/>
          <w:left w:w="0" w:type="dxa"/>
          <w:bottom w:w="28" w:type="dxa"/>
          <w:right w:w="0" w:type="dxa"/>
        </w:tblCellMar>
      </w:tblPr>
      <w:tblGrid>
        <w:gridCol w:w="124"/>
        <w:gridCol w:w="2607"/>
        <w:gridCol w:w="109"/>
        <w:gridCol w:w="109"/>
        <w:gridCol w:w="109"/>
        <w:gridCol w:w="109"/>
        <w:gridCol w:w="586"/>
        <w:gridCol w:w="109"/>
        <w:gridCol w:w="109"/>
        <w:gridCol w:w="109"/>
        <w:gridCol w:w="124"/>
        <w:gridCol w:w="124"/>
        <w:gridCol w:w="876"/>
        <w:gridCol w:w="124"/>
        <w:gridCol w:w="109"/>
        <w:gridCol w:w="109"/>
        <w:gridCol w:w="231"/>
        <w:gridCol w:w="231"/>
        <w:gridCol w:w="736"/>
        <w:gridCol w:w="235"/>
        <w:gridCol w:w="109"/>
        <w:gridCol w:w="109"/>
        <w:gridCol w:w="181"/>
        <w:gridCol w:w="181"/>
        <w:gridCol w:w="1280"/>
        <w:gridCol w:w="185"/>
        <w:gridCol w:w="161"/>
      </w:tblGrid>
      <w:tr>
        <w:trPr/>
        <w:tc>
          <w:tcPr>
            <w:tcW w:w="124" w:type="dxa"/>
            <w:tcBorders>
              <w:bottom w:val="single" w:sz="6" w:space="0" w:color="002F56"/>
            </w:tcBorders>
            <w:shd w:fill="002F56" w:val="clear"/>
            <w:vAlign w:val="center"/>
          </w:tcPr>
          <w:p>
            <w:pPr>
              <w:pStyle w:val="TableContents"/>
              <w:bidi w:val="0"/>
              <w:spacing w:before="0" w:after="283"/>
              <w:jc w:val="left"/>
              <w:rPr/>
            </w:pPr>
            <w:r>
              <w:rPr/>
              <w:t>​</w:t>
            </w:r>
          </w:p>
        </w:tc>
        <w:tc>
          <w:tcPr>
            <w:tcW w:w="2607" w:type="dxa"/>
            <w:tcBorders>
              <w:bottom w:val="single" w:sz="6" w:space="0" w:color="002F56"/>
            </w:tcBorders>
            <w:shd w:fill="002F56" w:val="clear"/>
            <w:vAlign w:val="center"/>
          </w:tcPr>
          <w:p>
            <w:pPr>
              <w:pStyle w:val="TableContents"/>
              <w:bidi w:val="0"/>
              <w:spacing w:before="0" w:after="0"/>
              <w:jc w:val="left"/>
              <w:rPr>
                <w:spacing w:val="0"/>
              </w:rPr>
            </w:pPr>
            <w:r>
              <w:rPr>
                <w:spacing w:val="0"/>
              </w:rPr>
              <w:t xml:space="preserve">Executive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913" w:type="dxa"/>
            <w:gridSpan w:val="4"/>
            <w:tcBorders>
              <w:bottom w:val="single" w:sz="6" w:space="0" w:color="002F56"/>
            </w:tcBorders>
            <w:shd w:fill="002F56" w:val="clear"/>
            <w:vAlign w:val="center"/>
          </w:tcPr>
          <w:p>
            <w:pPr>
              <w:pStyle w:val="TableContents"/>
              <w:bidi w:val="0"/>
              <w:spacing w:before="0" w:after="0"/>
              <w:jc w:val="center"/>
              <w:rPr>
                <w:spacing w:val="0"/>
              </w:rPr>
            </w:pPr>
            <w:r>
              <w:rPr>
                <w:spacing w:val="0"/>
              </w:rPr>
              <w:t xml:space="preserve">Fiscal </w:t>
              <w:br/>
              <w:t xml:space="preserve">Year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248" w:type="dxa"/>
            <w:gridSpan w:val="4"/>
            <w:tcBorders>
              <w:bottom w:val="single" w:sz="6" w:space="0" w:color="002F56"/>
            </w:tcBorders>
            <w:shd w:fill="002F56" w:val="clear"/>
            <w:vAlign w:val="center"/>
          </w:tcPr>
          <w:p>
            <w:pPr>
              <w:pStyle w:val="TableContents"/>
              <w:bidi w:val="0"/>
              <w:spacing w:before="0" w:after="0"/>
              <w:jc w:val="center"/>
              <w:rPr/>
            </w:pPr>
            <w:r>
              <w:rPr>
                <w:spacing w:val="0"/>
              </w:rPr>
              <w:t>Service Cost</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433" w:type="dxa"/>
            <w:gridSpan w:val="4"/>
            <w:tcBorders>
              <w:bottom w:val="single" w:sz="6" w:space="0" w:color="002F56"/>
            </w:tcBorders>
            <w:shd w:fill="002F56" w:val="clear"/>
            <w:vAlign w:val="center"/>
          </w:tcPr>
          <w:p>
            <w:pPr>
              <w:pStyle w:val="TableContents"/>
              <w:bidi w:val="0"/>
              <w:spacing w:before="0" w:after="0"/>
              <w:jc w:val="center"/>
              <w:rPr/>
            </w:pPr>
            <w:r>
              <w:rPr>
                <w:spacing w:val="0"/>
              </w:rPr>
              <w:t>Prior Service Cost</w:t>
            </w:r>
            <w:r>
              <w:rPr/>
              <w:t xml:space="preserve"> </w:t>
              <w:br/>
            </w:r>
            <w:r>
              <w:rPr>
                <w:spacing w:val="-2"/>
              </w:rPr>
              <w:t xml:space="preserve">($) </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002F56"/>
            </w:tcBorders>
            <w:shd w:fill="002F56" w:val="clear"/>
            <w:vAlign w:val="center"/>
          </w:tcPr>
          <w:p>
            <w:pPr>
              <w:pStyle w:val="TableContents"/>
              <w:bidi w:val="0"/>
              <w:spacing w:before="0" w:after="283"/>
              <w:jc w:val="left"/>
              <w:rPr/>
            </w:pPr>
            <w:r>
              <w:rPr/>
              <w:t>​</w:t>
            </w:r>
          </w:p>
        </w:tc>
        <w:tc>
          <w:tcPr>
            <w:tcW w:w="1827" w:type="dxa"/>
            <w:gridSpan w:val="4"/>
            <w:tcBorders>
              <w:bottom w:val="single" w:sz="6" w:space="0" w:color="002F56"/>
            </w:tcBorders>
            <w:shd w:fill="002F56" w:val="clear"/>
            <w:vAlign w:val="center"/>
          </w:tcPr>
          <w:p>
            <w:pPr>
              <w:pStyle w:val="TableContents"/>
              <w:bidi w:val="0"/>
              <w:spacing w:before="0" w:after="0"/>
              <w:jc w:val="center"/>
              <w:rPr/>
            </w:pPr>
            <w:r>
              <w:rPr>
                <w:spacing w:val="0"/>
              </w:rPr>
              <w:t xml:space="preserve">Total Pension Benefit </w:t>
              <w:br/>
              <w:t>Adjustments</w:t>
            </w:r>
            <w:r>
              <w:rPr/>
              <w:t xml:space="preserve"> </w:t>
              <w:br/>
            </w:r>
            <w:r>
              <w:rPr>
                <w:spacing w:val="-2"/>
              </w:rPr>
              <w:t xml:space="preserve">($) </w:t>
            </w:r>
          </w:p>
        </w:tc>
        <w:tc>
          <w:tcPr>
            <w:tcW w:w="161" w:type="dxa"/>
            <w:tcBorders>
              <w:bottom w:val="single" w:sz="6" w:space="0" w:color="002F56"/>
            </w:tcBorders>
            <w:shd w:fill="002F56" w:val="clear"/>
            <w:vAlign w:val="center"/>
          </w:tcPr>
          <w:p>
            <w:pPr>
              <w:pStyle w:val="TableContents"/>
              <w:bidi w:val="0"/>
              <w:spacing w:before="0" w:after="283"/>
              <w:jc w:val="left"/>
              <w:rPr/>
            </w:pPr>
            <w:r>
              <w:rPr/>
              <w:t>​</w:t>
            </w:r>
          </w:p>
        </w:tc>
      </w:tr>
      <w:tr>
        <w:trPr/>
        <w:tc>
          <w:tcPr>
            <w:tcW w:w="124" w:type="dxa"/>
            <w:vMerge w:val="restart"/>
            <w:tcBorders>
              <w:bottom w:val="single" w:sz="2" w:space="0" w:color="002F56"/>
            </w:tcBorders>
            <w:vAlign w:val="center"/>
          </w:tcPr>
          <w:p>
            <w:pPr>
              <w:pStyle w:val="TableContents"/>
              <w:bidi w:val="0"/>
              <w:spacing w:before="0" w:after="283"/>
              <w:jc w:val="left"/>
              <w:rPr/>
            </w:pPr>
            <w:r>
              <w:rPr/>
              <w:t>​</w:t>
            </w:r>
          </w:p>
        </w:tc>
        <w:tc>
          <w:tcPr>
            <w:tcW w:w="2607" w:type="dxa"/>
            <w:vMerge w:val="restart"/>
            <w:tcBorders>
              <w:bottom w:val="single" w:sz="2" w:space="0" w:color="002F56"/>
            </w:tcBorders>
            <w:tcMar>
              <w:bottom w:w="56" w:type="dxa"/>
            </w:tcMar>
            <w:vAlign w:val="center"/>
          </w:tcPr>
          <w:p>
            <w:pPr>
              <w:pStyle w:val="TableContents"/>
              <w:bidi w:val="0"/>
              <w:spacing w:lineRule="atLeast" w:line="188" w:before="0" w:after="0"/>
              <w:jc w:val="left"/>
              <w:rPr>
                <w:spacing w:val="-1"/>
              </w:rPr>
            </w:pPr>
            <w:r>
              <w:rPr>
                <w:spacing w:val="-1"/>
              </w:rPr>
              <w:t xml:space="preserve">CEO </w:t>
            </w:r>
          </w:p>
        </w:tc>
        <w:tc>
          <w:tcPr>
            <w:tcW w:w="109" w:type="dxa"/>
            <w:vMerge w:val="restart"/>
            <w:tcBorders>
              <w:bottom w:val="single" w:sz="2" w:space="0" w:color="002F56"/>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lineRule="atLeast" w:line="188" w:before="0" w:after="283"/>
              <w:jc w:val="right"/>
              <w:rPr/>
            </w:pPr>
            <w:r>
              <w:rPr/>
              <w:t>83,168</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lineRule="atLeast" w:line="188" w:before="0" w:after="283"/>
              <w:jc w:val="right"/>
              <w:rPr/>
            </w:pPr>
            <w:r>
              <w:rPr/>
              <w:t>83,168</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260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before="0" w:after="283"/>
              <w:jc w:val="right"/>
              <w:rPr/>
            </w:pPr>
            <w:r>
              <w:rPr/>
              <w:t>73,499</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before="0" w:after="283"/>
              <w:jc w:val="right"/>
              <w:rPr/>
            </w:pPr>
            <w:r>
              <w:rPr/>
              <w:t>73,499</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260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before="0" w:after="283"/>
              <w:jc w:val="right"/>
              <w:rPr/>
            </w:pPr>
            <w:r>
              <w:rPr/>
              <w:t>76,518</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before="0" w:after="283"/>
              <w:jc w:val="right"/>
              <w:rPr/>
            </w:pPr>
            <w:r>
              <w:rPr/>
              <w:t>76,518</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260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before="0" w:after="283"/>
              <w:jc w:val="right"/>
              <w:rPr/>
            </w:pPr>
            <w:r>
              <w:rPr/>
              <w:t>77,160</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before="0" w:after="283"/>
              <w:jc w:val="right"/>
              <w:rPr/>
            </w:pPr>
            <w:r>
              <w:rPr/>
              <w:t>77,160</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2" w:space="0" w:color="002F56"/>
            </w:tcBorders>
            <w:vAlign w:val="center"/>
          </w:tcPr>
          <w:p>
            <w:pPr>
              <w:pStyle w:val="Normal"/>
              <w:bidi w:val="0"/>
              <w:jc w:val="left"/>
              <w:rPr/>
            </w:pPr>
            <w:r>
              <w:rPr/>
            </w:r>
          </w:p>
        </w:tc>
        <w:tc>
          <w:tcPr>
            <w:tcW w:w="2607" w:type="dxa"/>
            <w:vMerge w:val="continue"/>
            <w:tcBorders>
              <w:bottom w:val="single" w:sz="2" w:space="0" w:color="002F56"/>
            </w:tcBorders>
            <w:tcMar>
              <w:bottom w:w="56" w:type="dxa"/>
            </w:tcMar>
            <w:vAlign w:val="center"/>
          </w:tcPr>
          <w:p>
            <w:pPr>
              <w:pStyle w:val="Normal"/>
              <w:bidi w:val="0"/>
              <w:jc w:val="left"/>
              <w:rPr/>
            </w:pPr>
            <w:r>
              <w:rPr/>
            </w:r>
          </w:p>
        </w:tc>
        <w:tc>
          <w:tcPr>
            <w:tcW w:w="109" w:type="dxa"/>
            <w:vMerge w:val="continue"/>
            <w:tcBorders>
              <w:bottom w:val="single" w:sz="2" w:space="0" w:color="002F56"/>
            </w:tcBorders>
            <w:vAlign w:val="center"/>
          </w:tcPr>
          <w:p>
            <w:pPr>
              <w:pStyle w:val="Normal"/>
              <w:bidi w:val="0"/>
              <w:jc w:val="left"/>
              <w:rPr/>
            </w:pPr>
            <w:r>
              <w:rPr/>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9" w:type="dxa"/>
            </w:tcMar>
            <w:vAlign w:val="center"/>
          </w:tcPr>
          <w:p>
            <w:pPr>
              <w:pStyle w:val="TableContents"/>
              <w:bidi w:val="0"/>
              <w:spacing w:before="0" w:after="283"/>
              <w:jc w:val="right"/>
              <w:rPr/>
            </w:pPr>
            <w:r>
              <w:rPr/>
              <w:t>​</w:t>
            </w:r>
          </w:p>
        </w:tc>
        <w:tc>
          <w:tcPr>
            <w:tcW w:w="586" w:type="dxa"/>
            <w:tcBorders>
              <w:bottom w:val="single" w:sz="6" w:space="0" w:color="002F56"/>
            </w:tcBorders>
            <w:tcMar>
              <w:bottom w:w="49" w:type="dxa"/>
            </w:tcMar>
            <w:vAlign w:val="center"/>
          </w:tcPr>
          <w:p>
            <w:pPr>
              <w:pStyle w:val="TableContents"/>
              <w:bidi w:val="0"/>
              <w:spacing w:before="0" w:after="283"/>
              <w:jc w:val="right"/>
              <w:rPr/>
            </w:pPr>
            <w:r>
              <w:rPr/>
              <w:t>2021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vAlign w:val="center"/>
          </w:tcPr>
          <w:p>
            <w:pPr>
              <w:pStyle w:val="TableContents"/>
              <w:bidi w:val="0"/>
              <w:spacing w:before="0" w:after="283"/>
              <w:jc w:val="left"/>
              <w:rPr/>
            </w:pPr>
            <w:r>
              <w:rPr/>
              <w:t>​</w:t>
            </w:r>
          </w:p>
        </w:tc>
        <w:tc>
          <w:tcPr>
            <w:tcW w:w="124" w:type="dxa"/>
            <w:tcBorders>
              <w:bottom w:val="single" w:sz="6" w:space="0" w:color="002F56"/>
            </w:tcBorders>
            <w:tcMar>
              <w:bottom w:w="49" w:type="dxa"/>
            </w:tcMar>
            <w:vAlign w:val="center"/>
          </w:tcPr>
          <w:p>
            <w:pPr>
              <w:pStyle w:val="TableContents"/>
              <w:bidi w:val="0"/>
              <w:spacing w:before="0" w:after="283"/>
              <w:jc w:val="right"/>
              <w:rPr/>
            </w:pPr>
            <w:r>
              <w:rPr/>
              <w:t>​</w:t>
            </w:r>
          </w:p>
        </w:tc>
        <w:tc>
          <w:tcPr>
            <w:tcW w:w="876" w:type="dxa"/>
            <w:tcBorders>
              <w:bottom w:val="single" w:sz="6" w:space="0" w:color="002F56"/>
            </w:tcBorders>
            <w:tcMar>
              <w:bottom w:w="49" w:type="dxa"/>
            </w:tcMar>
            <w:vAlign w:val="center"/>
          </w:tcPr>
          <w:p>
            <w:pPr>
              <w:pStyle w:val="TableContents"/>
              <w:bidi w:val="0"/>
              <w:spacing w:before="0" w:after="283"/>
              <w:jc w:val="right"/>
              <w:rPr/>
            </w:pPr>
            <w:r>
              <w:rPr/>
              <w:t>83,949</w:t>
            </w:r>
          </w:p>
        </w:tc>
        <w:tc>
          <w:tcPr>
            <w:tcW w:w="124"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231" w:type="dxa"/>
            <w:tcBorders>
              <w:bottom w:val="single" w:sz="6" w:space="0" w:color="002F56"/>
            </w:tcBorders>
            <w:vAlign w:val="center"/>
          </w:tcPr>
          <w:p>
            <w:pPr>
              <w:pStyle w:val="TableContents"/>
              <w:bidi w:val="0"/>
              <w:spacing w:before="0" w:after="283"/>
              <w:jc w:val="left"/>
              <w:rPr/>
            </w:pPr>
            <w:r>
              <w:rPr/>
              <w:t>​</w:t>
            </w:r>
          </w:p>
        </w:tc>
        <w:tc>
          <w:tcPr>
            <w:tcW w:w="231" w:type="dxa"/>
            <w:tcBorders>
              <w:bottom w:val="single" w:sz="6" w:space="0" w:color="002F56"/>
            </w:tcBorders>
            <w:tcMar>
              <w:bottom w:w="49" w:type="dxa"/>
            </w:tcMar>
            <w:vAlign w:val="center"/>
          </w:tcPr>
          <w:p>
            <w:pPr>
              <w:pStyle w:val="TableContents"/>
              <w:bidi w:val="0"/>
              <w:spacing w:before="0" w:after="283"/>
              <w:jc w:val="right"/>
              <w:rPr/>
            </w:pPr>
            <w:r>
              <w:rPr/>
              <w:t>​</w:t>
            </w:r>
          </w:p>
        </w:tc>
        <w:tc>
          <w:tcPr>
            <w:tcW w:w="736" w:type="dxa"/>
            <w:tcBorders>
              <w:bottom w:val="single" w:sz="6" w:space="0" w:color="002F56"/>
            </w:tcBorders>
            <w:tcMar>
              <w:bottom w:w="49" w:type="dxa"/>
            </w:tcMar>
            <w:vAlign w:val="center"/>
          </w:tcPr>
          <w:p>
            <w:pPr>
              <w:pStyle w:val="TableContents"/>
              <w:bidi w:val="0"/>
              <w:spacing w:before="0" w:after="283"/>
              <w:jc w:val="right"/>
              <w:rPr/>
            </w:pPr>
            <w:r>
              <w:rPr/>
              <w:t>—</w:t>
            </w:r>
          </w:p>
        </w:tc>
        <w:tc>
          <w:tcPr>
            <w:tcW w:w="235"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81" w:type="dxa"/>
            <w:tcBorders>
              <w:bottom w:val="single" w:sz="6" w:space="0" w:color="002F56"/>
            </w:tcBorders>
            <w:vAlign w:val="center"/>
          </w:tcPr>
          <w:p>
            <w:pPr>
              <w:pStyle w:val="TableContents"/>
              <w:bidi w:val="0"/>
              <w:spacing w:before="0" w:after="283"/>
              <w:jc w:val="left"/>
              <w:rPr/>
            </w:pPr>
            <w:r>
              <w:rPr/>
              <w:t>​</w:t>
            </w:r>
          </w:p>
        </w:tc>
        <w:tc>
          <w:tcPr>
            <w:tcW w:w="181" w:type="dxa"/>
            <w:tcBorders>
              <w:bottom w:val="single" w:sz="6" w:space="0" w:color="002F56"/>
            </w:tcBorders>
            <w:tcMar>
              <w:bottom w:w="49" w:type="dxa"/>
            </w:tcMar>
            <w:vAlign w:val="center"/>
          </w:tcPr>
          <w:p>
            <w:pPr>
              <w:pStyle w:val="TableContents"/>
              <w:bidi w:val="0"/>
              <w:spacing w:before="0" w:after="283"/>
              <w:jc w:val="right"/>
              <w:rPr/>
            </w:pPr>
            <w:r>
              <w:rPr/>
              <w:t>​</w:t>
            </w:r>
          </w:p>
        </w:tc>
        <w:tc>
          <w:tcPr>
            <w:tcW w:w="1280" w:type="dxa"/>
            <w:tcBorders>
              <w:bottom w:val="single" w:sz="6" w:space="0" w:color="002F56"/>
            </w:tcBorders>
            <w:tcMar>
              <w:bottom w:w="49" w:type="dxa"/>
            </w:tcMar>
            <w:vAlign w:val="center"/>
          </w:tcPr>
          <w:p>
            <w:pPr>
              <w:pStyle w:val="TableContents"/>
              <w:bidi w:val="0"/>
              <w:spacing w:before="0" w:after="283"/>
              <w:jc w:val="right"/>
              <w:rPr/>
            </w:pPr>
            <w:r>
              <w:rPr/>
              <w:t>83,949</w:t>
            </w:r>
          </w:p>
        </w:tc>
        <w:tc>
          <w:tcPr>
            <w:tcW w:w="185" w:type="dxa"/>
            <w:tcBorders>
              <w:bottom w:val="single" w:sz="6" w:space="0" w:color="002F56"/>
            </w:tcBorders>
            <w:vAlign w:val="center"/>
          </w:tcPr>
          <w:p>
            <w:pPr>
              <w:pStyle w:val="TableContents"/>
              <w:bidi w:val="0"/>
              <w:spacing w:before="0" w:after="283"/>
              <w:jc w:val="left"/>
              <w:rPr/>
            </w:pPr>
            <w:r>
              <w:rPr/>
              <w:t>​</w:t>
            </w:r>
          </w:p>
        </w:tc>
        <w:tc>
          <w:tcPr>
            <w:tcW w:w="161" w:type="dxa"/>
            <w:tcBorders>
              <w:bottom w:val="single" w:sz="6" w:space="0" w:color="002F56"/>
            </w:tcBorders>
            <w:vAlign w:val="center"/>
          </w:tcPr>
          <w:p>
            <w:pPr>
              <w:pStyle w:val="TableContents"/>
              <w:bidi w:val="0"/>
              <w:spacing w:before="0" w:after="283"/>
              <w:jc w:val="left"/>
              <w:rPr/>
            </w:pPr>
            <w:r>
              <w:rPr/>
              <w:t>​</w:t>
            </w:r>
          </w:p>
        </w:tc>
      </w:tr>
      <w:tr>
        <w:trPr/>
        <w:tc>
          <w:tcPr>
            <w:tcW w:w="124" w:type="dxa"/>
            <w:vMerge w:val="restart"/>
            <w:tcBorders>
              <w:bottom w:val="single" w:sz="12" w:space="0" w:color="71B1C8"/>
            </w:tcBorders>
            <w:vAlign w:val="center"/>
          </w:tcPr>
          <w:p>
            <w:pPr>
              <w:pStyle w:val="TableContents"/>
              <w:bidi w:val="0"/>
              <w:spacing w:before="0" w:after="283"/>
              <w:jc w:val="left"/>
              <w:rPr/>
            </w:pPr>
            <w:r>
              <w:rPr/>
              <w:t>​</w:t>
            </w:r>
          </w:p>
        </w:tc>
        <w:tc>
          <w:tcPr>
            <w:tcW w:w="2607" w:type="dxa"/>
            <w:vMerge w:val="restart"/>
            <w:tcBorders>
              <w:bottom w:val="single" w:sz="12" w:space="0" w:color="71B1C8"/>
            </w:tcBorders>
            <w:tcMar>
              <w:bottom w:w="49" w:type="dxa"/>
            </w:tcMar>
            <w:vAlign w:val="center"/>
          </w:tcPr>
          <w:p>
            <w:pPr>
              <w:pStyle w:val="TableContents"/>
              <w:bidi w:val="0"/>
              <w:spacing w:lineRule="atLeast" w:line="188" w:before="0" w:after="0"/>
              <w:jc w:val="left"/>
              <w:rPr>
                <w:spacing w:val="-1"/>
              </w:rPr>
            </w:pPr>
            <w:r>
              <w:rPr>
                <w:spacing w:val="-1"/>
              </w:rPr>
              <w:t xml:space="preserve">Non-CEO Named Executive Officers </w:t>
            </w:r>
          </w:p>
        </w:tc>
        <w:tc>
          <w:tcPr>
            <w:tcW w:w="109" w:type="dxa"/>
            <w:vMerge w:val="restart"/>
            <w:tcBorders>
              <w:bottom w:val="single" w:sz="12" w:space="0" w:color="71B1C8"/>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lineRule="atLeast" w:line="188" w:before="0" w:after="283"/>
              <w:jc w:val="right"/>
              <w:rPr/>
            </w:pPr>
            <w:r>
              <w:rPr/>
              <w:t>2025</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lineRule="atLeast" w:line="188" w:before="0" w:after="283"/>
              <w:jc w:val="right"/>
              <w:rPr/>
            </w:pPr>
            <w:r>
              <w:rPr/>
              <w:t>9,677</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lineRule="atLeast" w:line="188"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lineRule="atLeast" w:line="188" w:before="0" w:after="283"/>
              <w:jc w:val="right"/>
              <w:rPr/>
            </w:pPr>
            <w:r>
              <w:rPr/>
              <w:t>9,677</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2607"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2024</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before="0" w:after="283"/>
              <w:jc w:val="right"/>
              <w:rPr/>
            </w:pPr>
            <w:r>
              <w:rPr/>
              <w:t>9,794</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before="0" w:after="283"/>
              <w:jc w:val="right"/>
              <w:rPr/>
            </w:pPr>
            <w:r>
              <w:rPr/>
              <w:t>9,794</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2607"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2023</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before="0" w:after="283"/>
              <w:jc w:val="right"/>
              <w:rPr/>
            </w:pPr>
            <w:r>
              <w:rPr/>
              <w:t>9,370</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before="0" w:after="283"/>
              <w:jc w:val="right"/>
              <w:rPr/>
            </w:pPr>
            <w:r>
              <w:rPr/>
              <w:t>9,370</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2607"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tcMar>
              <w:bottom w:w="56" w:type="dxa"/>
            </w:tcMar>
            <w:vAlign w:val="center"/>
          </w:tcPr>
          <w:p>
            <w:pPr>
              <w:pStyle w:val="TableContents"/>
              <w:bidi w:val="0"/>
              <w:spacing w:before="0" w:after="283"/>
              <w:jc w:val="right"/>
              <w:rPr/>
            </w:pPr>
            <w:r>
              <w:rPr/>
              <w:t>​</w:t>
            </w:r>
          </w:p>
        </w:tc>
        <w:tc>
          <w:tcPr>
            <w:tcW w:w="586" w:type="dxa"/>
            <w:tcBorders>
              <w:bottom w:val="single" w:sz="6" w:space="0" w:color="CCCCCC"/>
            </w:tcBorders>
            <w:tcMar>
              <w:bottom w:w="56" w:type="dxa"/>
            </w:tcMar>
            <w:vAlign w:val="center"/>
          </w:tcPr>
          <w:p>
            <w:pPr>
              <w:pStyle w:val="TableContents"/>
              <w:bidi w:val="0"/>
              <w:spacing w:before="0" w:after="283"/>
              <w:jc w:val="right"/>
              <w:rPr/>
            </w:pPr>
            <w:r>
              <w:rPr/>
              <w:t>2022</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vAlign w:val="center"/>
          </w:tcPr>
          <w:p>
            <w:pPr>
              <w:pStyle w:val="TableContents"/>
              <w:bidi w:val="0"/>
              <w:spacing w:before="0" w:after="283"/>
              <w:jc w:val="left"/>
              <w:rPr/>
            </w:pPr>
            <w:r>
              <w:rPr/>
              <w:t>​</w:t>
            </w:r>
          </w:p>
        </w:tc>
        <w:tc>
          <w:tcPr>
            <w:tcW w:w="124" w:type="dxa"/>
            <w:tcBorders>
              <w:bottom w:val="single" w:sz="6" w:space="0" w:color="CCCCCC"/>
            </w:tcBorders>
            <w:tcMar>
              <w:bottom w:w="56" w:type="dxa"/>
            </w:tcMar>
            <w:vAlign w:val="center"/>
          </w:tcPr>
          <w:p>
            <w:pPr>
              <w:pStyle w:val="TableContents"/>
              <w:bidi w:val="0"/>
              <w:spacing w:before="0" w:after="283"/>
              <w:jc w:val="right"/>
              <w:rPr/>
            </w:pPr>
            <w:r>
              <w:rPr/>
              <w:t>​</w:t>
            </w:r>
          </w:p>
        </w:tc>
        <w:tc>
          <w:tcPr>
            <w:tcW w:w="876" w:type="dxa"/>
            <w:tcBorders>
              <w:bottom w:val="single" w:sz="6" w:space="0" w:color="CCCCCC"/>
            </w:tcBorders>
            <w:tcMar>
              <w:bottom w:w="56" w:type="dxa"/>
            </w:tcMar>
            <w:vAlign w:val="center"/>
          </w:tcPr>
          <w:p>
            <w:pPr>
              <w:pStyle w:val="TableContents"/>
              <w:bidi w:val="0"/>
              <w:spacing w:before="0" w:after="283"/>
              <w:jc w:val="right"/>
              <w:rPr/>
            </w:pPr>
            <w:r>
              <w:rPr/>
              <w:t>14,404</w:t>
            </w:r>
          </w:p>
        </w:tc>
        <w:tc>
          <w:tcPr>
            <w:tcW w:w="124"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vAlign w:val="center"/>
          </w:tcPr>
          <w:p>
            <w:pPr>
              <w:pStyle w:val="TableContents"/>
              <w:bidi w:val="0"/>
              <w:spacing w:before="0" w:after="283"/>
              <w:jc w:val="left"/>
              <w:rPr/>
            </w:pPr>
            <w:r>
              <w:rPr/>
              <w:t>​</w:t>
            </w:r>
          </w:p>
        </w:tc>
        <w:tc>
          <w:tcPr>
            <w:tcW w:w="231" w:type="dxa"/>
            <w:tcBorders>
              <w:bottom w:val="single" w:sz="6" w:space="0" w:color="CCCCCC"/>
            </w:tcBorders>
            <w:tcMar>
              <w:bottom w:w="56" w:type="dxa"/>
            </w:tcMar>
            <w:vAlign w:val="center"/>
          </w:tcPr>
          <w:p>
            <w:pPr>
              <w:pStyle w:val="TableContents"/>
              <w:bidi w:val="0"/>
              <w:spacing w:before="0" w:after="283"/>
              <w:jc w:val="right"/>
              <w:rPr/>
            </w:pPr>
            <w:r>
              <w:rPr/>
              <w:t>​</w:t>
            </w:r>
          </w:p>
        </w:tc>
        <w:tc>
          <w:tcPr>
            <w:tcW w:w="736" w:type="dxa"/>
            <w:tcBorders>
              <w:bottom w:val="single" w:sz="6" w:space="0" w:color="CCCCCC"/>
            </w:tcBorders>
            <w:tcMar>
              <w:bottom w:w="56" w:type="dxa"/>
            </w:tcMar>
            <w:vAlign w:val="center"/>
          </w:tcPr>
          <w:p>
            <w:pPr>
              <w:pStyle w:val="TableContents"/>
              <w:bidi w:val="0"/>
              <w:spacing w:before="0" w:after="283"/>
              <w:jc w:val="right"/>
              <w:rPr/>
            </w:pPr>
            <w:r>
              <w:rPr/>
              <w:t>—</w:t>
            </w:r>
          </w:p>
        </w:tc>
        <w:tc>
          <w:tcPr>
            <w:tcW w:w="235"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09"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vAlign w:val="center"/>
          </w:tcPr>
          <w:p>
            <w:pPr>
              <w:pStyle w:val="TableContents"/>
              <w:bidi w:val="0"/>
              <w:spacing w:before="0" w:after="283"/>
              <w:jc w:val="left"/>
              <w:rPr/>
            </w:pPr>
            <w:r>
              <w:rPr/>
              <w:t>​</w:t>
            </w:r>
          </w:p>
        </w:tc>
        <w:tc>
          <w:tcPr>
            <w:tcW w:w="181" w:type="dxa"/>
            <w:tcBorders>
              <w:bottom w:val="single" w:sz="6" w:space="0" w:color="CCCCCC"/>
            </w:tcBorders>
            <w:tcMar>
              <w:bottom w:w="56" w:type="dxa"/>
            </w:tcMar>
            <w:vAlign w:val="center"/>
          </w:tcPr>
          <w:p>
            <w:pPr>
              <w:pStyle w:val="TableContents"/>
              <w:bidi w:val="0"/>
              <w:spacing w:before="0" w:after="283"/>
              <w:jc w:val="right"/>
              <w:rPr/>
            </w:pPr>
            <w:r>
              <w:rPr/>
              <w:t>​</w:t>
            </w:r>
          </w:p>
        </w:tc>
        <w:tc>
          <w:tcPr>
            <w:tcW w:w="1280" w:type="dxa"/>
            <w:tcBorders>
              <w:bottom w:val="single" w:sz="6" w:space="0" w:color="CCCCCC"/>
            </w:tcBorders>
            <w:tcMar>
              <w:bottom w:w="56" w:type="dxa"/>
            </w:tcMar>
            <w:vAlign w:val="center"/>
          </w:tcPr>
          <w:p>
            <w:pPr>
              <w:pStyle w:val="TableContents"/>
              <w:bidi w:val="0"/>
              <w:spacing w:before="0" w:after="283"/>
              <w:jc w:val="right"/>
              <w:rPr/>
            </w:pPr>
            <w:r>
              <w:rPr/>
              <w:t>14,404</w:t>
            </w:r>
          </w:p>
        </w:tc>
        <w:tc>
          <w:tcPr>
            <w:tcW w:w="185" w:type="dxa"/>
            <w:tcBorders>
              <w:bottom w:val="single" w:sz="6" w:space="0" w:color="CCCCCC"/>
            </w:tcBorders>
            <w:vAlign w:val="center"/>
          </w:tcPr>
          <w:p>
            <w:pPr>
              <w:pStyle w:val="TableContents"/>
              <w:bidi w:val="0"/>
              <w:spacing w:before="0" w:after="283"/>
              <w:jc w:val="left"/>
              <w:rPr/>
            </w:pPr>
            <w:r>
              <w:rPr/>
              <w:t>​</w:t>
            </w:r>
          </w:p>
        </w:tc>
        <w:tc>
          <w:tcPr>
            <w:tcW w:w="161" w:type="dxa"/>
            <w:tcBorders>
              <w:bottom w:val="single" w:sz="6" w:space="0" w:color="CCCCCC"/>
            </w:tcBorders>
            <w:vAlign w:val="center"/>
          </w:tcPr>
          <w:p>
            <w:pPr>
              <w:pStyle w:val="TableContents"/>
              <w:bidi w:val="0"/>
              <w:spacing w:before="0" w:after="283"/>
              <w:jc w:val="left"/>
              <w:rPr/>
            </w:pPr>
            <w:r>
              <w:rPr/>
              <w:t>​</w:t>
            </w:r>
          </w:p>
        </w:tc>
      </w:tr>
      <w:tr>
        <w:trPr/>
        <w:tc>
          <w:tcPr>
            <w:tcW w:w="124" w:type="dxa"/>
            <w:vMerge w:val="continue"/>
            <w:tcBorders>
              <w:bottom w:val="single" w:sz="12" w:space="0" w:color="71B1C8"/>
            </w:tcBorders>
            <w:vAlign w:val="center"/>
          </w:tcPr>
          <w:p>
            <w:pPr>
              <w:pStyle w:val="Normal"/>
              <w:bidi w:val="0"/>
              <w:jc w:val="left"/>
              <w:rPr/>
            </w:pPr>
            <w:r>
              <w:rPr/>
            </w:r>
          </w:p>
        </w:tc>
        <w:tc>
          <w:tcPr>
            <w:tcW w:w="2607" w:type="dxa"/>
            <w:vMerge w:val="continue"/>
            <w:tcBorders>
              <w:bottom w:val="single" w:sz="12" w:space="0" w:color="71B1C8"/>
            </w:tcBorders>
            <w:tcMar>
              <w:bottom w:w="49" w:type="dxa"/>
            </w:tcMar>
            <w:vAlign w:val="center"/>
          </w:tcPr>
          <w:p>
            <w:pPr>
              <w:pStyle w:val="Normal"/>
              <w:bidi w:val="0"/>
              <w:jc w:val="left"/>
              <w:rPr/>
            </w:pPr>
            <w:r>
              <w:rPr/>
            </w:r>
          </w:p>
        </w:tc>
        <w:tc>
          <w:tcPr>
            <w:tcW w:w="109" w:type="dxa"/>
            <w:vMerge w:val="continue"/>
            <w:tcBorders>
              <w:bottom w:val="single" w:sz="12" w:space="0" w:color="71B1C8"/>
            </w:tcBorders>
            <w:vAlign w:val="center"/>
          </w:tcPr>
          <w:p>
            <w:pPr>
              <w:pStyle w:val="Normal"/>
              <w:bidi w:val="0"/>
              <w:jc w:val="left"/>
              <w:rPr/>
            </w:pPr>
            <w:r>
              <w:rPr/>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tcMar>
              <w:bottom w:w="47" w:type="dxa"/>
            </w:tcMar>
            <w:vAlign w:val="center"/>
          </w:tcPr>
          <w:p>
            <w:pPr>
              <w:pStyle w:val="TableContents"/>
              <w:bidi w:val="0"/>
              <w:spacing w:before="0" w:after="283"/>
              <w:jc w:val="right"/>
              <w:rPr/>
            </w:pPr>
            <w:r>
              <w:rPr/>
              <w:t>​</w:t>
            </w:r>
          </w:p>
        </w:tc>
        <w:tc>
          <w:tcPr>
            <w:tcW w:w="586" w:type="dxa"/>
            <w:tcBorders>
              <w:bottom w:val="single" w:sz="12" w:space="0" w:color="71B1C8"/>
            </w:tcBorders>
            <w:tcMar>
              <w:bottom w:w="47" w:type="dxa"/>
            </w:tcMar>
            <w:vAlign w:val="center"/>
          </w:tcPr>
          <w:p>
            <w:pPr>
              <w:pStyle w:val="TableContents"/>
              <w:bidi w:val="0"/>
              <w:spacing w:before="0" w:after="283"/>
              <w:jc w:val="right"/>
              <w:rPr/>
            </w:pPr>
            <w:r>
              <w:rPr/>
              <w:t>2021</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4" w:type="dxa"/>
            <w:tcBorders>
              <w:bottom w:val="single" w:sz="12" w:space="0" w:color="71B1C8"/>
            </w:tcBorders>
            <w:vAlign w:val="center"/>
          </w:tcPr>
          <w:p>
            <w:pPr>
              <w:pStyle w:val="TableContents"/>
              <w:bidi w:val="0"/>
              <w:spacing w:before="0" w:after="283"/>
              <w:jc w:val="left"/>
              <w:rPr/>
            </w:pPr>
            <w:r>
              <w:rPr/>
              <w:t>​</w:t>
            </w:r>
          </w:p>
        </w:tc>
        <w:tc>
          <w:tcPr>
            <w:tcW w:w="124" w:type="dxa"/>
            <w:tcBorders>
              <w:bottom w:val="single" w:sz="12" w:space="0" w:color="71B1C8"/>
            </w:tcBorders>
            <w:tcMar>
              <w:bottom w:w="47" w:type="dxa"/>
            </w:tcMar>
            <w:vAlign w:val="center"/>
          </w:tcPr>
          <w:p>
            <w:pPr>
              <w:pStyle w:val="TableContents"/>
              <w:bidi w:val="0"/>
              <w:spacing w:before="0" w:after="283"/>
              <w:jc w:val="right"/>
              <w:rPr/>
            </w:pPr>
            <w:r>
              <w:rPr/>
              <w:t>​</w:t>
            </w:r>
          </w:p>
        </w:tc>
        <w:tc>
          <w:tcPr>
            <w:tcW w:w="876" w:type="dxa"/>
            <w:tcBorders>
              <w:bottom w:val="single" w:sz="12" w:space="0" w:color="71B1C8"/>
            </w:tcBorders>
            <w:tcMar>
              <w:bottom w:w="47" w:type="dxa"/>
            </w:tcMar>
            <w:vAlign w:val="center"/>
          </w:tcPr>
          <w:p>
            <w:pPr>
              <w:pStyle w:val="TableContents"/>
              <w:bidi w:val="0"/>
              <w:spacing w:before="0" w:after="283"/>
              <w:jc w:val="right"/>
              <w:rPr/>
            </w:pPr>
            <w:r>
              <w:rPr/>
              <w:t>20,451</w:t>
            </w:r>
          </w:p>
        </w:tc>
        <w:tc>
          <w:tcPr>
            <w:tcW w:w="124"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231" w:type="dxa"/>
            <w:tcBorders>
              <w:bottom w:val="single" w:sz="12" w:space="0" w:color="71B1C8"/>
            </w:tcBorders>
            <w:vAlign w:val="center"/>
          </w:tcPr>
          <w:p>
            <w:pPr>
              <w:pStyle w:val="TableContents"/>
              <w:bidi w:val="0"/>
              <w:spacing w:before="0" w:after="283"/>
              <w:jc w:val="left"/>
              <w:rPr/>
            </w:pPr>
            <w:r>
              <w:rPr/>
              <w:t>​</w:t>
            </w:r>
          </w:p>
        </w:tc>
        <w:tc>
          <w:tcPr>
            <w:tcW w:w="231" w:type="dxa"/>
            <w:tcBorders>
              <w:bottom w:val="single" w:sz="12" w:space="0" w:color="71B1C8"/>
            </w:tcBorders>
            <w:tcMar>
              <w:bottom w:w="47" w:type="dxa"/>
            </w:tcMar>
            <w:vAlign w:val="center"/>
          </w:tcPr>
          <w:p>
            <w:pPr>
              <w:pStyle w:val="TableContents"/>
              <w:bidi w:val="0"/>
              <w:spacing w:before="0" w:after="283"/>
              <w:jc w:val="right"/>
              <w:rPr/>
            </w:pPr>
            <w:r>
              <w:rPr/>
              <w:t>​</w:t>
            </w:r>
          </w:p>
        </w:tc>
        <w:tc>
          <w:tcPr>
            <w:tcW w:w="736" w:type="dxa"/>
            <w:tcBorders>
              <w:bottom w:val="single" w:sz="12" w:space="0" w:color="71B1C8"/>
            </w:tcBorders>
            <w:tcMar>
              <w:bottom w:w="47" w:type="dxa"/>
            </w:tcMar>
            <w:vAlign w:val="center"/>
          </w:tcPr>
          <w:p>
            <w:pPr>
              <w:pStyle w:val="TableContents"/>
              <w:bidi w:val="0"/>
              <w:spacing w:before="0" w:after="283"/>
              <w:jc w:val="right"/>
              <w:rPr/>
            </w:pPr>
            <w:r>
              <w:rPr/>
              <w:t>—</w:t>
            </w:r>
          </w:p>
        </w:tc>
        <w:tc>
          <w:tcPr>
            <w:tcW w:w="235"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81" w:type="dxa"/>
            <w:tcBorders>
              <w:bottom w:val="single" w:sz="12" w:space="0" w:color="71B1C8"/>
            </w:tcBorders>
            <w:vAlign w:val="center"/>
          </w:tcPr>
          <w:p>
            <w:pPr>
              <w:pStyle w:val="TableContents"/>
              <w:bidi w:val="0"/>
              <w:spacing w:before="0" w:after="283"/>
              <w:jc w:val="left"/>
              <w:rPr/>
            </w:pPr>
            <w:r>
              <w:rPr/>
              <w:t>​</w:t>
            </w:r>
          </w:p>
        </w:tc>
        <w:tc>
          <w:tcPr>
            <w:tcW w:w="181" w:type="dxa"/>
            <w:tcBorders>
              <w:bottom w:val="single" w:sz="12" w:space="0" w:color="71B1C8"/>
            </w:tcBorders>
            <w:tcMar>
              <w:bottom w:w="47" w:type="dxa"/>
            </w:tcMar>
            <w:vAlign w:val="center"/>
          </w:tcPr>
          <w:p>
            <w:pPr>
              <w:pStyle w:val="TableContents"/>
              <w:bidi w:val="0"/>
              <w:spacing w:before="0" w:after="283"/>
              <w:jc w:val="right"/>
              <w:rPr/>
            </w:pPr>
            <w:r>
              <w:rPr/>
              <w:t>​</w:t>
            </w:r>
          </w:p>
        </w:tc>
        <w:tc>
          <w:tcPr>
            <w:tcW w:w="1280" w:type="dxa"/>
            <w:tcBorders>
              <w:bottom w:val="single" w:sz="12" w:space="0" w:color="71B1C8"/>
            </w:tcBorders>
            <w:tcMar>
              <w:bottom w:w="47" w:type="dxa"/>
            </w:tcMar>
            <w:vAlign w:val="center"/>
          </w:tcPr>
          <w:p>
            <w:pPr>
              <w:pStyle w:val="TableContents"/>
              <w:bidi w:val="0"/>
              <w:spacing w:before="0" w:after="283"/>
              <w:jc w:val="right"/>
              <w:rPr/>
            </w:pPr>
            <w:r>
              <w:rPr/>
              <w:t>20,451</w:t>
            </w:r>
          </w:p>
        </w:tc>
        <w:tc>
          <w:tcPr>
            <w:tcW w:w="185" w:type="dxa"/>
            <w:tcBorders>
              <w:bottom w:val="single" w:sz="12" w:space="0" w:color="71B1C8"/>
            </w:tcBorders>
            <w:vAlign w:val="center"/>
          </w:tcPr>
          <w:p>
            <w:pPr>
              <w:pStyle w:val="TableContents"/>
              <w:bidi w:val="0"/>
              <w:spacing w:before="0" w:after="283"/>
              <w:jc w:val="left"/>
              <w:rPr/>
            </w:pPr>
            <w:r>
              <w:rPr/>
              <w:t>​</w:t>
            </w:r>
          </w:p>
        </w:tc>
        <w:tc>
          <w:tcPr>
            <w:tcW w:w="161"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73</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RELATIONSHIP BETWEEN PAY AND PERFORMANCE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Below are graphs showing the relationship of Chief Executive Officer CAP and Average non-CEO NEO CAP to:</w:t>
      </w:r>
      <w:r>
        <w:rPr>
          <w:rFonts w:ascii="Arial;Helvetica;sans-serif" w:hAnsi="Arial;Helvetica;sans-serif"/>
          <w:b w:val="false"/>
          <w:i w:val="false"/>
          <w:caps w:val="false"/>
          <w:smallCaps w:val="false"/>
          <w:color w:val="000000"/>
          <w:spacing w:val="4"/>
          <w:sz w:val="18"/>
        </w:rPr>
        <w:t xml:space="preserve"> </w:t>
      </w:r>
    </w:p>
    <w:tbl>
      <w:tblPr>
        <w:tblW w:w="6252" w:type="dxa"/>
        <w:jc w:val="left"/>
        <w:tblInd w:w="1020" w:type="dxa"/>
        <w:tblLayout w:type="fixed"/>
        <w:tblCellMar>
          <w:top w:w="0" w:type="dxa"/>
          <w:left w:w="0" w:type="dxa"/>
          <w:bottom w:w="0" w:type="dxa"/>
          <w:right w:w="0" w:type="dxa"/>
        </w:tblCellMar>
      </w:tblPr>
      <w:tblGrid>
        <w:gridCol w:w="124"/>
        <w:gridCol w:w="286"/>
        <w:gridCol w:w="109"/>
        <w:gridCol w:w="109"/>
        <w:gridCol w:w="5470"/>
        <w:gridCol w:w="154"/>
      </w:tblGrid>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b/>
                <w:color w:val="002F56"/>
                <w:sz w:val="22"/>
              </w:rPr>
            </w:pPr>
            <w:r>
              <w:rPr>
                <w:b/>
                <w:color w:val="002F56"/>
                <w:spacing w:val="-8"/>
                <w:sz w:val="22"/>
              </w:rPr>
              <w:t>1</w:t>
            </w:r>
            <w:r>
              <w:rPr>
                <w:b/>
                <w:color w:val="000000"/>
                <w:sz w:val="22"/>
              </w:rPr>
              <w:t>​</w:t>
            </w:r>
            <w:r>
              <w:rPr>
                <w:b/>
                <w:color w:val="002F56"/>
                <w:sz w:val="2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70" w:type="dxa"/>
            <w:tcBorders/>
            <w:vAlign w:val="center"/>
          </w:tcPr>
          <w:p>
            <w:pPr>
              <w:pStyle w:val="TableContents"/>
              <w:bidi w:val="0"/>
              <w:spacing w:lineRule="atLeast" w:line="200" w:before="0" w:after="0"/>
              <w:jc w:val="left"/>
              <w:rPr>
                <w:spacing w:val="-1"/>
              </w:rPr>
            </w:pPr>
            <w:r>
              <w:rPr>
                <w:spacing w:val="-1"/>
              </w:rPr>
              <w:t xml:space="preserve">the Company’s TSR and Peer Group TSR,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b/>
                <w:color w:val="002F56"/>
                <w:sz w:val="22"/>
              </w:rPr>
            </w:pPr>
            <w:r>
              <w:rPr>
                <w:b/>
                <w:color w:val="002F56"/>
                <w:spacing w:val="-8"/>
                <w:sz w:val="22"/>
              </w:rPr>
              <w:t>2</w:t>
            </w:r>
            <w:r>
              <w:rPr>
                <w:b/>
                <w:color w:val="000000"/>
                <w:sz w:val="22"/>
              </w:rPr>
              <w:t>​</w:t>
            </w:r>
            <w:r>
              <w:rPr>
                <w:b/>
                <w:color w:val="002F56"/>
                <w:sz w:val="2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70" w:type="dxa"/>
            <w:tcBorders/>
            <w:vAlign w:val="center"/>
          </w:tcPr>
          <w:p>
            <w:pPr>
              <w:pStyle w:val="TableContents"/>
              <w:bidi w:val="0"/>
              <w:spacing w:before="0" w:after="283"/>
              <w:jc w:val="left"/>
              <w:rPr>
                <w:spacing w:val="-1"/>
              </w:rPr>
            </w:pPr>
            <w:r>
              <w:rPr>
                <w:spacing w:val="-1"/>
              </w:rPr>
              <w:t xml:space="preserve">the Company’s net income and adjusted net income, and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left"/>
              <w:rPr>
                <w:b/>
                <w:color w:val="002F56"/>
                <w:sz w:val="22"/>
              </w:rPr>
            </w:pPr>
            <w:r>
              <w:rPr>
                <w:b/>
                <w:color w:val="002F56"/>
                <w:spacing w:val="-8"/>
                <w:sz w:val="22"/>
              </w:rPr>
              <w:t>3</w:t>
            </w:r>
            <w:r>
              <w:rPr>
                <w:b/>
                <w:color w:val="000000"/>
                <w:sz w:val="22"/>
              </w:rPr>
              <w:t>​</w:t>
            </w:r>
            <w:r>
              <w:rPr>
                <w:b/>
                <w:color w:val="002F56"/>
                <w:sz w:val="2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70" w:type="dxa"/>
            <w:tcBorders/>
            <w:vAlign w:val="center"/>
          </w:tcPr>
          <w:p>
            <w:pPr>
              <w:pStyle w:val="TableContents"/>
              <w:bidi w:val="0"/>
              <w:spacing w:before="0" w:after="283"/>
              <w:jc w:val="left"/>
              <w:rPr/>
            </w:pPr>
            <w:r>
              <w:rPr>
                <w:spacing w:val="-1"/>
              </w:rPr>
              <w:t>the Company’s adjusted operating income: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360" w:after="283"/>
        <w:ind w:left="1020" w:right="0" w:hanging="0"/>
        <w:jc w:val="center"/>
        <w:rPr>
          <w:caps w:val="false"/>
          <w:smallCaps w:val="false"/>
          <w:color w:val="000000"/>
        </w:rPr>
      </w:pPr>
      <w:r>
        <w:rPr>
          <w:caps w:val="false"/>
          <w:smallCaps w:val="false"/>
          <w:color w:val="000000"/>
        </w:rPr>
        <w:drawing>
          <wp:inline distT="0" distB="0" distL="0" distR="0">
            <wp:extent cx="5067300" cy="2209800"/>
            <wp:effectExtent l="0" t="0" r="0" b="0"/>
            <wp:docPr id="861"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Image274" descr=""/>
                    <pic:cNvPicPr>
                      <a:picLocks noChangeAspect="1" noChangeArrowheads="1"/>
                    </pic:cNvPicPr>
                  </pic:nvPicPr>
                  <pic:blipFill>
                    <a:blip r:embed="rId286"/>
                    <a:stretch>
                      <a:fillRect/>
                    </a:stretch>
                  </pic:blipFill>
                  <pic:spPr bwMode="auto">
                    <a:xfrm>
                      <a:off x="0" y="0"/>
                      <a:ext cx="5067300" cy="2209800"/>
                    </a:xfrm>
                    <a:prstGeom prst="rect">
                      <a:avLst/>
                    </a:prstGeom>
                  </pic:spPr>
                </pic:pic>
              </a:graphicData>
            </a:graphic>
          </wp:inline>
        </w:drawing>
      </w:r>
      <w:r>
        <w:rPr>
          <w:caps w:val="false"/>
          <w:smallCaps w:val="false"/>
          <w:color w:val="000000"/>
        </w:rPr>
        <w:t xml:space="preserve"> </w:t>
      </w:r>
    </w:p>
    <w:p>
      <w:pPr>
        <w:pStyle w:val="TextBody"/>
        <w:bidi w:val="0"/>
        <w:spacing w:before="370" w:after="283"/>
        <w:jc w:val="center"/>
        <w:rPr>
          <w:caps w:val="false"/>
          <w:smallCaps w:val="false"/>
          <w:color w:val="000000"/>
        </w:rPr>
      </w:pPr>
      <w:r>
        <w:rPr>
          <w:caps w:val="false"/>
          <w:smallCaps w:val="false"/>
          <w:color w:val="000000"/>
        </w:rPr>
        <w:drawing>
          <wp:inline distT="0" distB="0" distL="0" distR="0">
            <wp:extent cx="5067300" cy="2209800"/>
            <wp:effectExtent l="0" t="0" r="0" b="0"/>
            <wp:docPr id="862"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275" descr=""/>
                    <pic:cNvPicPr>
                      <a:picLocks noChangeAspect="1" noChangeArrowheads="1"/>
                    </pic:cNvPicPr>
                  </pic:nvPicPr>
                  <pic:blipFill>
                    <a:blip r:embed="rId287"/>
                    <a:stretch>
                      <a:fillRect/>
                    </a:stretch>
                  </pic:blipFill>
                  <pic:spPr bwMode="auto">
                    <a:xfrm>
                      <a:off x="0" y="0"/>
                      <a:ext cx="5067300" cy="2209800"/>
                    </a:xfrm>
                    <a:prstGeom prst="rect">
                      <a:avLst/>
                    </a:prstGeom>
                  </pic:spPr>
                </pic:pic>
              </a:graphicData>
            </a:graphic>
          </wp:inline>
        </w:drawing>
      </w:r>
      <w:r>
        <w:rPr>
          <w:caps w:val="false"/>
          <w:smallCaps w:val="false"/>
          <w:color w:val="000000"/>
        </w:rPr>
        <w:t xml:space="preserve"> </w:t>
      </w:r>
    </w:p>
    <w:p>
      <w:pPr>
        <w:pStyle w:val="TextBody"/>
        <w:bidi w:val="0"/>
        <w:spacing w:before="370" w:after="283"/>
        <w:jc w:val="center"/>
        <w:rPr>
          <w:caps w:val="false"/>
          <w:smallCaps w:val="false"/>
          <w:color w:val="000000"/>
        </w:rPr>
      </w:pPr>
      <w:r>
        <w:rPr>
          <w:caps w:val="false"/>
          <w:smallCaps w:val="false"/>
          <w:color w:val="000000"/>
        </w:rPr>
        <w:drawing>
          <wp:inline distT="0" distB="0" distL="0" distR="0">
            <wp:extent cx="5067300" cy="2209800"/>
            <wp:effectExtent l="0" t="0" r="0" b="0"/>
            <wp:docPr id="863"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Image276" descr=""/>
                    <pic:cNvPicPr>
                      <a:picLocks noChangeAspect="1" noChangeArrowheads="1"/>
                    </pic:cNvPicPr>
                  </pic:nvPicPr>
                  <pic:blipFill>
                    <a:blip r:embed="rId288"/>
                    <a:stretch>
                      <a:fillRect/>
                    </a:stretch>
                  </pic:blipFill>
                  <pic:spPr bwMode="auto">
                    <a:xfrm>
                      <a:off x="0" y="0"/>
                      <a:ext cx="5067300" cy="2209800"/>
                    </a:xfrm>
                    <a:prstGeom prst="rect">
                      <a:avLst/>
                    </a:prstGeom>
                  </pic:spPr>
                </pic:pic>
              </a:graphicData>
            </a:graphic>
          </wp:inline>
        </w:drawing>
      </w:r>
      <w:r>
        <w:rPr>
          <w:caps w:val="false"/>
          <w:smallCaps w:val="false"/>
          <w:color w:val="000000"/>
        </w:rPr>
        <w:t xml:space="preserve">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74</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COMPENSATION TABLES AND NARRATIVE</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320" w:before="400" w:after="283"/>
        <w:ind w:left="1020" w:right="0" w:hanging="0"/>
        <w:jc w:val="left"/>
        <w:rPr>
          <w:rFonts w:ascii="Arial;Helvetica;sans-serif" w:hAnsi="Arial;Helvetica;sans-serif"/>
          <w:b w:val="false"/>
          <w:i w:val="false"/>
          <w:caps w:val="false"/>
          <w:smallCaps w:val="false"/>
          <w:color w:val="002F56"/>
          <w:sz w:val="28"/>
        </w:rPr>
      </w:pPr>
      <w:r>
        <w:rPr>
          <w:rFonts w:ascii="Arial;Helvetica;sans-serif" w:hAnsi="Arial;Helvetica;sans-serif"/>
          <w:b w:val="false"/>
          <w:i w:val="false"/>
          <w:caps w:val="false"/>
          <w:smallCaps w:val="false"/>
          <w:color w:val="002F56"/>
          <w:spacing w:val="-2"/>
          <w:sz w:val="28"/>
        </w:rPr>
        <w:t>OUR MOST IMPORTANT METRICS USED FOR LINKING PAY AND PERFORMANCE</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10" w:before="1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Listed below are the financial and non-financial performance measures which in our assessment represent the most important financial performance measures we use to link compensation actually paid to our named executive officers, for 2025, to Company performance.</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3705"/>
        <w:gridCol w:w="109"/>
        <w:gridCol w:w="109"/>
        <w:gridCol w:w="4983"/>
        <w:gridCol w:w="155"/>
      </w:tblGrid>
      <w:tr>
        <w:trPr/>
        <w:tc>
          <w:tcPr>
            <w:tcW w:w="124" w:type="dxa"/>
            <w:tcBorders/>
            <w:shd w:fill="002F56" w:val="clear"/>
            <w:vAlign w:val="center"/>
          </w:tcPr>
          <w:p>
            <w:pPr>
              <w:pStyle w:val="TableContents"/>
              <w:bidi w:val="0"/>
              <w:spacing w:before="0" w:after="283"/>
              <w:jc w:val="left"/>
              <w:rPr/>
            </w:pPr>
            <w:r>
              <w:rPr/>
              <w:t>​</w:t>
            </w:r>
          </w:p>
        </w:tc>
        <w:tc>
          <w:tcPr>
            <w:tcW w:w="3705" w:type="dxa"/>
            <w:tcBorders/>
            <w:shd w:fill="002F56" w:val="clear"/>
            <w:vAlign w:val="center"/>
          </w:tcPr>
          <w:p>
            <w:pPr>
              <w:pStyle w:val="TableContents"/>
              <w:bidi w:val="0"/>
              <w:spacing w:before="0" w:after="0"/>
              <w:jc w:val="left"/>
              <w:rPr>
                <w:spacing w:val="0"/>
              </w:rPr>
            </w:pPr>
            <w:r>
              <w:rPr>
                <w:spacing w:val="0"/>
              </w:rPr>
              <w:t xml:space="preserve">Measure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4983" w:type="dxa"/>
            <w:tcBorders/>
            <w:shd w:fill="002F56" w:val="clear"/>
            <w:vAlign w:val="center"/>
          </w:tcPr>
          <w:p>
            <w:pPr>
              <w:pStyle w:val="TableContents"/>
              <w:bidi w:val="0"/>
              <w:spacing w:before="0" w:after="0"/>
              <w:jc w:val="left"/>
              <w:rPr>
                <w:spacing w:val="0"/>
              </w:rPr>
            </w:pPr>
            <w:r>
              <w:rPr>
                <w:spacing w:val="0"/>
              </w:rPr>
              <w:t xml:space="preserve">Explanation </w:t>
            </w:r>
          </w:p>
        </w:tc>
        <w:tc>
          <w:tcPr>
            <w:tcW w:w="155" w:type="dxa"/>
            <w:tcBorders/>
            <w:shd w:fill="002F56" w:val="clear"/>
            <w:vAlign w:val="center"/>
          </w:tcPr>
          <w:p>
            <w:pPr>
              <w:pStyle w:val="TableContents"/>
              <w:bidi w:val="0"/>
              <w:spacing w:before="0" w:after="283"/>
              <w:jc w:val="left"/>
              <w:rPr/>
            </w:pPr>
            <w:r>
              <w:rPr/>
              <w:t>​</w:t>
            </w:r>
          </w:p>
        </w:tc>
      </w:tr>
      <w:tr>
        <w:trPr/>
        <w:tc>
          <w:tcPr>
            <w:tcW w:w="124"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3705" w:type="dxa"/>
            <w:tcBorders>
              <w:bottom w:val="single" w:sz="2" w:space="0" w:color="FEFEFE"/>
            </w:tcBorders>
            <w:shd w:fill="71B1C8" w:val="clear"/>
            <w:tcMar>
              <w:bottom w:w="48" w:type="dxa"/>
            </w:tcMar>
            <w:vAlign w:val="center"/>
          </w:tcPr>
          <w:p>
            <w:pPr>
              <w:pStyle w:val="TableContents"/>
              <w:bidi w:val="0"/>
              <w:spacing w:lineRule="atLeast" w:line="189" w:before="0" w:after="0"/>
              <w:jc w:val="left"/>
              <w:rPr>
                <w:b/>
                <w:color w:val="FEFEFE"/>
                <w:spacing w:val="-6"/>
              </w:rPr>
            </w:pPr>
            <w:r>
              <w:rPr>
                <w:b/>
                <w:color w:val="FEFEFE"/>
                <w:spacing w:val="-6"/>
              </w:rPr>
              <w:t xml:space="preserve">ADJUSTED OPERATING INCOME (OI) </w:t>
            </w:r>
          </w:p>
        </w:tc>
        <w:tc>
          <w:tcPr>
            <w:tcW w:w="109"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983" w:type="dxa"/>
            <w:tcBorders>
              <w:bottom w:val="single" w:sz="6" w:space="0" w:color="CCCCCC"/>
            </w:tcBorders>
            <w:tcMar>
              <w:bottom w:w="48" w:type="dxa"/>
            </w:tcMar>
            <w:vAlign w:val="center"/>
          </w:tcPr>
          <w:p>
            <w:pPr>
              <w:pStyle w:val="TableContents"/>
              <w:bidi w:val="0"/>
              <w:spacing w:lineRule="atLeast" w:line="189" w:before="0" w:after="0"/>
              <w:jc w:val="left"/>
              <w:rPr/>
            </w:pPr>
            <w:r>
              <w:rPr>
                <w:b/>
                <w:spacing w:val="0"/>
              </w:rPr>
              <w:t>Operating Income</w:t>
            </w:r>
            <w:r>
              <w:rPr>
                <w:spacing w:val="-1"/>
              </w:rPr>
              <w:t xml:space="preserve">, excluding special items (a non-GAAP financial measure), is a component of our Annual Incentive Plan. It measures the immediate impact of operating decisions on the Company’s annual performance.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3705" w:type="dxa"/>
            <w:tcBorders>
              <w:bottom w:val="single" w:sz="2" w:space="0" w:color="FEFEFE"/>
            </w:tcBorders>
            <w:shd w:fill="71B1C8" w:val="clear"/>
            <w:tcMar>
              <w:bottom w:w="48" w:type="dxa"/>
            </w:tcMar>
            <w:vAlign w:val="center"/>
          </w:tcPr>
          <w:p>
            <w:pPr>
              <w:pStyle w:val="TableContents"/>
              <w:bidi w:val="0"/>
              <w:spacing w:lineRule="atLeast" w:line="189" w:before="0" w:after="0"/>
              <w:jc w:val="left"/>
              <w:rPr>
                <w:b/>
                <w:color w:val="FEFEFE"/>
                <w:spacing w:val="-6"/>
              </w:rPr>
            </w:pPr>
            <w:r>
              <w:rPr>
                <w:b/>
                <w:color w:val="FEFEFE"/>
                <w:spacing w:val="-6"/>
              </w:rPr>
              <w:t xml:space="preserve">RETURN ON NET ASSETS (RONA) </w:t>
            </w:r>
          </w:p>
        </w:tc>
        <w:tc>
          <w:tcPr>
            <w:tcW w:w="109"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983" w:type="dxa"/>
            <w:tcBorders>
              <w:bottom w:val="single" w:sz="6" w:space="0" w:color="CCCCCC"/>
            </w:tcBorders>
            <w:tcMar>
              <w:bottom w:w="48" w:type="dxa"/>
            </w:tcMar>
            <w:vAlign w:val="center"/>
          </w:tcPr>
          <w:p>
            <w:pPr>
              <w:pStyle w:val="TableContents"/>
              <w:bidi w:val="0"/>
              <w:spacing w:lineRule="atLeast" w:line="189" w:before="0" w:after="0"/>
              <w:jc w:val="left"/>
              <w:rPr/>
            </w:pPr>
            <w:r>
              <w:rPr>
                <w:b/>
                <w:spacing w:val="0"/>
              </w:rPr>
              <w:t>Return on Net Assets</w:t>
            </w:r>
            <w:r>
              <w:rPr>
                <w:spacing w:val="-1"/>
              </w:rPr>
              <w:t xml:space="preserve"> is a component of our Annual Incentive Plan. RONA is a financial measure that measures the efficiency with which we allocate capital resources and profitability, with our business leadership having direct influence on the outcome of this metric.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3705" w:type="dxa"/>
            <w:tcBorders>
              <w:bottom w:val="single" w:sz="2" w:space="0" w:color="FEFEFE"/>
            </w:tcBorders>
            <w:shd w:fill="71B1C8" w:val="clear"/>
            <w:tcMar>
              <w:bottom w:w="48" w:type="dxa"/>
            </w:tcMar>
            <w:vAlign w:val="center"/>
          </w:tcPr>
          <w:p>
            <w:pPr>
              <w:pStyle w:val="TableContents"/>
              <w:bidi w:val="0"/>
              <w:spacing w:before="0" w:after="0"/>
              <w:jc w:val="left"/>
              <w:rPr>
                <w:b/>
                <w:color w:val="FEFEFE"/>
                <w:spacing w:val="-6"/>
              </w:rPr>
            </w:pPr>
            <w:r>
              <w:rPr>
                <w:b/>
                <w:color w:val="FEFEFE"/>
                <w:spacing w:val="-6"/>
              </w:rPr>
              <w:t xml:space="preserve">RETURN ON CAPITAL (ROC) </w:t>
            </w:r>
          </w:p>
        </w:tc>
        <w:tc>
          <w:tcPr>
            <w:tcW w:w="109"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983" w:type="dxa"/>
            <w:tcBorders>
              <w:bottom w:val="single" w:sz="6" w:space="0" w:color="CCCCCC"/>
            </w:tcBorders>
            <w:tcMar>
              <w:bottom w:w="48" w:type="dxa"/>
            </w:tcMar>
            <w:vAlign w:val="center"/>
          </w:tcPr>
          <w:p>
            <w:pPr>
              <w:pStyle w:val="TableContents"/>
              <w:bidi w:val="0"/>
              <w:spacing w:lineRule="atLeast" w:line="189" w:before="0" w:after="0"/>
              <w:jc w:val="left"/>
              <w:rPr/>
            </w:pPr>
            <w:r>
              <w:rPr>
                <w:b/>
                <w:spacing w:val="0"/>
              </w:rPr>
              <w:t>Return on Capital</w:t>
            </w:r>
            <w:r>
              <w:rPr>
                <w:spacing w:val="-1"/>
              </w:rPr>
              <w:t xml:space="preserve"> is a component of our Performance Units. ROC is a financial measure that measures the efficiency with which we allocate capital resources, considering not just the quantity of earnings, but also the quality of earnings and investments that drive sustainable growth.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3705" w:type="dxa"/>
            <w:tcBorders>
              <w:bottom w:val="single" w:sz="2" w:space="0" w:color="FEFEFE"/>
            </w:tcBorders>
            <w:shd w:fill="71B1C8" w:val="clear"/>
            <w:tcMar>
              <w:bottom w:w="48" w:type="dxa"/>
            </w:tcMar>
            <w:vAlign w:val="center"/>
          </w:tcPr>
          <w:p>
            <w:pPr>
              <w:pStyle w:val="TableContents"/>
              <w:bidi w:val="0"/>
              <w:spacing w:before="0" w:after="283"/>
              <w:jc w:val="left"/>
              <w:rPr>
                <w:spacing w:val="-6"/>
              </w:rPr>
            </w:pPr>
            <w:r>
              <w:rPr>
                <w:spacing w:val="-6"/>
              </w:rPr>
              <w:t xml:space="preserve">TOTAL SHAREHOLDER RETURN (TSR) VS. OUR PEERS AND THE COMPANIES IN THE RUSSELL 2000 AND S&amp;P SMALLCAP 600 INDICES </w:t>
            </w:r>
          </w:p>
        </w:tc>
        <w:tc>
          <w:tcPr>
            <w:tcW w:w="109"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983" w:type="dxa"/>
            <w:tcBorders>
              <w:bottom w:val="single" w:sz="6" w:space="0" w:color="CCCCCC"/>
            </w:tcBorders>
            <w:tcMar>
              <w:bottom w:w="48" w:type="dxa"/>
            </w:tcMar>
            <w:vAlign w:val="center"/>
          </w:tcPr>
          <w:p>
            <w:pPr>
              <w:pStyle w:val="TableContents"/>
              <w:bidi w:val="0"/>
              <w:spacing w:lineRule="atLeast" w:line="189" w:before="0" w:after="0"/>
              <w:jc w:val="left"/>
              <w:rPr>
                <w:b w:val="false"/>
                <w:color w:val="000000"/>
              </w:rPr>
            </w:pPr>
            <w:r>
              <w:rPr>
                <w:b/>
                <w:color w:val="000000"/>
                <w:spacing w:val="0"/>
              </w:rPr>
              <w:t>TSR vs. Our Peers and the Companies in the Russell 2000 and S&amp;P SmallCap 600 Indices</w:t>
            </w:r>
            <w:r>
              <w:rPr>
                <w:b w:val="false"/>
                <w:color w:val="000000"/>
                <w:spacing w:val="-1"/>
              </w:rPr>
              <w:t xml:space="preserve"> is a component of our Performance Units. TSR measures our ability to return value to our shareholders compared to our peers and to broader indices reflecting comparable investment opportunities.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3705" w:type="dxa"/>
            <w:tcBorders>
              <w:bottom w:val="single" w:sz="2" w:space="0" w:color="FEFEFE"/>
            </w:tcBorders>
            <w:shd w:fill="71B1C8" w:val="clear"/>
            <w:tcMar>
              <w:bottom w:w="48" w:type="dxa"/>
            </w:tcMar>
            <w:vAlign w:val="center"/>
          </w:tcPr>
          <w:p>
            <w:pPr>
              <w:pStyle w:val="TableContents"/>
              <w:bidi w:val="0"/>
              <w:spacing w:before="0" w:after="0"/>
              <w:jc w:val="left"/>
              <w:rPr>
                <w:b/>
                <w:color w:val="FEFEFE"/>
              </w:rPr>
            </w:pPr>
            <w:r>
              <w:rPr>
                <w:b/>
                <w:color w:val="FEFEFE"/>
                <w:spacing w:val="-6"/>
              </w:rPr>
              <w:t>SALES GROWTH</w:t>
            </w:r>
            <w:r>
              <w:rPr>
                <w:b/>
                <w:color w:val="FEFEFE"/>
              </w:rPr>
              <w:t xml:space="preserve"> </w:t>
            </w:r>
          </w:p>
        </w:tc>
        <w:tc>
          <w:tcPr>
            <w:tcW w:w="109"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6" w:space="0" w:color="CCCCCC"/>
            </w:tcBorders>
            <w:tcMar>
              <w:bottom w:w="28" w:type="dxa"/>
            </w:tcMar>
            <w:vAlign w:val="center"/>
          </w:tcPr>
          <w:p>
            <w:pPr>
              <w:pStyle w:val="TableContents"/>
              <w:bidi w:val="0"/>
              <w:spacing w:before="0" w:after="283"/>
              <w:jc w:val="left"/>
              <w:rPr/>
            </w:pPr>
            <w:r>
              <w:rPr/>
              <w:t>​</w:t>
            </w:r>
          </w:p>
        </w:tc>
        <w:tc>
          <w:tcPr>
            <w:tcW w:w="4983" w:type="dxa"/>
            <w:tcBorders>
              <w:bottom w:val="single" w:sz="6" w:space="0" w:color="CCCCCC"/>
            </w:tcBorders>
            <w:tcMar>
              <w:bottom w:w="48" w:type="dxa"/>
            </w:tcMar>
            <w:vAlign w:val="center"/>
          </w:tcPr>
          <w:p>
            <w:pPr>
              <w:pStyle w:val="TableContents"/>
              <w:bidi w:val="0"/>
              <w:spacing w:lineRule="atLeast" w:line="189" w:before="0" w:after="0"/>
              <w:jc w:val="left"/>
              <w:rPr/>
            </w:pPr>
            <w:r>
              <w:rPr>
                <w:b/>
                <w:spacing w:val="0"/>
              </w:rPr>
              <w:t>Sales Growth</w:t>
            </w:r>
            <w:r>
              <w:rPr>
                <w:spacing w:val="-1"/>
              </w:rPr>
              <w:t xml:space="preserve"> is a significant portion of the Personal Performance component of our Annual Incentive Plan. </w:t>
            </w:r>
          </w:p>
        </w:tc>
        <w:tc>
          <w:tcPr>
            <w:tcW w:w="155" w:type="dxa"/>
            <w:tcBorders>
              <w:bottom w:val="single" w:sz="6" w:space="0" w:color="CCCCCC"/>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3705" w:type="dxa"/>
            <w:tcBorders>
              <w:bottom w:val="single" w:sz="2" w:space="0" w:color="FEFEFE"/>
            </w:tcBorders>
            <w:shd w:fill="71B1C8" w:val="clear"/>
            <w:tcMar>
              <w:bottom w:w="48" w:type="dxa"/>
            </w:tcMar>
            <w:vAlign w:val="center"/>
          </w:tcPr>
          <w:p>
            <w:pPr>
              <w:pStyle w:val="TableContents"/>
              <w:bidi w:val="0"/>
              <w:spacing w:before="0" w:after="0"/>
              <w:jc w:val="left"/>
              <w:rPr>
                <w:b/>
                <w:color w:val="FEFEFE"/>
                <w:spacing w:val="-6"/>
              </w:rPr>
            </w:pPr>
            <w:r>
              <w:rPr>
                <w:b/>
                <w:color w:val="FEFEFE"/>
                <w:spacing w:val="-6"/>
              </w:rPr>
              <w:t xml:space="preserve">OVERALL LEADERSHIP, INCLUDING DEPLOYMENT OF LEAN OPERATING PRINCIPLES AND ACHIEVEMENT OF HOSHIN PLANS </w:t>
            </w:r>
          </w:p>
        </w:tc>
        <w:tc>
          <w:tcPr>
            <w:tcW w:w="109" w:type="dxa"/>
            <w:tcBorders>
              <w:bottom w:val="single" w:sz="2" w:space="0" w:color="FEFEFE"/>
            </w:tcBorders>
            <w:shd w:fill="71B1C8"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83" w:type="dxa"/>
            <w:tcBorders>
              <w:bottom w:val="single" w:sz="2" w:space="0" w:color="FFFFFF"/>
            </w:tcBorders>
            <w:tcMar>
              <w:bottom w:w="48" w:type="dxa"/>
            </w:tcMar>
            <w:vAlign w:val="center"/>
          </w:tcPr>
          <w:p>
            <w:pPr>
              <w:pStyle w:val="TableContents"/>
              <w:bidi w:val="0"/>
              <w:spacing w:lineRule="atLeast" w:line="189" w:before="0" w:after="0"/>
              <w:jc w:val="left"/>
              <w:rPr/>
            </w:pPr>
            <w:r>
              <w:rPr>
                <w:b/>
                <w:spacing w:val="0"/>
              </w:rPr>
              <w:t>Overall Leadership</w:t>
            </w:r>
            <w:r>
              <w:rPr>
                <w:spacing w:val="-1"/>
              </w:rPr>
              <w:t xml:space="preserve"> (a non-financial performance measure) encompasses contributions to safety and sustainability, diversity and inclusion, and other areas of importance to the Company.</w:t>
            </w:r>
            <w:r>
              <w:rPr/>
              <w:t xml:space="preserve"> </w:t>
            </w:r>
          </w:p>
          <w:p>
            <w:pPr>
              <w:pStyle w:val="TableContents"/>
              <w:bidi w:val="0"/>
              <w:spacing w:lineRule="atLeast" w:line="189" w:before="40" w:after="0"/>
              <w:jc w:val="left"/>
              <w:rPr/>
            </w:pPr>
            <w:r>
              <w:rPr>
                <w:b/>
                <w:spacing w:val="0"/>
              </w:rPr>
              <w:t>Deployment of Lean Operating Principles</w:t>
            </w:r>
            <w:r>
              <w:rPr>
                <w:spacing w:val="-1"/>
              </w:rPr>
              <w:t xml:space="preserve"> (a non-financial performance measure) measures adherence to a key cultural element of the Company.</w:t>
            </w:r>
            <w:r>
              <w:rPr/>
              <w:t xml:space="preserve"> </w:t>
            </w:r>
          </w:p>
          <w:p>
            <w:pPr>
              <w:pStyle w:val="TableContents"/>
              <w:bidi w:val="0"/>
              <w:spacing w:lineRule="atLeast" w:line="189" w:before="40" w:after="0"/>
              <w:jc w:val="left"/>
              <w:rPr/>
            </w:pPr>
            <w:r>
              <w:rPr>
                <w:b/>
                <w:spacing w:val="0"/>
              </w:rPr>
              <w:t>Hoshin</w:t>
            </w:r>
            <w:r>
              <w:rPr>
                <w:spacing w:val="-1"/>
              </w:rPr>
              <w:t xml:space="preserve"> is a structured methodology for executing and achieving strategic goals and objectives. Together, this is a significant portion of the Personal Performance component of our Annual Incentive Plan.</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185" w:type="dxa"/>
            <w:gridSpan w:val="6"/>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75</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SOTB"/>
      <w:bookmarkEnd w:id="98"/>
      <w:r>
        <w:rPr>
          <w:rFonts w:ascii="calibri;arial;sans-serif" w:hAnsi="calibri;arial;sans-serif"/>
          <w:b w:val="false"/>
          <w:i w:val="false"/>
          <w:caps w:val="false"/>
          <w:smallCaps w:val="false"/>
          <w:color w:val="000000"/>
          <w:sz w:val="16"/>
        </w:rPr>
        <w:t>​</w:t>
      </w:r>
      <w:bookmarkStart w:id="99" w:name="tSOOC"/>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SHARE OWNERSHIP</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SECURITY OWNERSHIP OF CERTAIN BENEFICIAL OWNERS AND MANAGEMENT</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following table shows the ownership of Company common stock by: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shareholder known to the Company that beneficially owned more than 5% of Company common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882">
                <wp:simplePos x="0" y="0"/>
                <wp:positionH relativeFrom="column">
                  <wp:align>left</wp:align>
                </wp:positionH>
                <wp:positionV relativeFrom="line">
                  <wp:align>top</wp:align>
                </wp:positionV>
                <wp:extent cx="254000" cy="266700"/>
                <wp:effectExtent l="0" t="0" r="0" b="0"/>
                <wp:wrapSquare wrapText="right"/>
                <wp:docPr id="864" name="Frame577"/>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director and nominee,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83">
                <wp:simplePos x="0" y="0"/>
                <wp:positionH relativeFrom="column">
                  <wp:align>left</wp:align>
                </wp:positionH>
                <wp:positionV relativeFrom="line">
                  <wp:align>top</wp:align>
                </wp:positionV>
                <wp:extent cx="254000" cy="266700"/>
                <wp:effectExtent l="0" t="0" r="0" b="0"/>
                <wp:wrapSquare wrapText="right"/>
                <wp:docPr id="865" name="Frame578"/>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each of the named executive officers,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84">
                <wp:simplePos x="0" y="0"/>
                <wp:positionH relativeFrom="column">
                  <wp:align>left</wp:align>
                </wp:positionH>
                <wp:positionV relativeFrom="line">
                  <wp:align>top</wp:align>
                </wp:positionV>
                <wp:extent cx="254000" cy="266700"/>
                <wp:effectExtent l="0" t="0" r="0" b="0"/>
                <wp:wrapSquare wrapText="right"/>
                <wp:docPr id="866" name="Frame579"/>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(iii)</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(iii)</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40"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all directors and executive officers as a group.</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885">
                <wp:simplePos x="0" y="0"/>
                <wp:positionH relativeFrom="column">
                  <wp:align>left</wp:align>
                </wp:positionH>
                <wp:positionV relativeFrom="line">
                  <wp:align>top</wp:align>
                </wp:positionV>
                <wp:extent cx="254000" cy="266700"/>
                <wp:effectExtent l="0" t="0" r="0" b="0"/>
                <wp:wrapSquare wrapText="right"/>
                <wp:docPr id="867" name="Frame580"/>
                <a:graphic xmlns:a="http://schemas.openxmlformats.org/drawingml/2006/main">
                  <a:graphicData uri="http://schemas.microsoft.com/office/word/2010/wordprocessingShape">
                    <wps:wsp>
                      <wps:cNvSpPr txBox="1"/>
                      <wps:spPr>
                        <a:xfrm>
                          <a:off x="0" y="0"/>
                          <a:ext cx="254000" cy="266700"/>
                        </a:xfrm>
                        <a:prstGeom prst="rect"/>
                        <a:solidFill>
                          <a:srgbClr val="FFFFFF"/>
                        </a:solidFill>
                      </wps:spPr>
                      <wps:txbx>
                        <w:txbxContent>
                          <w:p>
                            <w:pPr>
                              <w:pStyle w:val="TextBody"/>
                              <w:bidi w:val="0"/>
                              <w:spacing w:lineRule="atLeast" w:line="210" w:before="0" w:after="283"/>
                              <w:jc w:val="left"/>
                              <w:rPr>
                                <w:sz w:val="18"/>
                              </w:rPr>
                            </w:pPr>
                            <w:r>
                              <w:rPr>
                                <w:spacing w:val="-1"/>
                                <w:sz w:val="18"/>
                              </w:rPr>
                              <w:t>(iv)</w:t>
                            </w:r>
                            <w:r>
                              <w:rPr>
                                <w:sz w:val="18"/>
                              </w:rPr>
                              <w:t xml:space="preserve"> </w:t>
                              <w:br/>
                            </w:r>
                          </w:p>
                        </w:txbxContent>
                      </wps:txbx>
                      <wps:bodyPr anchor="t" lIns="0" tIns="0" rIns="0" bIns="0">
                        <a:noAutofit/>
                      </wps:bodyPr>
                    </wps:wsp>
                  </a:graphicData>
                </a:graphic>
              </wp:anchor>
            </w:drawing>
          </mc:Choice>
          <mc:Fallback>
            <w:pict>
              <v:rect style="position:absolute;rotation:-0;width:20pt;height:21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10" w:before="0" w:after="283"/>
                        <w:jc w:val="left"/>
                        <w:rPr>
                          <w:sz w:val="18"/>
                        </w:rPr>
                      </w:pPr>
                      <w:r>
                        <w:rPr>
                          <w:spacing w:val="-1"/>
                          <w:sz w:val="18"/>
                        </w:rPr>
                        <w:t>(iv)</w:t>
                      </w:r>
                      <w:r>
                        <w:rPr>
                          <w:sz w:val="18"/>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percentages of beneficial ownership set forth below are calculated as of March 24, 2026 based on outstanding shares of 31,027,504.</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3134"/>
        <w:gridCol w:w="109"/>
        <w:gridCol w:w="109"/>
        <w:gridCol w:w="123"/>
        <w:gridCol w:w="123"/>
        <w:gridCol w:w="1679"/>
        <w:gridCol w:w="123"/>
        <w:gridCol w:w="109"/>
        <w:gridCol w:w="109"/>
        <w:gridCol w:w="113"/>
        <w:gridCol w:w="113"/>
        <w:gridCol w:w="654"/>
        <w:gridCol w:w="113"/>
        <w:gridCol w:w="109"/>
        <w:gridCol w:w="109"/>
        <w:gridCol w:w="186"/>
        <w:gridCol w:w="186"/>
        <w:gridCol w:w="1516"/>
        <w:gridCol w:w="186"/>
        <w:gridCol w:w="158"/>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3134"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5551" w:type="dxa"/>
            <w:gridSpan w:val="16"/>
            <w:tcBorders>
              <w:bottom w:val="single" w:sz="6" w:space="0" w:color="71B1C8"/>
            </w:tcBorders>
            <w:shd w:fill="002F56" w:val="clear"/>
            <w:tcMar>
              <w:bottom w:w="48" w:type="dxa"/>
            </w:tcMar>
            <w:vAlign w:val="center"/>
          </w:tcPr>
          <w:p>
            <w:pPr>
              <w:pStyle w:val="TableContents"/>
              <w:bidi w:val="0"/>
              <w:spacing w:before="0" w:after="0"/>
              <w:jc w:val="center"/>
              <w:rPr/>
            </w:pPr>
            <w:r>
              <w:rPr>
                <w:spacing w:val="0"/>
              </w:rPr>
              <w:t>Title of Class</w:t>
            </w:r>
            <w:r>
              <w:rPr>
                <w:spacing w:val="-2"/>
              </w:rPr>
              <w:t> — </w:t>
            </w:r>
            <w:r>
              <w:rPr>
                <w:spacing w:val="0"/>
              </w:rPr>
              <w:t>Common</w:t>
            </w:r>
            <w:r>
              <w:rPr/>
              <w:t xml:space="preserve"> </w:t>
            </w:r>
          </w:p>
        </w:tc>
        <w:tc>
          <w:tcPr>
            <w:tcW w:w="158"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3134" w:type="dxa"/>
            <w:tcBorders/>
            <w:shd w:fill="002F56" w:val="clear"/>
            <w:tcMar>
              <w:bottom w:w="0" w:type="dxa"/>
            </w:tcMar>
            <w:vAlign w:val="center"/>
          </w:tcPr>
          <w:p>
            <w:pPr>
              <w:pStyle w:val="TableContents"/>
              <w:bidi w:val="0"/>
              <w:spacing w:lineRule="atLeast" w:line="142" w:before="0" w:after="0"/>
              <w:jc w:val="left"/>
              <w:rPr/>
            </w:pPr>
            <w:r>
              <w:rPr>
                <w:spacing w:val="0"/>
              </w:rPr>
              <w:t>Name and Address of Beneficial Owner</w:t>
            </w:r>
            <w:r>
              <w:rPr>
                <w:spacing w:val="-2"/>
                <w:sz w:val="11"/>
              </w:rPr>
              <w:t>(1)</w:t>
            </w:r>
            <w:r>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048" w:type="dxa"/>
            <w:gridSpan w:val="4"/>
            <w:tcBorders/>
            <w:shd w:fill="002F56" w:val="clear"/>
            <w:tcMar>
              <w:bottom w:w="0" w:type="dxa"/>
            </w:tcMar>
            <w:vAlign w:val="center"/>
          </w:tcPr>
          <w:p>
            <w:pPr>
              <w:pStyle w:val="TableContents"/>
              <w:bidi w:val="0"/>
              <w:spacing w:lineRule="atLeast" w:line="142" w:before="0" w:after="0"/>
              <w:jc w:val="center"/>
              <w:rPr/>
            </w:pPr>
            <w:r>
              <w:rPr>
                <w:spacing w:val="0"/>
              </w:rPr>
              <w:t>Amount and Nature of</w:t>
            </w:r>
            <w:r>
              <w:rPr>
                <w:spacing w:val="-2"/>
              </w:rPr>
              <w:t xml:space="preserve"> </w:t>
            </w:r>
            <w:r>
              <w:rPr/>
              <w:br/>
            </w:r>
            <w:r>
              <w:rPr>
                <w:spacing w:val="0"/>
              </w:rPr>
              <w:t>Beneficial Ownership</w:t>
            </w:r>
            <w:r>
              <w:rPr>
                <w:spacing w:val="-2"/>
                <w:sz w:val="11"/>
              </w:rPr>
              <w:t>(2)</w:t>
            </w:r>
            <w:r>
              <w:rPr/>
              <w:t xml:space="preserve"> </w:t>
              <w:br/>
            </w:r>
            <w:r>
              <w:rPr>
                <w:spacing w:val="-2"/>
              </w:rPr>
              <w:t>(#)</w:t>
            </w:r>
            <w:r>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993" w:type="dxa"/>
            <w:gridSpan w:val="4"/>
            <w:tcBorders/>
            <w:shd w:fill="002F56" w:val="clear"/>
            <w:tcMar>
              <w:bottom w:w="0" w:type="dxa"/>
            </w:tcMar>
            <w:vAlign w:val="center"/>
          </w:tcPr>
          <w:p>
            <w:pPr>
              <w:pStyle w:val="TableContents"/>
              <w:bidi w:val="0"/>
              <w:spacing w:before="0" w:after="0"/>
              <w:jc w:val="center"/>
              <w:rPr/>
            </w:pPr>
            <w:r>
              <w:rPr>
                <w:spacing w:val="0"/>
              </w:rPr>
              <w:t>Percent of</w:t>
            </w:r>
            <w:r>
              <w:rPr>
                <w:spacing w:val="-2"/>
              </w:rPr>
              <w:t xml:space="preserve"> </w:t>
            </w:r>
            <w:r>
              <w:rPr/>
              <w:br/>
            </w:r>
            <w:r>
              <w:rPr>
                <w:spacing w:val="0"/>
              </w:rPr>
              <w:t>Class</w:t>
            </w:r>
            <w:r>
              <w:rP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074" w:type="dxa"/>
            <w:gridSpan w:val="4"/>
            <w:tcBorders/>
            <w:shd w:fill="002F56" w:val="clear"/>
            <w:tcMar>
              <w:bottom w:w="0" w:type="dxa"/>
            </w:tcMar>
            <w:vAlign w:val="center"/>
          </w:tcPr>
          <w:p>
            <w:pPr>
              <w:pStyle w:val="TableContents"/>
              <w:bidi w:val="0"/>
              <w:spacing w:lineRule="atLeast" w:line="142" w:before="0" w:after="0"/>
              <w:jc w:val="center"/>
              <w:rPr/>
            </w:pPr>
            <w:r>
              <w:rPr>
                <w:spacing w:val="0"/>
              </w:rPr>
              <w:t>Number of Share Equivalent</w:t>
            </w:r>
            <w:r>
              <w:rPr>
                <w:spacing w:val="-2"/>
              </w:rPr>
              <w:t xml:space="preserve"> </w:t>
            </w:r>
            <w:r>
              <w:rPr/>
              <w:br/>
            </w:r>
            <w:r>
              <w:rPr>
                <w:spacing w:val="0"/>
              </w:rPr>
              <w:t>Units Owned</w:t>
            </w:r>
            <w:r>
              <w:rPr>
                <w:spacing w:val="-2"/>
                <w:sz w:val="11"/>
              </w:rPr>
              <w:t>(3)</w:t>
            </w:r>
            <w:r>
              <w:rPr/>
              <w:t xml:space="preserve"> </w:t>
              <w:br/>
            </w:r>
            <w:r>
              <w:rPr>
                <w:spacing w:val="-2"/>
              </w:rPr>
              <w:t>(#)</w:t>
            </w:r>
            <w:r>
              <w:rPr/>
              <w:t xml:space="preserve"> </w:t>
            </w:r>
          </w:p>
        </w:tc>
        <w:tc>
          <w:tcPr>
            <w:tcW w:w="158"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3134" w:type="dxa"/>
            <w:tcBorders/>
            <w:shd w:fill="71B1C8" w:val="clear"/>
            <w:tcMar>
              <w:bottom w:w="0" w:type="dxa"/>
            </w:tcMar>
            <w:vAlign w:val="center"/>
          </w:tcPr>
          <w:p>
            <w:pPr>
              <w:pStyle w:val="TableContents"/>
              <w:bidi w:val="0"/>
              <w:spacing w:before="0" w:after="283"/>
              <w:jc w:val="left"/>
              <w:rPr/>
            </w:pPr>
            <w:r>
              <w:rPr>
                <w:spacing w:val="0"/>
              </w:rPr>
              <w:t>5% Owners</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23" w:type="dxa"/>
            <w:tcBorders/>
            <w:shd w:fill="71B1C8" w:val="clear"/>
            <w:tcMar>
              <w:bottom w:w="0" w:type="dxa"/>
            </w:tcMar>
            <w:vAlign w:val="center"/>
          </w:tcPr>
          <w:p>
            <w:pPr>
              <w:pStyle w:val="TableContents"/>
              <w:bidi w:val="0"/>
              <w:spacing w:before="0" w:after="283"/>
              <w:jc w:val="left"/>
              <w:rPr/>
            </w:pPr>
            <w:r>
              <w:rPr/>
              <w:t>​</w:t>
            </w:r>
          </w:p>
        </w:tc>
        <w:tc>
          <w:tcPr>
            <w:tcW w:w="123" w:type="dxa"/>
            <w:tcBorders/>
            <w:shd w:fill="71B1C8" w:val="clear"/>
            <w:tcMar>
              <w:bottom w:w="0" w:type="dxa"/>
            </w:tcMar>
            <w:vAlign w:val="center"/>
          </w:tcPr>
          <w:p>
            <w:pPr>
              <w:pStyle w:val="TableContents"/>
              <w:bidi w:val="0"/>
              <w:spacing w:before="0" w:after="283"/>
              <w:jc w:val="right"/>
              <w:rPr/>
            </w:pPr>
            <w:r>
              <w:rPr/>
              <w:t>​</w:t>
            </w:r>
          </w:p>
        </w:tc>
        <w:tc>
          <w:tcPr>
            <w:tcW w:w="1679" w:type="dxa"/>
            <w:tcBorders/>
            <w:shd w:fill="71B1C8" w:val="clear"/>
            <w:tcMar>
              <w:bottom w:w="0" w:type="dxa"/>
            </w:tcMar>
            <w:vAlign w:val="center"/>
          </w:tcPr>
          <w:p>
            <w:pPr>
              <w:pStyle w:val="TableContents"/>
              <w:bidi w:val="0"/>
              <w:spacing w:before="0" w:after="283"/>
              <w:jc w:val="right"/>
              <w:rPr/>
            </w:pPr>
            <w:r>
              <w:rPr/>
              <w:t>​</w:t>
            </w:r>
          </w:p>
        </w:tc>
        <w:tc>
          <w:tcPr>
            <w:tcW w:w="123"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13" w:type="dxa"/>
            <w:tcBorders/>
            <w:shd w:fill="71B1C8" w:val="clear"/>
            <w:tcMar>
              <w:bottom w:w="0" w:type="dxa"/>
            </w:tcMar>
            <w:vAlign w:val="center"/>
          </w:tcPr>
          <w:p>
            <w:pPr>
              <w:pStyle w:val="TableContents"/>
              <w:bidi w:val="0"/>
              <w:spacing w:before="0" w:after="283"/>
              <w:jc w:val="left"/>
              <w:rPr/>
            </w:pPr>
            <w:r>
              <w:rPr/>
              <w:t>​</w:t>
            </w:r>
          </w:p>
        </w:tc>
        <w:tc>
          <w:tcPr>
            <w:tcW w:w="113" w:type="dxa"/>
            <w:tcBorders/>
            <w:shd w:fill="71B1C8" w:val="clear"/>
            <w:tcMar>
              <w:bottom w:w="0" w:type="dxa"/>
            </w:tcMar>
            <w:vAlign w:val="center"/>
          </w:tcPr>
          <w:p>
            <w:pPr>
              <w:pStyle w:val="TableContents"/>
              <w:bidi w:val="0"/>
              <w:spacing w:before="0" w:after="283"/>
              <w:jc w:val="right"/>
              <w:rPr/>
            </w:pPr>
            <w:r>
              <w:rPr/>
              <w:t>​</w:t>
            </w:r>
          </w:p>
        </w:tc>
        <w:tc>
          <w:tcPr>
            <w:tcW w:w="654" w:type="dxa"/>
            <w:tcBorders/>
            <w:shd w:fill="71B1C8" w:val="clear"/>
            <w:tcMar>
              <w:bottom w:w="0" w:type="dxa"/>
            </w:tcMar>
            <w:vAlign w:val="center"/>
          </w:tcPr>
          <w:p>
            <w:pPr>
              <w:pStyle w:val="TableContents"/>
              <w:bidi w:val="0"/>
              <w:spacing w:before="0" w:after="283"/>
              <w:jc w:val="right"/>
              <w:rPr/>
            </w:pPr>
            <w:r>
              <w:rPr/>
              <w:t>​</w:t>
            </w:r>
          </w:p>
        </w:tc>
        <w:tc>
          <w:tcPr>
            <w:tcW w:w="113"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86" w:type="dxa"/>
            <w:tcBorders/>
            <w:shd w:fill="71B1C8" w:val="clear"/>
            <w:tcMar>
              <w:bottom w:w="0" w:type="dxa"/>
            </w:tcMar>
            <w:vAlign w:val="center"/>
          </w:tcPr>
          <w:p>
            <w:pPr>
              <w:pStyle w:val="TableContents"/>
              <w:bidi w:val="0"/>
              <w:spacing w:before="0" w:after="283"/>
              <w:jc w:val="left"/>
              <w:rPr/>
            </w:pPr>
            <w:r>
              <w:rPr/>
              <w:t>​</w:t>
            </w:r>
          </w:p>
        </w:tc>
        <w:tc>
          <w:tcPr>
            <w:tcW w:w="186" w:type="dxa"/>
            <w:tcBorders/>
            <w:shd w:fill="71B1C8" w:val="clear"/>
            <w:tcMar>
              <w:bottom w:w="0" w:type="dxa"/>
            </w:tcMar>
            <w:vAlign w:val="center"/>
          </w:tcPr>
          <w:p>
            <w:pPr>
              <w:pStyle w:val="TableContents"/>
              <w:bidi w:val="0"/>
              <w:spacing w:before="0" w:after="283"/>
              <w:jc w:val="right"/>
              <w:rPr/>
            </w:pPr>
            <w:r>
              <w:rPr/>
              <w:t>​</w:t>
            </w:r>
          </w:p>
        </w:tc>
        <w:tc>
          <w:tcPr>
            <w:tcW w:w="1516" w:type="dxa"/>
            <w:tcBorders/>
            <w:shd w:fill="71B1C8" w:val="clear"/>
            <w:tcMar>
              <w:bottom w:w="0" w:type="dxa"/>
            </w:tcMar>
            <w:vAlign w:val="center"/>
          </w:tcPr>
          <w:p>
            <w:pPr>
              <w:pStyle w:val="TableContents"/>
              <w:bidi w:val="0"/>
              <w:spacing w:before="0" w:after="283"/>
              <w:jc w:val="right"/>
              <w:rPr/>
            </w:pPr>
            <w:r>
              <w:rPr/>
              <w:t>​</w:t>
            </w:r>
          </w:p>
        </w:tc>
        <w:tc>
          <w:tcPr>
            <w:tcW w:w="186" w:type="dxa"/>
            <w:tcBorders/>
            <w:shd w:fill="71B1C8" w:val="clear"/>
            <w:tcMar>
              <w:bottom w:w="0" w:type="dxa"/>
            </w:tcMar>
            <w:vAlign w:val="center"/>
          </w:tcPr>
          <w:p>
            <w:pPr>
              <w:pStyle w:val="TableContents"/>
              <w:bidi w:val="0"/>
              <w:spacing w:before="0" w:after="283"/>
              <w:jc w:val="left"/>
              <w:rPr/>
            </w:pPr>
            <w:r>
              <w:rPr/>
              <w:t>​</w:t>
            </w:r>
          </w:p>
        </w:tc>
        <w:tc>
          <w:tcPr>
            <w:tcW w:w="158" w:type="dxa"/>
            <w:tcBorders/>
            <w:shd w:fill="71B1C8"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34" w:type="dxa"/>
            </w:tcMar>
            <w:vAlign w:val="center"/>
          </w:tcPr>
          <w:p>
            <w:pPr>
              <w:pStyle w:val="TableContents"/>
              <w:bidi w:val="0"/>
              <w:spacing w:before="0" w:after="0"/>
              <w:ind w:left="170" w:right="0" w:hanging="170"/>
              <w:jc w:val="left"/>
              <w:rPr/>
            </w:pPr>
            <w:r>
              <w:rPr>
                <w:spacing w:val="-1"/>
              </w:rPr>
              <w:t xml:space="preserve">BlackRock, Inc. </w:t>
              <w:br/>
              <w:t xml:space="preserve">55 East 52nd Street </w:t>
              <w:br/>
              <w:t>New York, NY 10055</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34" w:type="dxa"/>
            </w:tcMar>
            <w:vAlign w:val="center"/>
          </w:tcPr>
          <w:p>
            <w:pPr>
              <w:pStyle w:val="TableContents"/>
              <w:bidi w:val="0"/>
              <w:spacing w:before="0" w:after="283"/>
              <w:jc w:val="right"/>
              <w:rPr/>
            </w:pPr>
            <w:r>
              <w:rPr/>
              <w:t>​</w:t>
            </w:r>
          </w:p>
        </w:tc>
        <w:tc>
          <w:tcPr>
            <w:tcW w:w="1679" w:type="dxa"/>
            <w:tcBorders>
              <w:bottom w:val="single" w:sz="6" w:space="0" w:color="BFBFBF"/>
            </w:tcBorders>
            <w:tcMar>
              <w:bottom w:w="34" w:type="dxa"/>
            </w:tcMar>
            <w:vAlign w:val="center"/>
          </w:tcPr>
          <w:p>
            <w:pPr>
              <w:pStyle w:val="TableContents"/>
              <w:bidi w:val="0"/>
              <w:spacing w:before="0" w:after="283"/>
              <w:jc w:val="right"/>
              <w:rPr/>
            </w:pPr>
            <w:r>
              <w:rPr/>
              <w:t>4,846,913</w:t>
            </w:r>
            <w:r>
              <w:rPr>
                <w:sz w:val="11"/>
              </w:rPr>
              <w:t>(4)</w:t>
            </w:r>
            <w:r>
              <w:rPr/>
              <w:t xml:space="preserve"> </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34" w:type="dxa"/>
            </w:tcMar>
            <w:vAlign w:val="center"/>
          </w:tcPr>
          <w:p>
            <w:pPr>
              <w:pStyle w:val="TableContents"/>
              <w:bidi w:val="0"/>
              <w:spacing w:before="0" w:after="283"/>
              <w:jc w:val="right"/>
              <w:rPr/>
            </w:pPr>
            <w:r>
              <w:rPr/>
              <w:t>​</w:t>
            </w:r>
          </w:p>
        </w:tc>
        <w:tc>
          <w:tcPr>
            <w:tcW w:w="654" w:type="dxa"/>
            <w:tcBorders>
              <w:bottom w:val="single" w:sz="6" w:space="0" w:color="BFBFBF"/>
            </w:tcBorders>
            <w:tcMar>
              <w:bottom w:w="34" w:type="dxa"/>
            </w:tcMar>
            <w:vAlign w:val="center"/>
          </w:tcPr>
          <w:p>
            <w:pPr>
              <w:pStyle w:val="TableContents"/>
              <w:bidi w:val="0"/>
              <w:spacing w:before="0" w:after="283"/>
              <w:jc w:val="right"/>
              <w:rPr/>
            </w:pPr>
            <w:r>
              <w:rPr/>
              <w:t>15.6%</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34" w:type="dxa"/>
            </w:tcMar>
            <w:vAlign w:val="center"/>
          </w:tcPr>
          <w:p>
            <w:pPr>
              <w:pStyle w:val="TableContents"/>
              <w:bidi w:val="0"/>
              <w:spacing w:before="0" w:after="283"/>
              <w:jc w:val="right"/>
              <w:rPr/>
            </w:pPr>
            <w:r>
              <w:rPr/>
              <w:t>​</w:t>
            </w:r>
          </w:p>
        </w:tc>
        <w:tc>
          <w:tcPr>
            <w:tcW w:w="1516" w:type="dxa"/>
            <w:tcBorders>
              <w:bottom w:val="single" w:sz="6" w:space="0" w:color="BFBFBF"/>
            </w:tcBorders>
            <w:tcMar>
              <w:bottom w:w="34" w:type="dxa"/>
            </w:tcMar>
            <w:vAlign w:val="center"/>
          </w:tcPr>
          <w:p>
            <w:pPr>
              <w:pStyle w:val="TableContents"/>
              <w:bidi w:val="0"/>
              <w:spacing w:before="0" w:after="283"/>
              <w:jc w:val="righ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34" w:type="dxa"/>
            </w:tcMar>
            <w:vAlign w:val="center"/>
          </w:tcPr>
          <w:p>
            <w:pPr>
              <w:pStyle w:val="TableContents"/>
              <w:bidi w:val="0"/>
              <w:spacing w:before="0" w:after="0"/>
              <w:ind w:left="170" w:right="0" w:hanging="170"/>
              <w:jc w:val="left"/>
              <w:rPr/>
            </w:pPr>
            <w:r>
              <w:rPr>
                <w:spacing w:val="-1"/>
              </w:rPr>
              <w:t xml:space="preserve">Vanguard Group Inc. </w:t>
              <w:br/>
              <w:t xml:space="preserve">100 Vanguard Blvd. </w:t>
              <w:br/>
              <w:t>Malvern, PA 19355</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34" w:type="dxa"/>
            </w:tcMar>
            <w:vAlign w:val="center"/>
          </w:tcPr>
          <w:p>
            <w:pPr>
              <w:pStyle w:val="TableContents"/>
              <w:bidi w:val="0"/>
              <w:spacing w:before="0" w:after="283"/>
              <w:jc w:val="right"/>
              <w:rPr/>
            </w:pPr>
            <w:r>
              <w:rPr/>
              <w:t>​</w:t>
            </w:r>
          </w:p>
        </w:tc>
        <w:tc>
          <w:tcPr>
            <w:tcW w:w="1679" w:type="dxa"/>
            <w:tcBorders>
              <w:bottom w:val="single" w:sz="6" w:space="0" w:color="BFBFBF"/>
            </w:tcBorders>
            <w:tcMar>
              <w:bottom w:w="34" w:type="dxa"/>
            </w:tcMar>
            <w:vAlign w:val="center"/>
          </w:tcPr>
          <w:p>
            <w:pPr>
              <w:pStyle w:val="TableContents"/>
              <w:bidi w:val="0"/>
              <w:spacing w:before="0" w:after="283"/>
              <w:jc w:val="right"/>
              <w:rPr/>
            </w:pPr>
            <w:r>
              <w:rPr/>
              <w:t>3,713,200</w:t>
            </w:r>
            <w:r>
              <w:rPr>
                <w:sz w:val="11"/>
              </w:rPr>
              <w:t>(5)</w:t>
            </w:r>
            <w:r>
              <w:rPr/>
              <w:t xml:space="preserve"> </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34" w:type="dxa"/>
            </w:tcMar>
            <w:vAlign w:val="center"/>
          </w:tcPr>
          <w:p>
            <w:pPr>
              <w:pStyle w:val="TableContents"/>
              <w:bidi w:val="0"/>
              <w:spacing w:before="0" w:after="283"/>
              <w:jc w:val="right"/>
              <w:rPr/>
            </w:pPr>
            <w:r>
              <w:rPr/>
              <w:t>​</w:t>
            </w:r>
          </w:p>
        </w:tc>
        <w:tc>
          <w:tcPr>
            <w:tcW w:w="654" w:type="dxa"/>
            <w:tcBorders>
              <w:bottom w:val="single" w:sz="6" w:space="0" w:color="BFBFBF"/>
            </w:tcBorders>
            <w:tcMar>
              <w:bottom w:w="34" w:type="dxa"/>
            </w:tcMar>
            <w:vAlign w:val="center"/>
          </w:tcPr>
          <w:p>
            <w:pPr>
              <w:pStyle w:val="TableContents"/>
              <w:bidi w:val="0"/>
              <w:spacing w:before="0" w:after="283"/>
              <w:jc w:val="right"/>
              <w:rPr/>
            </w:pPr>
            <w:r>
              <w:rPr/>
              <w:t>12.0%</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34" w:type="dxa"/>
            </w:tcMar>
            <w:vAlign w:val="center"/>
          </w:tcPr>
          <w:p>
            <w:pPr>
              <w:pStyle w:val="TableContents"/>
              <w:bidi w:val="0"/>
              <w:spacing w:before="0" w:after="283"/>
              <w:jc w:val="right"/>
              <w:rPr/>
            </w:pPr>
            <w:r>
              <w:rPr/>
              <w:t>​</w:t>
            </w:r>
          </w:p>
        </w:tc>
        <w:tc>
          <w:tcPr>
            <w:tcW w:w="1516" w:type="dxa"/>
            <w:tcBorders>
              <w:bottom w:val="single" w:sz="6" w:space="0" w:color="BFBFBF"/>
            </w:tcBorders>
            <w:tcMar>
              <w:bottom w:w="34" w:type="dxa"/>
            </w:tcMar>
            <w:vAlign w:val="center"/>
          </w:tcPr>
          <w:p>
            <w:pPr>
              <w:pStyle w:val="TableContents"/>
              <w:bidi w:val="0"/>
              <w:spacing w:before="0" w:after="283"/>
              <w:jc w:val="righ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34" w:type="dxa"/>
            </w:tcMar>
            <w:vAlign w:val="center"/>
          </w:tcPr>
          <w:p>
            <w:pPr>
              <w:pStyle w:val="TableContents"/>
              <w:bidi w:val="0"/>
              <w:spacing w:before="0" w:after="0"/>
              <w:ind w:left="170" w:right="0" w:hanging="170"/>
              <w:jc w:val="left"/>
              <w:rPr/>
            </w:pPr>
            <w:r>
              <w:rPr>
                <w:spacing w:val="-1"/>
              </w:rPr>
              <w:t xml:space="preserve">FMR LLC </w:t>
              <w:br/>
              <w:t xml:space="preserve">245 Summer Street </w:t>
              <w:br/>
              <w:t>Boston, Massachusetts 02210</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34" w:type="dxa"/>
            </w:tcMar>
            <w:vAlign w:val="center"/>
          </w:tcPr>
          <w:p>
            <w:pPr>
              <w:pStyle w:val="TableContents"/>
              <w:bidi w:val="0"/>
              <w:spacing w:before="0" w:after="283"/>
              <w:jc w:val="right"/>
              <w:rPr/>
            </w:pPr>
            <w:r>
              <w:rPr/>
              <w:t>​</w:t>
            </w:r>
          </w:p>
        </w:tc>
        <w:tc>
          <w:tcPr>
            <w:tcW w:w="1679" w:type="dxa"/>
            <w:tcBorders>
              <w:bottom w:val="single" w:sz="6" w:space="0" w:color="BFBFBF"/>
            </w:tcBorders>
            <w:tcMar>
              <w:bottom w:w="34" w:type="dxa"/>
            </w:tcMar>
            <w:vAlign w:val="center"/>
          </w:tcPr>
          <w:p>
            <w:pPr>
              <w:pStyle w:val="TableContents"/>
              <w:bidi w:val="0"/>
              <w:spacing w:before="0" w:after="283"/>
              <w:jc w:val="right"/>
              <w:rPr/>
            </w:pPr>
            <w:r>
              <w:rPr/>
              <w:t>3,124,775.08</w:t>
            </w:r>
            <w:r>
              <w:rPr>
                <w:sz w:val="11"/>
              </w:rPr>
              <w:t>(6)</w:t>
            </w:r>
            <w:r>
              <w:rPr/>
              <w:t xml:space="preserve"> </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34" w:type="dxa"/>
            </w:tcMar>
            <w:vAlign w:val="center"/>
          </w:tcPr>
          <w:p>
            <w:pPr>
              <w:pStyle w:val="TableContents"/>
              <w:bidi w:val="0"/>
              <w:spacing w:before="0" w:after="283"/>
              <w:jc w:val="right"/>
              <w:rPr/>
            </w:pPr>
            <w:r>
              <w:rPr/>
              <w:t>​</w:t>
            </w:r>
          </w:p>
        </w:tc>
        <w:tc>
          <w:tcPr>
            <w:tcW w:w="654" w:type="dxa"/>
            <w:tcBorders>
              <w:bottom w:val="single" w:sz="6" w:space="0" w:color="BFBFBF"/>
            </w:tcBorders>
            <w:tcMar>
              <w:bottom w:w="34" w:type="dxa"/>
            </w:tcMar>
            <w:vAlign w:val="center"/>
          </w:tcPr>
          <w:p>
            <w:pPr>
              <w:pStyle w:val="TableContents"/>
              <w:bidi w:val="0"/>
              <w:spacing w:before="0" w:after="283"/>
              <w:jc w:val="right"/>
              <w:rPr/>
            </w:pPr>
            <w:r>
              <w:rPr/>
              <w:t>10.1%</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34" w:type="dxa"/>
            </w:tcMar>
            <w:vAlign w:val="center"/>
          </w:tcPr>
          <w:p>
            <w:pPr>
              <w:pStyle w:val="TableContents"/>
              <w:bidi w:val="0"/>
              <w:spacing w:before="0" w:after="283"/>
              <w:jc w:val="right"/>
              <w:rPr/>
            </w:pPr>
            <w:r>
              <w:rPr/>
              <w:t>​</w:t>
            </w:r>
          </w:p>
        </w:tc>
        <w:tc>
          <w:tcPr>
            <w:tcW w:w="1516" w:type="dxa"/>
            <w:tcBorders>
              <w:bottom w:val="single" w:sz="6" w:space="0" w:color="BFBFBF"/>
            </w:tcBorders>
            <w:tcMar>
              <w:bottom w:w="34" w:type="dxa"/>
            </w:tcMar>
            <w:vAlign w:val="center"/>
          </w:tcPr>
          <w:p>
            <w:pPr>
              <w:pStyle w:val="TableContents"/>
              <w:bidi w:val="0"/>
              <w:spacing w:before="0" w:after="283"/>
              <w:jc w:val="righ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34" w:type="dxa"/>
            </w:tcMar>
            <w:vAlign w:val="center"/>
          </w:tcPr>
          <w:p>
            <w:pPr>
              <w:pStyle w:val="TableContents"/>
              <w:bidi w:val="0"/>
              <w:spacing w:before="0" w:after="0"/>
              <w:ind w:left="170" w:right="0" w:hanging="170"/>
              <w:jc w:val="left"/>
              <w:rPr/>
            </w:pPr>
            <w:r>
              <w:rPr>
                <w:spacing w:val="-1"/>
              </w:rPr>
              <w:t xml:space="preserve">Dimensional Fund Advisors LP </w:t>
              <w:br/>
              <w:t xml:space="preserve">6300 Bee Cave Road </w:t>
              <w:br/>
              <w:t xml:space="preserve">Building One </w:t>
              <w:br/>
              <w:t>Austin, TX 78746</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34" w:type="dxa"/>
            </w:tcMar>
            <w:vAlign w:val="center"/>
          </w:tcPr>
          <w:p>
            <w:pPr>
              <w:pStyle w:val="TableContents"/>
              <w:bidi w:val="0"/>
              <w:spacing w:before="0" w:after="283"/>
              <w:jc w:val="right"/>
              <w:rPr/>
            </w:pPr>
            <w:r>
              <w:rPr/>
              <w:t>​</w:t>
            </w:r>
          </w:p>
        </w:tc>
        <w:tc>
          <w:tcPr>
            <w:tcW w:w="1679" w:type="dxa"/>
            <w:tcBorders>
              <w:bottom w:val="single" w:sz="6" w:space="0" w:color="BFBFBF"/>
            </w:tcBorders>
            <w:tcMar>
              <w:bottom w:w="34" w:type="dxa"/>
            </w:tcMar>
            <w:vAlign w:val="center"/>
          </w:tcPr>
          <w:p>
            <w:pPr>
              <w:pStyle w:val="TableContents"/>
              <w:bidi w:val="0"/>
              <w:spacing w:before="0" w:after="283"/>
              <w:jc w:val="right"/>
              <w:rPr/>
            </w:pPr>
            <w:r>
              <w:rPr/>
              <w:t>2,267,590</w:t>
            </w:r>
            <w:r>
              <w:rPr>
                <w:sz w:val="11"/>
              </w:rPr>
              <w:t>(7)</w:t>
            </w:r>
            <w:r>
              <w:rPr/>
              <w:t xml:space="preserve"> </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34" w:type="dxa"/>
            </w:tcMar>
            <w:vAlign w:val="center"/>
          </w:tcPr>
          <w:p>
            <w:pPr>
              <w:pStyle w:val="TableContents"/>
              <w:bidi w:val="0"/>
              <w:spacing w:before="0" w:after="283"/>
              <w:jc w:val="right"/>
              <w:rPr/>
            </w:pPr>
            <w:r>
              <w:rPr/>
              <w:t>​</w:t>
            </w:r>
          </w:p>
        </w:tc>
        <w:tc>
          <w:tcPr>
            <w:tcW w:w="654" w:type="dxa"/>
            <w:tcBorders>
              <w:bottom w:val="single" w:sz="6" w:space="0" w:color="BFBFBF"/>
            </w:tcBorders>
            <w:tcMar>
              <w:bottom w:w="34" w:type="dxa"/>
            </w:tcMar>
            <w:vAlign w:val="center"/>
          </w:tcPr>
          <w:p>
            <w:pPr>
              <w:pStyle w:val="TableContents"/>
              <w:bidi w:val="0"/>
              <w:spacing w:before="0" w:after="283"/>
              <w:jc w:val="right"/>
              <w:rPr/>
            </w:pPr>
            <w:r>
              <w:rPr/>
              <w:t>7.3%</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34" w:type="dxa"/>
            </w:tcMar>
            <w:vAlign w:val="center"/>
          </w:tcPr>
          <w:p>
            <w:pPr>
              <w:pStyle w:val="TableContents"/>
              <w:bidi w:val="0"/>
              <w:spacing w:before="0" w:after="283"/>
              <w:jc w:val="right"/>
              <w:rPr/>
            </w:pPr>
            <w:r>
              <w:rPr/>
              <w:t>​</w:t>
            </w:r>
          </w:p>
        </w:tc>
        <w:tc>
          <w:tcPr>
            <w:tcW w:w="1516" w:type="dxa"/>
            <w:tcBorders>
              <w:bottom w:val="single" w:sz="6" w:space="0" w:color="BFBFBF"/>
            </w:tcBorders>
            <w:tcMar>
              <w:bottom w:w="34" w:type="dxa"/>
            </w:tcMar>
            <w:vAlign w:val="center"/>
          </w:tcPr>
          <w:p>
            <w:pPr>
              <w:pStyle w:val="TableContents"/>
              <w:bidi w:val="0"/>
              <w:spacing w:before="0" w:after="283"/>
              <w:jc w:val="righ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34" w:type="dxa"/>
            </w:tcMar>
            <w:vAlign w:val="center"/>
          </w:tcPr>
          <w:p>
            <w:pPr>
              <w:pStyle w:val="TableContents"/>
              <w:bidi w:val="0"/>
              <w:spacing w:before="0" w:after="0"/>
              <w:ind w:left="170" w:right="0" w:hanging="170"/>
              <w:jc w:val="left"/>
              <w:rPr/>
            </w:pPr>
            <w:r>
              <w:rPr>
                <w:spacing w:val="-1"/>
              </w:rPr>
              <w:t xml:space="preserve">Nomura Asset Management International Inc. </w:t>
              <w:br/>
              <w:t xml:space="preserve">Nomura Investment Management Business Trust </w:t>
              <w:br/>
              <w:t xml:space="preserve">100 Independence </w:t>
              <w:br/>
              <w:t xml:space="preserve">610 Market Street </w:t>
              <w:br/>
              <w:t>Philadelphia, PA 19106-2354</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34" w:type="dxa"/>
            </w:tcMar>
            <w:vAlign w:val="center"/>
          </w:tcPr>
          <w:p>
            <w:pPr>
              <w:pStyle w:val="TableContents"/>
              <w:bidi w:val="0"/>
              <w:spacing w:before="0" w:after="283"/>
              <w:jc w:val="right"/>
              <w:rPr/>
            </w:pPr>
            <w:r>
              <w:rPr/>
              <w:t>​</w:t>
            </w:r>
          </w:p>
        </w:tc>
        <w:tc>
          <w:tcPr>
            <w:tcW w:w="1679" w:type="dxa"/>
            <w:tcBorders>
              <w:bottom w:val="single" w:sz="6" w:space="0" w:color="BFBFBF"/>
            </w:tcBorders>
            <w:tcMar>
              <w:bottom w:w="34" w:type="dxa"/>
            </w:tcMar>
            <w:vAlign w:val="center"/>
          </w:tcPr>
          <w:p>
            <w:pPr>
              <w:pStyle w:val="TableContents"/>
              <w:bidi w:val="0"/>
              <w:spacing w:before="0" w:after="283"/>
              <w:jc w:val="right"/>
              <w:rPr/>
            </w:pPr>
            <w:r>
              <w:rPr/>
              <w:t>1,564,606</w:t>
            </w:r>
            <w:r>
              <w:rPr>
                <w:sz w:val="11"/>
              </w:rPr>
              <w:t>(8)</w:t>
            </w:r>
            <w:r>
              <w:rPr/>
              <w:t xml:space="preserve"> </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34" w:type="dxa"/>
            </w:tcMar>
            <w:vAlign w:val="center"/>
          </w:tcPr>
          <w:p>
            <w:pPr>
              <w:pStyle w:val="TableContents"/>
              <w:bidi w:val="0"/>
              <w:spacing w:before="0" w:after="283"/>
              <w:jc w:val="right"/>
              <w:rPr/>
            </w:pPr>
            <w:r>
              <w:rPr/>
              <w:t>​</w:t>
            </w:r>
          </w:p>
        </w:tc>
        <w:tc>
          <w:tcPr>
            <w:tcW w:w="654" w:type="dxa"/>
            <w:tcBorders>
              <w:bottom w:val="single" w:sz="6" w:space="0" w:color="BFBFBF"/>
            </w:tcBorders>
            <w:tcMar>
              <w:bottom w:w="34" w:type="dxa"/>
            </w:tcMar>
            <w:vAlign w:val="center"/>
          </w:tcPr>
          <w:p>
            <w:pPr>
              <w:pStyle w:val="TableContents"/>
              <w:bidi w:val="0"/>
              <w:spacing w:before="0" w:after="283"/>
              <w:jc w:val="right"/>
              <w:rPr/>
            </w:pPr>
            <w:r>
              <w:rPr/>
              <w:t>5.0%</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34" w:type="dxa"/>
            </w:tcMar>
            <w:vAlign w:val="center"/>
          </w:tcPr>
          <w:p>
            <w:pPr>
              <w:pStyle w:val="TableContents"/>
              <w:bidi w:val="0"/>
              <w:spacing w:before="0" w:after="283"/>
              <w:jc w:val="right"/>
              <w:rPr/>
            </w:pPr>
            <w:r>
              <w:rPr/>
              <w:t>​</w:t>
            </w:r>
          </w:p>
        </w:tc>
        <w:tc>
          <w:tcPr>
            <w:tcW w:w="1516" w:type="dxa"/>
            <w:tcBorders>
              <w:bottom w:val="single" w:sz="6" w:space="0" w:color="BFBFBF"/>
            </w:tcBorders>
            <w:tcMar>
              <w:bottom w:w="34" w:type="dxa"/>
            </w:tcMar>
            <w:vAlign w:val="center"/>
          </w:tcPr>
          <w:p>
            <w:pPr>
              <w:pStyle w:val="TableContents"/>
              <w:bidi w:val="0"/>
              <w:spacing w:before="0" w:after="283"/>
              <w:jc w:val="righ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3134" w:type="dxa"/>
            <w:tcBorders/>
            <w:shd w:fill="71B1C8" w:val="clear"/>
            <w:tcMar>
              <w:bottom w:w="0" w:type="dxa"/>
            </w:tcMar>
            <w:vAlign w:val="center"/>
          </w:tcPr>
          <w:p>
            <w:pPr>
              <w:pStyle w:val="TableContents"/>
              <w:bidi w:val="0"/>
              <w:spacing w:before="0" w:after="283"/>
              <w:jc w:val="left"/>
              <w:rPr/>
            </w:pPr>
            <w:r>
              <w:rPr>
                <w:spacing w:val="0"/>
              </w:rPr>
              <w:t>Directors and Officers</w:t>
            </w:r>
            <w:r>
              <w:rPr/>
              <w:t xml:space="preserve"> </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23" w:type="dxa"/>
            <w:tcBorders/>
            <w:shd w:fill="71B1C8" w:val="clear"/>
            <w:tcMar>
              <w:bottom w:w="0" w:type="dxa"/>
            </w:tcMar>
            <w:vAlign w:val="center"/>
          </w:tcPr>
          <w:p>
            <w:pPr>
              <w:pStyle w:val="TableContents"/>
              <w:bidi w:val="0"/>
              <w:spacing w:before="0" w:after="283"/>
              <w:jc w:val="left"/>
              <w:rPr/>
            </w:pPr>
            <w:r>
              <w:rPr/>
              <w:t>​</w:t>
            </w:r>
          </w:p>
        </w:tc>
        <w:tc>
          <w:tcPr>
            <w:tcW w:w="123" w:type="dxa"/>
            <w:tcBorders/>
            <w:shd w:fill="71B1C8" w:val="clear"/>
            <w:tcMar>
              <w:bottom w:w="0" w:type="dxa"/>
            </w:tcMar>
            <w:vAlign w:val="center"/>
          </w:tcPr>
          <w:p>
            <w:pPr>
              <w:pStyle w:val="TableContents"/>
              <w:bidi w:val="0"/>
              <w:spacing w:before="0" w:after="283"/>
              <w:jc w:val="right"/>
              <w:rPr/>
            </w:pPr>
            <w:r>
              <w:rPr/>
              <w:t>​</w:t>
            </w:r>
          </w:p>
        </w:tc>
        <w:tc>
          <w:tcPr>
            <w:tcW w:w="1679" w:type="dxa"/>
            <w:tcBorders/>
            <w:shd w:fill="71B1C8" w:val="clear"/>
            <w:tcMar>
              <w:bottom w:w="0" w:type="dxa"/>
            </w:tcMar>
            <w:vAlign w:val="center"/>
          </w:tcPr>
          <w:p>
            <w:pPr>
              <w:pStyle w:val="TableContents"/>
              <w:bidi w:val="0"/>
              <w:spacing w:before="0" w:after="283"/>
              <w:jc w:val="right"/>
              <w:rPr/>
            </w:pPr>
            <w:r>
              <w:rPr/>
              <w:t>​</w:t>
            </w:r>
          </w:p>
        </w:tc>
        <w:tc>
          <w:tcPr>
            <w:tcW w:w="123"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13" w:type="dxa"/>
            <w:tcBorders/>
            <w:shd w:fill="71B1C8" w:val="clear"/>
            <w:tcMar>
              <w:bottom w:w="0" w:type="dxa"/>
            </w:tcMar>
            <w:vAlign w:val="center"/>
          </w:tcPr>
          <w:p>
            <w:pPr>
              <w:pStyle w:val="TableContents"/>
              <w:bidi w:val="0"/>
              <w:spacing w:before="0" w:after="283"/>
              <w:jc w:val="left"/>
              <w:rPr/>
            </w:pPr>
            <w:r>
              <w:rPr/>
              <w:t>​</w:t>
            </w:r>
          </w:p>
        </w:tc>
        <w:tc>
          <w:tcPr>
            <w:tcW w:w="113" w:type="dxa"/>
            <w:tcBorders/>
            <w:shd w:fill="71B1C8" w:val="clear"/>
            <w:tcMar>
              <w:bottom w:w="0" w:type="dxa"/>
            </w:tcMar>
            <w:vAlign w:val="center"/>
          </w:tcPr>
          <w:p>
            <w:pPr>
              <w:pStyle w:val="TableContents"/>
              <w:bidi w:val="0"/>
              <w:spacing w:before="0" w:after="283"/>
              <w:jc w:val="right"/>
              <w:rPr/>
            </w:pPr>
            <w:r>
              <w:rPr/>
              <w:t>​</w:t>
            </w:r>
          </w:p>
        </w:tc>
        <w:tc>
          <w:tcPr>
            <w:tcW w:w="654" w:type="dxa"/>
            <w:tcBorders/>
            <w:shd w:fill="71B1C8" w:val="clear"/>
            <w:tcMar>
              <w:bottom w:w="0" w:type="dxa"/>
            </w:tcMar>
            <w:vAlign w:val="center"/>
          </w:tcPr>
          <w:p>
            <w:pPr>
              <w:pStyle w:val="TableContents"/>
              <w:bidi w:val="0"/>
              <w:spacing w:before="0" w:after="283"/>
              <w:jc w:val="right"/>
              <w:rPr/>
            </w:pPr>
            <w:r>
              <w:rPr/>
              <w:t>​</w:t>
            </w:r>
          </w:p>
        </w:tc>
        <w:tc>
          <w:tcPr>
            <w:tcW w:w="113"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09" w:type="dxa"/>
            <w:tcBorders/>
            <w:shd w:fill="71B1C8" w:val="clear"/>
            <w:tcMar>
              <w:bottom w:w="0" w:type="dxa"/>
            </w:tcMar>
            <w:vAlign w:val="center"/>
          </w:tcPr>
          <w:p>
            <w:pPr>
              <w:pStyle w:val="TableContents"/>
              <w:bidi w:val="0"/>
              <w:spacing w:before="0" w:after="283"/>
              <w:jc w:val="left"/>
              <w:rPr/>
            </w:pPr>
            <w:r>
              <w:rPr/>
              <w:t>​</w:t>
            </w:r>
          </w:p>
        </w:tc>
        <w:tc>
          <w:tcPr>
            <w:tcW w:w="186" w:type="dxa"/>
            <w:tcBorders/>
            <w:shd w:fill="71B1C8" w:val="clear"/>
            <w:tcMar>
              <w:bottom w:w="0" w:type="dxa"/>
            </w:tcMar>
            <w:vAlign w:val="center"/>
          </w:tcPr>
          <w:p>
            <w:pPr>
              <w:pStyle w:val="TableContents"/>
              <w:bidi w:val="0"/>
              <w:spacing w:before="0" w:after="283"/>
              <w:jc w:val="left"/>
              <w:rPr/>
            </w:pPr>
            <w:r>
              <w:rPr/>
              <w:t>​</w:t>
            </w:r>
          </w:p>
        </w:tc>
        <w:tc>
          <w:tcPr>
            <w:tcW w:w="186" w:type="dxa"/>
            <w:tcBorders/>
            <w:shd w:fill="71B1C8" w:val="clear"/>
            <w:tcMar>
              <w:bottom w:w="0" w:type="dxa"/>
            </w:tcMar>
            <w:vAlign w:val="center"/>
          </w:tcPr>
          <w:p>
            <w:pPr>
              <w:pStyle w:val="TableContents"/>
              <w:bidi w:val="0"/>
              <w:spacing w:before="0" w:after="283"/>
              <w:jc w:val="right"/>
              <w:rPr/>
            </w:pPr>
            <w:r>
              <w:rPr/>
              <w:t>​</w:t>
            </w:r>
          </w:p>
        </w:tc>
        <w:tc>
          <w:tcPr>
            <w:tcW w:w="1516" w:type="dxa"/>
            <w:tcBorders/>
            <w:shd w:fill="71B1C8" w:val="clear"/>
            <w:tcMar>
              <w:bottom w:w="0" w:type="dxa"/>
            </w:tcMar>
            <w:vAlign w:val="center"/>
          </w:tcPr>
          <w:p>
            <w:pPr>
              <w:pStyle w:val="TableContents"/>
              <w:bidi w:val="0"/>
              <w:spacing w:before="0" w:after="283"/>
              <w:jc w:val="right"/>
              <w:rPr/>
            </w:pPr>
            <w:r>
              <w:rPr/>
              <w:t>​</w:t>
            </w:r>
          </w:p>
        </w:tc>
        <w:tc>
          <w:tcPr>
            <w:tcW w:w="186" w:type="dxa"/>
            <w:tcBorders/>
            <w:shd w:fill="71B1C8" w:val="clear"/>
            <w:tcMar>
              <w:bottom w:w="0" w:type="dxa"/>
            </w:tcMar>
            <w:vAlign w:val="center"/>
          </w:tcPr>
          <w:p>
            <w:pPr>
              <w:pStyle w:val="TableContents"/>
              <w:bidi w:val="0"/>
              <w:spacing w:before="0" w:after="283"/>
              <w:jc w:val="left"/>
              <w:rPr/>
            </w:pPr>
            <w:r>
              <w:rPr/>
              <w:t>​</w:t>
            </w:r>
          </w:p>
        </w:tc>
        <w:tc>
          <w:tcPr>
            <w:tcW w:w="158" w:type="dxa"/>
            <w:tcBorders/>
            <w:shd w:fill="71B1C8"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D.T. Dietrich</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522,439</w:t>
            </w:r>
            <w:r>
              <w:rPr>
                <w:sz w:val="11"/>
              </w:rPr>
              <w:t>(9)</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1.7%</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6,573</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E.C. Aldag</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33,175</w:t>
            </w:r>
            <w:r>
              <w:rPr>
                <w:sz w:val="11"/>
              </w:rPr>
              <w:t>(10)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170</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D.J. Monagle, III</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210,267</w:t>
            </w:r>
            <w:r>
              <w:rPr>
                <w:sz w:val="11"/>
              </w:rPr>
              <w:t>(11)</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B. Argirakis</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107,232</w:t>
            </w:r>
            <w:r>
              <w:rPr>
                <w:sz w:val="11"/>
              </w:rPr>
              <w:t>(12)</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3,653</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J.J. Hastings</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136,240</w:t>
            </w:r>
            <w:r>
              <w:rPr>
                <w:sz w:val="11"/>
              </w:rPr>
              <w:t>(13)</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2,242</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J.C. Breunig</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1,200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19,622</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J.J. Carmola</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1,200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26,004</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R.L. Clark</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400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31,742</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A.A. Deans</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400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15,439</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F.L. Feder</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450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22,984</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K.M. Johnson</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1,400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4,080</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R. Motwani</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1,192</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6,185</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3134" w:type="dxa"/>
            <w:tcBorders>
              <w:bottom w:val="single" w:sz="6" w:space="0" w:color="BFBFBF"/>
            </w:tcBorders>
            <w:tcMar>
              <w:bottom w:w="40" w:type="dxa"/>
            </w:tcMar>
            <w:vAlign w:val="center"/>
          </w:tcPr>
          <w:p>
            <w:pPr>
              <w:pStyle w:val="TableContents"/>
              <w:bidi w:val="0"/>
              <w:spacing w:before="0" w:after="283"/>
              <w:jc w:val="left"/>
              <w:rPr/>
            </w:pPr>
            <w:r>
              <w:rPr>
                <w:spacing w:val="-1"/>
              </w:rPr>
              <w:t>C.K. Pittman</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vAlign w:val="center"/>
          </w:tcPr>
          <w:p>
            <w:pPr>
              <w:pStyle w:val="TableContents"/>
              <w:bidi w:val="0"/>
              <w:spacing w:before="0" w:after="283"/>
              <w:jc w:val="left"/>
              <w:rPr/>
            </w:pPr>
            <w:r>
              <w:rPr/>
              <w:t>​</w:t>
            </w:r>
          </w:p>
        </w:tc>
        <w:tc>
          <w:tcPr>
            <w:tcW w:w="123" w:type="dxa"/>
            <w:tcBorders>
              <w:bottom w:val="single" w:sz="6" w:space="0" w:color="BFBFBF"/>
            </w:tcBorders>
            <w:tcMar>
              <w:bottom w:w="40" w:type="dxa"/>
            </w:tcMar>
            <w:vAlign w:val="center"/>
          </w:tcPr>
          <w:p>
            <w:pPr>
              <w:pStyle w:val="TableContents"/>
              <w:bidi w:val="0"/>
              <w:spacing w:before="0" w:after="283"/>
              <w:jc w:val="right"/>
              <w:rPr/>
            </w:pPr>
            <w:r>
              <w:rPr/>
              <w:t>​</w:t>
            </w:r>
          </w:p>
        </w:tc>
        <w:tc>
          <w:tcPr>
            <w:tcW w:w="1679" w:type="dxa"/>
            <w:tcBorders>
              <w:bottom w:val="single" w:sz="6" w:space="0" w:color="BFBFBF"/>
            </w:tcBorders>
            <w:tcMar>
              <w:bottom w:w="40" w:type="dxa"/>
            </w:tcMar>
            <w:vAlign w:val="center"/>
          </w:tcPr>
          <w:p>
            <w:pPr>
              <w:pStyle w:val="TableContents"/>
              <w:bidi w:val="0"/>
              <w:spacing w:before="0" w:after="283"/>
              <w:jc w:val="right"/>
              <w:rPr/>
            </w:pPr>
            <w:r>
              <w:rPr/>
              <w:t>400</w:t>
            </w:r>
          </w:p>
        </w:tc>
        <w:tc>
          <w:tcPr>
            <w:tcW w:w="12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13" w:type="dxa"/>
            <w:tcBorders>
              <w:bottom w:val="single" w:sz="6" w:space="0" w:color="BFBFBF"/>
            </w:tcBorders>
            <w:tcMar>
              <w:bottom w:w="40" w:type="dxa"/>
            </w:tcMar>
            <w:vAlign w:val="center"/>
          </w:tcPr>
          <w:p>
            <w:pPr>
              <w:pStyle w:val="TableContents"/>
              <w:bidi w:val="0"/>
              <w:spacing w:before="0" w:after="283"/>
              <w:jc w:val="right"/>
              <w:rPr/>
            </w:pPr>
            <w:r>
              <w:rPr/>
              <w:t>​</w:t>
            </w:r>
          </w:p>
        </w:tc>
        <w:tc>
          <w:tcPr>
            <w:tcW w:w="654" w:type="dxa"/>
            <w:tcBorders>
              <w:bottom w:val="single" w:sz="6" w:space="0" w:color="BFBFBF"/>
            </w:tcBorders>
            <w:tcMar>
              <w:bottom w:w="40" w:type="dxa"/>
            </w:tcMar>
            <w:vAlign w:val="center"/>
          </w:tcPr>
          <w:p>
            <w:pPr>
              <w:pStyle w:val="TableContents"/>
              <w:bidi w:val="0"/>
              <w:spacing w:before="0" w:after="283"/>
              <w:jc w:val="right"/>
              <w:rPr/>
            </w:pPr>
            <w:r>
              <w:rPr/>
              <w:t>*</w:t>
            </w:r>
          </w:p>
        </w:tc>
        <w:tc>
          <w:tcPr>
            <w:tcW w:w="113"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vAlign w:val="center"/>
          </w:tcPr>
          <w:p>
            <w:pPr>
              <w:pStyle w:val="TableContents"/>
              <w:bidi w:val="0"/>
              <w:spacing w:before="0" w:after="283"/>
              <w:jc w:val="left"/>
              <w:rPr/>
            </w:pPr>
            <w:r>
              <w:rPr/>
              <w:t>​</w:t>
            </w:r>
          </w:p>
        </w:tc>
        <w:tc>
          <w:tcPr>
            <w:tcW w:w="186" w:type="dxa"/>
            <w:tcBorders>
              <w:bottom w:val="single" w:sz="6" w:space="0" w:color="BFBFBF"/>
            </w:tcBorders>
            <w:tcMar>
              <w:bottom w:w="40" w:type="dxa"/>
            </w:tcMar>
            <w:vAlign w:val="center"/>
          </w:tcPr>
          <w:p>
            <w:pPr>
              <w:pStyle w:val="TableContents"/>
              <w:bidi w:val="0"/>
              <w:spacing w:before="0" w:after="283"/>
              <w:jc w:val="right"/>
              <w:rPr/>
            </w:pPr>
            <w:r>
              <w:rPr/>
              <w:t>​</w:t>
            </w:r>
          </w:p>
        </w:tc>
        <w:tc>
          <w:tcPr>
            <w:tcW w:w="1516" w:type="dxa"/>
            <w:tcBorders>
              <w:bottom w:val="single" w:sz="6" w:space="0" w:color="BFBFBF"/>
            </w:tcBorders>
            <w:tcMar>
              <w:bottom w:w="40" w:type="dxa"/>
            </w:tcMar>
            <w:vAlign w:val="center"/>
          </w:tcPr>
          <w:p>
            <w:pPr>
              <w:pStyle w:val="TableContents"/>
              <w:bidi w:val="0"/>
              <w:spacing w:before="0" w:after="283"/>
              <w:jc w:val="right"/>
              <w:rPr/>
            </w:pPr>
            <w:r>
              <w:rPr/>
              <w:t>18,609</w:t>
            </w:r>
          </w:p>
        </w:tc>
        <w:tc>
          <w:tcPr>
            <w:tcW w:w="186" w:type="dxa"/>
            <w:tcBorders>
              <w:bottom w:val="single" w:sz="6" w:space="0" w:color="BFBFBF"/>
            </w:tcBorders>
            <w:vAlign w:val="center"/>
          </w:tcPr>
          <w:p>
            <w:pPr>
              <w:pStyle w:val="TableContents"/>
              <w:bidi w:val="0"/>
              <w:spacing w:before="0" w:after="283"/>
              <w:jc w:val="left"/>
              <w:rPr/>
            </w:pPr>
            <w:r>
              <w:rPr/>
              <w:t>​</w:t>
            </w:r>
          </w:p>
        </w:tc>
        <w:tc>
          <w:tcPr>
            <w:tcW w:w="158"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3134" w:type="dxa"/>
            <w:tcBorders>
              <w:bottom w:val="single" w:sz="6" w:space="0" w:color="002F56"/>
            </w:tcBorders>
            <w:tcMar>
              <w:bottom w:w="48" w:type="dxa"/>
            </w:tcMar>
            <w:vAlign w:val="center"/>
          </w:tcPr>
          <w:p>
            <w:pPr>
              <w:pStyle w:val="TableContents"/>
              <w:bidi w:val="0"/>
              <w:spacing w:before="0" w:after="283"/>
              <w:jc w:val="left"/>
              <w:rPr/>
            </w:pPr>
            <w:r>
              <w:rPr>
                <w:spacing w:val="-1"/>
              </w:rPr>
              <w:t>M.E. Robinson</w:t>
            </w:r>
            <w:r>
              <w:rPr/>
              <w:t xml:space="preserve">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23" w:type="dxa"/>
            <w:tcBorders>
              <w:bottom w:val="single" w:sz="6" w:space="0" w:color="002F56"/>
            </w:tcBorders>
            <w:vAlign w:val="center"/>
          </w:tcPr>
          <w:p>
            <w:pPr>
              <w:pStyle w:val="TableContents"/>
              <w:bidi w:val="0"/>
              <w:spacing w:before="0" w:after="283"/>
              <w:jc w:val="left"/>
              <w:rPr/>
            </w:pPr>
            <w:r>
              <w:rPr/>
              <w:t>​</w:t>
            </w:r>
          </w:p>
        </w:tc>
        <w:tc>
          <w:tcPr>
            <w:tcW w:w="123" w:type="dxa"/>
            <w:tcBorders>
              <w:bottom w:val="single" w:sz="6" w:space="0" w:color="002F56"/>
            </w:tcBorders>
            <w:tcMar>
              <w:bottom w:w="48" w:type="dxa"/>
            </w:tcMar>
            <w:vAlign w:val="center"/>
          </w:tcPr>
          <w:p>
            <w:pPr>
              <w:pStyle w:val="TableContents"/>
              <w:bidi w:val="0"/>
              <w:spacing w:before="0" w:after="283"/>
              <w:jc w:val="right"/>
              <w:rPr/>
            </w:pPr>
            <w:r>
              <w:rPr/>
              <w:t>​</w:t>
            </w:r>
          </w:p>
        </w:tc>
        <w:tc>
          <w:tcPr>
            <w:tcW w:w="1679" w:type="dxa"/>
            <w:tcBorders>
              <w:bottom w:val="single" w:sz="6" w:space="0" w:color="002F56"/>
            </w:tcBorders>
            <w:tcMar>
              <w:bottom w:w="48" w:type="dxa"/>
            </w:tcMar>
            <w:vAlign w:val="center"/>
          </w:tcPr>
          <w:p>
            <w:pPr>
              <w:pStyle w:val="TableContents"/>
              <w:bidi w:val="0"/>
              <w:spacing w:before="0" w:after="283"/>
              <w:jc w:val="right"/>
              <w:rPr/>
            </w:pPr>
            <w:r>
              <w:rPr/>
              <w:t>413</w:t>
            </w:r>
            <w:r>
              <w:rPr>
                <w:sz w:val="11"/>
              </w:rPr>
              <w:t>(14)</w:t>
            </w:r>
          </w:p>
        </w:tc>
        <w:tc>
          <w:tcPr>
            <w:tcW w:w="123"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13" w:type="dxa"/>
            <w:tcBorders>
              <w:bottom w:val="single" w:sz="6" w:space="0" w:color="002F56"/>
            </w:tcBorders>
            <w:vAlign w:val="center"/>
          </w:tcPr>
          <w:p>
            <w:pPr>
              <w:pStyle w:val="TableContents"/>
              <w:bidi w:val="0"/>
              <w:spacing w:before="0" w:after="283"/>
              <w:jc w:val="left"/>
              <w:rPr/>
            </w:pPr>
            <w:r>
              <w:rPr/>
              <w:t>​</w:t>
            </w:r>
          </w:p>
        </w:tc>
        <w:tc>
          <w:tcPr>
            <w:tcW w:w="113" w:type="dxa"/>
            <w:tcBorders>
              <w:bottom w:val="single" w:sz="6" w:space="0" w:color="002F56"/>
            </w:tcBorders>
            <w:tcMar>
              <w:bottom w:w="48" w:type="dxa"/>
            </w:tcMar>
            <w:vAlign w:val="center"/>
          </w:tcPr>
          <w:p>
            <w:pPr>
              <w:pStyle w:val="TableContents"/>
              <w:bidi w:val="0"/>
              <w:spacing w:before="0" w:after="283"/>
              <w:jc w:val="right"/>
              <w:rPr/>
            </w:pPr>
            <w:r>
              <w:rPr/>
              <w:t>​</w:t>
            </w:r>
          </w:p>
        </w:tc>
        <w:tc>
          <w:tcPr>
            <w:tcW w:w="654" w:type="dxa"/>
            <w:tcBorders>
              <w:bottom w:val="single" w:sz="6" w:space="0" w:color="002F56"/>
            </w:tcBorders>
            <w:tcMar>
              <w:bottom w:w="48" w:type="dxa"/>
            </w:tcMar>
            <w:vAlign w:val="center"/>
          </w:tcPr>
          <w:p>
            <w:pPr>
              <w:pStyle w:val="TableContents"/>
              <w:bidi w:val="0"/>
              <w:spacing w:before="0" w:after="283"/>
              <w:jc w:val="right"/>
              <w:rPr/>
            </w:pPr>
            <w:r>
              <w:rPr/>
              <w:t>*</w:t>
            </w:r>
          </w:p>
        </w:tc>
        <w:tc>
          <w:tcPr>
            <w:tcW w:w="113"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86" w:type="dxa"/>
            <w:tcBorders>
              <w:bottom w:val="single" w:sz="6" w:space="0" w:color="002F56"/>
            </w:tcBorders>
            <w:vAlign w:val="center"/>
          </w:tcPr>
          <w:p>
            <w:pPr>
              <w:pStyle w:val="TableContents"/>
              <w:bidi w:val="0"/>
              <w:spacing w:before="0" w:after="283"/>
              <w:jc w:val="left"/>
              <w:rPr/>
            </w:pPr>
            <w:r>
              <w:rPr/>
              <w:t>​</w:t>
            </w:r>
          </w:p>
        </w:tc>
        <w:tc>
          <w:tcPr>
            <w:tcW w:w="186" w:type="dxa"/>
            <w:tcBorders>
              <w:bottom w:val="single" w:sz="6" w:space="0" w:color="002F56"/>
            </w:tcBorders>
            <w:tcMar>
              <w:bottom w:w="48" w:type="dxa"/>
            </w:tcMar>
            <w:vAlign w:val="center"/>
          </w:tcPr>
          <w:p>
            <w:pPr>
              <w:pStyle w:val="TableContents"/>
              <w:bidi w:val="0"/>
              <w:spacing w:before="0" w:after="283"/>
              <w:jc w:val="right"/>
              <w:rPr/>
            </w:pPr>
            <w:r>
              <w:rPr/>
              <w:t>​</w:t>
            </w:r>
          </w:p>
        </w:tc>
        <w:tc>
          <w:tcPr>
            <w:tcW w:w="1516" w:type="dxa"/>
            <w:tcBorders>
              <w:bottom w:val="single" w:sz="6" w:space="0" w:color="002F56"/>
            </w:tcBorders>
            <w:tcMar>
              <w:bottom w:w="48" w:type="dxa"/>
            </w:tcMar>
            <w:vAlign w:val="center"/>
          </w:tcPr>
          <w:p>
            <w:pPr>
              <w:pStyle w:val="TableContents"/>
              <w:bidi w:val="0"/>
              <w:spacing w:before="0" w:after="283"/>
              <w:jc w:val="right"/>
              <w:rPr/>
            </w:pPr>
            <w:r>
              <w:rPr/>
              <w:t>24,965</w:t>
            </w:r>
          </w:p>
        </w:tc>
        <w:tc>
          <w:tcPr>
            <w:tcW w:w="186" w:type="dxa"/>
            <w:tcBorders>
              <w:bottom w:val="single" w:sz="6" w:space="0" w:color="002F56"/>
            </w:tcBorders>
            <w:vAlign w:val="center"/>
          </w:tcPr>
          <w:p>
            <w:pPr>
              <w:pStyle w:val="TableContents"/>
              <w:bidi w:val="0"/>
              <w:spacing w:before="0" w:after="283"/>
              <w:jc w:val="left"/>
              <w:rPr/>
            </w:pPr>
            <w:r>
              <w:rPr/>
              <w:t>​</w:t>
            </w:r>
          </w:p>
        </w:tc>
        <w:tc>
          <w:tcPr>
            <w:tcW w:w="158"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3134" w:type="dxa"/>
            <w:tcBorders>
              <w:bottom w:val="single" w:sz="12" w:space="0" w:color="71B1C8"/>
            </w:tcBorders>
            <w:vAlign w:val="center"/>
          </w:tcPr>
          <w:p>
            <w:pPr>
              <w:pStyle w:val="TableContents"/>
              <w:bidi w:val="0"/>
              <w:spacing w:before="0" w:after="283"/>
              <w:jc w:val="left"/>
              <w:rPr/>
            </w:pPr>
            <w:r>
              <w:rPr>
                <w:spacing w:val="-1"/>
              </w:rPr>
              <w:t>Directors and Officers as a group (17 individuals)</w:t>
            </w:r>
            <w:r>
              <w:rPr/>
              <w:t xml:space="preserve">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23" w:type="dxa"/>
            <w:tcBorders>
              <w:bottom w:val="single" w:sz="12" w:space="0" w:color="71B1C8"/>
            </w:tcBorders>
            <w:vAlign w:val="center"/>
          </w:tcPr>
          <w:p>
            <w:pPr>
              <w:pStyle w:val="TableContents"/>
              <w:bidi w:val="0"/>
              <w:spacing w:before="0" w:after="283"/>
              <w:jc w:val="left"/>
              <w:rPr/>
            </w:pPr>
            <w:r>
              <w:rPr/>
              <w:t>​</w:t>
            </w:r>
          </w:p>
        </w:tc>
        <w:tc>
          <w:tcPr>
            <w:tcW w:w="123" w:type="dxa"/>
            <w:tcBorders>
              <w:bottom w:val="single" w:sz="12" w:space="0" w:color="71B1C8"/>
            </w:tcBorders>
            <w:vAlign w:val="center"/>
          </w:tcPr>
          <w:p>
            <w:pPr>
              <w:pStyle w:val="TableContents"/>
              <w:bidi w:val="0"/>
              <w:spacing w:before="0" w:after="283"/>
              <w:jc w:val="right"/>
              <w:rPr/>
            </w:pPr>
            <w:r>
              <w:rPr/>
              <w:t>​</w:t>
            </w:r>
          </w:p>
        </w:tc>
        <w:tc>
          <w:tcPr>
            <w:tcW w:w="1679" w:type="dxa"/>
            <w:tcBorders>
              <w:bottom w:val="single" w:sz="12" w:space="0" w:color="71B1C8"/>
            </w:tcBorders>
            <w:vAlign w:val="center"/>
          </w:tcPr>
          <w:p>
            <w:pPr>
              <w:pStyle w:val="TableContents"/>
              <w:bidi w:val="0"/>
              <w:spacing w:before="0" w:after="283"/>
              <w:jc w:val="right"/>
              <w:rPr/>
            </w:pPr>
            <w:r>
              <w:rPr/>
              <w:t>1,167,392</w:t>
            </w:r>
            <w:r>
              <w:rPr>
                <w:sz w:val="11"/>
              </w:rPr>
              <w:t>(15)</w:t>
            </w:r>
          </w:p>
        </w:tc>
        <w:tc>
          <w:tcPr>
            <w:tcW w:w="123"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13" w:type="dxa"/>
            <w:tcBorders>
              <w:bottom w:val="single" w:sz="12" w:space="0" w:color="71B1C8"/>
            </w:tcBorders>
            <w:vAlign w:val="center"/>
          </w:tcPr>
          <w:p>
            <w:pPr>
              <w:pStyle w:val="TableContents"/>
              <w:bidi w:val="0"/>
              <w:spacing w:before="0" w:after="283"/>
              <w:jc w:val="left"/>
              <w:rPr/>
            </w:pPr>
            <w:r>
              <w:rPr/>
              <w:t>​</w:t>
            </w:r>
          </w:p>
        </w:tc>
        <w:tc>
          <w:tcPr>
            <w:tcW w:w="113" w:type="dxa"/>
            <w:tcBorders>
              <w:bottom w:val="single" w:sz="12" w:space="0" w:color="71B1C8"/>
            </w:tcBorders>
            <w:vAlign w:val="center"/>
          </w:tcPr>
          <w:p>
            <w:pPr>
              <w:pStyle w:val="TableContents"/>
              <w:bidi w:val="0"/>
              <w:spacing w:before="0" w:after="283"/>
              <w:jc w:val="right"/>
              <w:rPr/>
            </w:pPr>
            <w:r>
              <w:rPr/>
              <w:t>​</w:t>
            </w:r>
          </w:p>
        </w:tc>
        <w:tc>
          <w:tcPr>
            <w:tcW w:w="654" w:type="dxa"/>
            <w:tcBorders>
              <w:bottom w:val="single" w:sz="12" w:space="0" w:color="71B1C8"/>
            </w:tcBorders>
            <w:vAlign w:val="center"/>
          </w:tcPr>
          <w:p>
            <w:pPr>
              <w:pStyle w:val="TableContents"/>
              <w:bidi w:val="0"/>
              <w:spacing w:before="0" w:after="283"/>
              <w:jc w:val="right"/>
              <w:rPr/>
            </w:pPr>
            <w:r>
              <w:rPr/>
              <w:t>3.7%</w:t>
            </w:r>
          </w:p>
        </w:tc>
        <w:tc>
          <w:tcPr>
            <w:tcW w:w="113"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86" w:type="dxa"/>
            <w:tcBorders>
              <w:bottom w:val="single" w:sz="12" w:space="0" w:color="71B1C8"/>
            </w:tcBorders>
            <w:vAlign w:val="center"/>
          </w:tcPr>
          <w:p>
            <w:pPr>
              <w:pStyle w:val="TableContents"/>
              <w:bidi w:val="0"/>
              <w:spacing w:before="0" w:after="283"/>
              <w:jc w:val="left"/>
              <w:rPr/>
            </w:pPr>
            <w:r>
              <w:rPr/>
              <w:t>​</w:t>
            </w:r>
          </w:p>
        </w:tc>
        <w:tc>
          <w:tcPr>
            <w:tcW w:w="186" w:type="dxa"/>
            <w:tcBorders>
              <w:bottom w:val="single" w:sz="12" w:space="0" w:color="71B1C8"/>
            </w:tcBorders>
            <w:vAlign w:val="center"/>
          </w:tcPr>
          <w:p>
            <w:pPr>
              <w:pStyle w:val="TableContents"/>
              <w:bidi w:val="0"/>
              <w:spacing w:before="0" w:after="283"/>
              <w:jc w:val="right"/>
              <w:rPr/>
            </w:pPr>
            <w:r>
              <w:rPr/>
              <w:t>​</w:t>
            </w:r>
          </w:p>
        </w:tc>
        <w:tc>
          <w:tcPr>
            <w:tcW w:w="1516" w:type="dxa"/>
            <w:tcBorders>
              <w:bottom w:val="single" w:sz="12" w:space="0" w:color="71B1C8"/>
            </w:tcBorders>
            <w:vAlign w:val="center"/>
          </w:tcPr>
          <w:p>
            <w:pPr>
              <w:pStyle w:val="TableContents"/>
              <w:bidi w:val="0"/>
              <w:spacing w:before="0" w:after="283"/>
              <w:jc w:val="right"/>
              <w:rPr/>
            </w:pPr>
            <w:r>
              <w:rPr/>
              <w:t>195,993</w:t>
            </w:r>
          </w:p>
        </w:tc>
        <w:tc>
          <w:tcPr>
            <w:tcW w:w="186" w:type="dxa"/>
            <w:tcBorders>
              <w:bottom w:val="single" w:sz="12" w:space="0" w:color="71B1C8"/>
            </w:tcBorders>
            <w:vAlign w:val="center"/>
          </w:tcPr>
          <w:p>
            <w:pPr>
              <w:pStyle w:val="TableContents"/>
              <w:bidi w:val="0"/>
              <w:spacing w:before="0" w:after="283"/>
              <w:jc w:val="left"/>
              <w:rPr/>
            </w:pPr>
            <w:r>
              <w:rPr/>
              <w:t>​</w:t>
            </w:r>
          </w:p>
        </w:tc>
        <w:tc>
          <w:tcPr>
            <w:tcW w:w="158"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76</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DSR3"/>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SHARE OWNERSHIP</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00" w:before="400" w:after="283"/>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76200" distR="0" simplePos="0" locked="0" layoutInCell="1" allowOverlap="1" relativeHeight="886">
                <wp:simplePos x="0" y="0"/>
                <wp:positionH relativeFrom="column">
                  <wp:align>left</wp:align>
                </wp:positionH>
                <wp:positionV relativeFrom="line">
                  <wp:posOffset>635</wp:posOffset>
                </wp:positionV>
                <wp:extent cx="254000" cy="350520"/>
                <wp:effectExtent l="0" t="0" r="0" b="0"/>
                <wp:wrapSquare wrapText="right"/>
                <wp:docPr id="868"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0pt;mso-wrap-distance-bottom:0pt;margin-top:0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The address of each director and officer is c/o Minerals Technologies Inc., 622 Third Avenue, 38th Floor, New York, New York 10017-6707.</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87">
                <wp:simplePos x="0" y="0"/>
                <wp:positionH relativeFrom="column">
                  <wp:align>left</wp:align>
                </wp:positionH>
                <wp:positionV relativeFrom="line">
                  <wp:align>top</wp:align>
                </wp:positionV>
                <wp:extent cx="254000" cy="350520"/>
                <wp:effectExtent l="0" t="0" r="0" b="0"/>
                <wp:wrapSquare wrapText="right"/>
                <wp:docPr id="869"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Sole voting and investment power, except as otherwise indicated. Does not include “Share Equivalent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88">
                <wp:simplePos x="0" y="0"/>
                <wp:positionH relativeFrom="column">
                  <wp:align>left</wp:align>
                </wp:positionH>
                <wp:positionV relativeFrom="line">
                  <wp:align>top</wp:align>
                </wp:positionV>
                <wp:extent cx="254000" cy="350520"/>
                <wp:effectExtent l="0" t="0" r="0" b="0"/>
                <wp:wrapSquare wrapText="right"/>
                <wp:docPr id="870" name="Frame5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6"/>
        </w:rPr>
        <w:t>Share Equivalent Units,” which entitle the officer or director to a cash benefit equal to the number of units in his or her account multiplied by the closing price of our common stock on the business day prior to the date of payment, have been credited to Messrs. Dietrich, Aldag, Monagle, Argirakis, and Hastings under the Supplemental Savings Plan; and to Mr. Breunig, Mr. Carmola, Dr. Clark, Ms. Deans, Mr. Feder, Dr. Johnson, Mr. Motwani, Ms. Pittman and Mr. Robinson under the Nonfunded Deferred Compensation and Unit Award Plan for Non-Employee Directors (See “</w:t>
      </w:r>
      <w:r>
        <w:rPr>
          <w:rFonts w:ascii="Arial;Helvetica;sans-serif" w:hAnsi="Arial;Helvetica;sans-serif"/>
          <w:b w:val="false"/>
          <w:i/>
          <w:caps w:val="false"/>
          <w:smallCaps w:val="false"/>
          <w:color w:val="000000"/>
          <w:sz w:val="16"/>
        </w:rPr>
        <w:t>Director Compensation</w:t>
      </w:r>
      <w:r>
        <w:rPr>
          <w:rFonts w:ascii="Arial;Helvetica;sans-serif" w:hAnsi="Arial;Helvetica;sans-serif"/>
          <w:b w:val="false"/>
          <w:i w:val="false"/>
          <w:caps w:val="false"/>
          <w:smallCaps w:val="false"/>
          <w:color w:val="000000"/>
          <w:spacing w:val="-1"/>
          <w:sz w:val="16"/>
        </w:rPr>
        <w:t>”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89">
                <wp:simplePos x="0" y="0"/>
                <wp:positionH relativeFrom="column">
                  <wp:align>left</wp:align>
                </wp:positionH>
                <wp:positionV relativeFrom="line">
                  <wp:align>top</wp:align>
                </wp:positionV>
                <wp:extent cx="254000" cy="350520"/>
                <wp:effectExtent l="0" t="0" r="0" b="0"/>
                <wp:wrapSquare wrapText="right"/>
                <wp:docPr id="871" name="Frame5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a statement on Schedule 13G/A filed on April 28, 2025 with the SEC on behalf of BlackRock, Inc. representing ownership as of March 31, 2025. According to BlackRock Inc.’s Schedule 13G/A, the number of shares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Units.In addition, according to BlackRock Inc.’s Schedule 13G/A, the interest of one person, iShares Core S&amp;P Small-Cap ETF, was more than 5% of the Company’s total outstanding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0">
                <wp:simplePos x="0" y="0"/>
                <wp:positionH relativeFrom="column">
                  <wp:align>left</wp:align>
                </wp:positionH>
                <wp:positionV relativeFrom="line">
                  <wp:align>top</wp:align>
                </wp:positionV>
                <wp:extent cx="254000" cy="350520"/>
                <wp:effectExtent l="0" t="0" r="0" b="0"/>
                <wp:wrapSquare wrapText="right"/>
                <wp:docPr id="872" name="Frame5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a statement on Schedule 13G/A filed on February 13, 2024 with the SEC on behalf of investment adviser Vanguard Group Inc. representing ownership as of December 29, 2023. Subsequent to March 24, 2026, the date as of which the Company determined beneficial ownership of the Company’s common stock, The Vanguard Group filed a Schedule 13 G/A to report that, due to an internal realignment, it no longer has, or is deemed to have, beneficial ownership over Company securities that are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 As of April 1, 2026, no such beneficial ownership reports as to Company common stock had been filed by subsidiaries or business divisions of The Vanguard Group.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1">
                <wp:simplePos x="0" y="0"/>
                <wp:positionH relativeFrom="column">
                  <wp:align>left</wp:align>
                </wp:positionH>
                <wp:positionV relativeFrom="line">
                  <wp:align>top</wp:align>
                </wp:positionV>
                <wp:extent cx="254000" cy="350520"/>
                <wp:effectExtent l="0" t="0" r="0" b="0"/>
                <wp:wrapSquare wrapText="right"/>
                <wp:docPr id="873" name="Frame5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a statement on Schedule 13G filed on February 6, 2026 with the SEC by FMR LLC representing ownership as of January 30,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2">
                <wp:simplePos x="0" y="0"/>
                <wp:positionH relativeFrom="column">
                  <wp:align>left</wp:align>
                </wp:positionH>
                <wp:positionV relativeFrom="line">
                  <wp:align>top</wp:align>
                </wp:positionV>
                <wp:extent cx="254000" cy="350520"/>
                <wp:effectExtent l="0" t="0" r="0" b="0"/>
                <wp:wrapSquare wrapText="right"/>
                <wp:docPr id="874"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(6)</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a statement on Schedule 13G/A filed on February 9, 2024 with the SEC on behalf of investment adviser Dimensional Fund Advisors LP representing ownership as of December 29, 2023.</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50800" distB="0" distL="76200" distR="0" simplePos="0" locked="0" layoutInCell="1" allowOverlap="1" relativeHeight="893">
                <wp:simplePos x="0" y="0"/>
                <wp:positionH relativeFrom="column">
                  <wp:align>left</wp:align>
                </wp:positionH>
                <wp:positionV relativeFrom="line">
                  <wp:align>top</wp:align>
                </wp:positionV>
                <wp:extent cx="254000" cy="350520"/>
                <wp:effectExtent l="0" t="0" r="0" b="0"/>
                <wp:wrapSquare wrapText="right"/>
                <wp:docPr id="875" name="Frame5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(7)</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Based on a statement on Schedule 13G filed on February 17, 2026 with the SEC by Nomura Asset Management International Inc and Nomura Investment Management Business Trust representing ownership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4">
                <wp:simplePos x="0" y="0"/>
                <wp:positionH relativeFrom="column">
                  <wp:align>left</wp:align>
                </wp:positionH>
                <wp:positionV relativeFrom="line">
                  <wp:align>top</wp:align>
                </wp:positionV>
                <wp:extent cx="254000" cy="350520"/>
                <wp:effectExtent l="0" t="0" r="0" b="0"/>
                <wp:wrapSquare wrapText="right"/>
                <wp:docPr id="876" name="Frame5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(8)</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341,743 of these shares are subject to options which are exercisable currently or within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5">
                <wp:simplePos x="0" y="0"/>
                <wp:positionH relativeFrom="column">
                  <wp:align>left</wp:align>
                </wp:positionH>
                <wp:positionV relativeFrom="line">
                  <wp:align>top</wp:align>
                </wp:positionV>
                <wp:extent cx="254000" cy="350520"/>
                <wp:effectExtent l="0" t="0" r="0" b="0"/>
                <wp:wrapSquare wrapText="right"/>
                <wp:docPr id="877" name="Frame5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(9)</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25,121 of these shares are subject to options which are exercisable currently or within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6">
                <wp:simplePos x="0" y="0"/>
                <wp:positionH relativeFrom="column">
                  <wp:align>left</wp:align>
                </wp:positionH>
                <wp:positionV relativeFrom="line">
                  <wp:align>top</wp:align>
                </wp:positionV>
                <wp:extent cx="254000" cy="525780"/>
                <wp:effectExtent l="0" t="0" r="0" b="0"/>
                <wp:wrapSquare wrapText="right"/>
                <wp:docPr id="878" name="Frame5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(10)</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120,222 of these shares are subject to options which are exercisable currently or within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7">
                <wp:simplePos x="0" y="0"/>
                <wp:positionH relativeFrom="column">
                  <wp:align>left</wp:align>
                </wp:positionH>
                <wp:positionV relativeFrom="line">
                  <wp:align>top</wp:align>
                </wp:positionV>
                <wp:extent cx="254000" cy="525780"/>
                <wp:effectExtent l="0" t="0" r="0" b="0"/>
                <wp:wrapSquare wrapText="right"/>
                <wp:docPr id="879" name="Frame5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pt;mso-wrap-distance-right:0pt;mso-wrap-distance-top:4pt;mso-wrap-distance-bottom:0pt;margin-top:4pt;mso-position-vertical:top;mso-position-vertical-relative:text;margin-left:32pt;mso-position-horizontal:left;mso-position-horizontal-relative:text">
                <v:textbox>
                  <w:txbxContent>
                    <w:p>
                      <w:pPr>
                        <w:pStyle w:val="TextBody"/>
                        <w:bidi w:val="0"/>
                        <w:spacing w:lineRule="atLeast" w:line="200" w:before="0" w:after="283"/>
                        <w:jc w:val="left"/>
                        <w:rPr/>
                      </w:pPr>
                      <w:r>
                        <w:rPr>
                          <w:spacing w:val="-1"/>
                        </w:rPr>
                        <w:t>(11)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71,605 of these shares are subject to options which are exercisable currently or within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8">
                <wp:simplePos x="0" y="0"/>
                <wp:positionH relativeFrom="column">
                  <wp:align>left</wp:align>
                </wp:positionH>
                <wp:positionV relativeFrom="line">
                  <wp:align>top</wp:align>
                </wp:positionV>
                <wp:extent cx="254000" cy="525780"/>
                <wp:effectExtent l="0" t="0" r="0" b="0"/>
                <wp:wrapSquare wrapText="right"/>
                <wp:docPr id="880" name="Frame5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69,330 of these shares are subject to options which are exercisable currently or within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899">
                <wp:simplePos x="0" y="0"/>
                <wp:positionH relativeFrom="column">
                  <wp:align>left</wp:align>
                </wp:positionH>
                <wp:positionV relativeFrom="line">
                  <wp:align>top</wp:align>
                </wp:positionV>
                <wp:extent cx="254000" cy="525780"/>
                <wp:effectExtent l="0" t="0" r="0" b="0"/>
                <wp:wrapSquare wrapText="right"/>
                <wp:docPr id="881" name="Frame5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pt;mso-wrap-distance-right:0pt;mso-wrap-distance-top:4pt;mso-wrap-distance-bottom:0pt;margin-top:4pt;mso-position-vertical:top;mso-position-vertical-relative:text;margin-left:32pt;mso-position-horizontal:left;mso-position-horizontal-relative:text">
                <v:textbox>
                  <w:txbxContent>
                    <w:p>
                      <w:pPr>
                        <w:pStyle w:val="TextBody"/>
                        <w:bidi w:val="0"/>
                        <w:spacing w:lineRule="atLeast" w:line="200" w:before="0" w:after="283"/>
                        <w:jc w:val="left"/>
                        <w:rPr/>
                      </w:pPr>
                      <w:r>
                        <w:rPr>
                          <w:spacing w:val="-1"/>
                        </w:rPr>
                        <w:t>(13)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Shares held in trust with spouse.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900">
                <wp:simplePos x="0" y="0"/>
                <wp:positionH relativeFrom="column">
                  <wp:align>left</wp:align>
                </wp:positionH>
                <wp:positionV relativeFrom="line">
                  <wp:align>top</wp:align>
                </wp:positionV>
                <wp:extent cx="254000" cy="525780"/>
                <wp:effectExtent l="0" t="0" r="0" b="0"/>
                <wp:wrapSquare wrapText="right"/>
                <wp:docPr id="882" name="Frame5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pt;mso-wrap-distance-right:0pt;mso-wrap-distance-top:4pt;mso-wrap-distance-bottom:0pt;margin-top:4pt;mso-position-vertical:top;mso-position-vertical-relative:text;margin-left:6pt;mso-position-horizontal:left;mso-position-horizontal-relative:text">
                <v:textbox>
                  <w:txbxContent>
                    <w:p>
                      <w:pPr>
                        <w:pStyle w:val="TextBody"/>
                        <w:bidi w:val="0"/>
                        <w:spacing w:lineRule="atLeast" w:line="200" w:before="0" w:after="283"/>
                        <w:jc w:val="left"/>
                        <w:rPr/>
                      </w:pPr>
                      <w:r>
                        <w:rPr>
                          <w:spacing w:val="-1"/>
                        </w:rPr>
                        <w:t>(14)</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54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708,843 of these shares are subject to options which are exercisable currently or within 60 days.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76200" distR="0" simplePos="0" locked="0" layoutInCell="1" allowOverlap="1" relativeHeight="901">
                <wp:simplePos x="0" y="0"/>
                <wp:positionH relativeFrom="column">
                  <wp:align>left</wp:align>
                </wp:positionH>
                <wp:positionV relativeFrom="line">
                  <wp:align>top</wp:align>
                </wp:positionV>
                <wp:extent cx="254000" cy="525780"/>
                <wp:effectExtent l="0" t="0" r="0" b="0"/>
                <wp:wrapSquare wrapText="right"/>
                <wp:docPr id="883" name="Frame59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1"/>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pt;mso-wrap-distance-right:0pt;mso-wrap-distance-top:4pt;mso-wrap-distance-bottom:0pt;margin-top:4pt;mso-position-vertical:top;mso-position-vertical-relative:text;margin-left:32pt;mso-position-horizontal:left;mso-position-horizontal-relative:text">
                <v:textbox>
                  <w:txbxContent>
                    <w:p>
                      <w:pPr>
                        <w:pStyle w:val="TextBody"/>
                        <w:bidi w:val="0"/>
                        <w:spacing w:lineRule="atLeast" w:line="200" w:before="0" w:after="283"/>
                        <w:jc w:val="left"/>
                        <w:rPr/>
                      </w:pPr>
                      <w:r>
                        <w:rPr>
                          <w:spacing w:val="-1"/>
                        </w:rPr>
                        <w:t>(15)</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DELINQUENT SECTION 16(A) REPORTS</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p>
      <w:pPr>
        <w:pStyle w:val="TextBody"/>
        <w:bidi w:val="0"/>
        <w:spacing w:lineRule="atLeast" w:line="210" w:before="30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Section 16(a) of the 1934 Act requires the Company’s directors and certain officers, as well as persons who beneficially own more than 10% of the outstanding shares of Company common stock, to file with the SEC reports regarding their initial stock ownership and subsequent changes to their ownership. As a practical matter, we assist our executive officers and directors in preparing initial ownership reports and reporting ownership changes and typically file these reports on their behalf. Based solely on a review of the reports filed for fiscal year 2025 and related written representations of our officers and directors, we believe that all Section 16(a) reports were filed on a timely basis, except that, as a result of an administrative error, a Form 4 to report one award to Ms. Pittman was filed late.</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77</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GIAT"/>
      <w:bookmarkEnd w:id="101"/>
      <w:r>
        <w:rPr>
          <w:rFonts w:ascii="calibri;arial;sans-serif" w:hAnsi="calibri;arial;sans-serif"/>
          <w:b w:val="false"/>
          <w:i w:val="false"/>
          <w:caps w:val="false"/>
          <w:smallCaps w:val="false"/>
          <w:color w:val="000000"/>
          <w:sz w:val="16"/>
        </w:rPr>
        <w:t>​</w:t>
      </w:r>
      <w:bookmarkStart w:id="102" w:name="tQAAA"/>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GENERAL INFORMATION ABOUT THE ANNUAL MEETING</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210" w:before="2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This proxy statement (“Proxy Statement”) contains information related to the annual meeting of shareholders (“Annual Meeting”) of the Company, to be held:</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0" w:type="dxa"/>
          <w:right w:w="0" w:type="dxa"/>
        </w:tblCellMar>
      </w:tblPr>
      <w:tblGrid>
        <w:gridCol w:w="124"/>
        <w:gridCol w:w="792"/>
        <w:gridCol w:w="109"/>
        <w:gridCol w:w="109"/>
        <w:gridCol w:w="1155"/>
        <w:gridCol w:w="109"/>
        <w:gridCol w:w="109"/>
        <w:gridCol w:w="1429"/>
        <w:gridCol w:w="163"/>
        <w:gridCol w:w="163"/>
        <w:gridCol w:w="4766"/>
        <w:gridCol w:w="157"/>
      </w:tblGrid>
      <w:tr>
        <w:trPr/>
        <w:tc>
          <w:tcPr>
            <w:tcW w:w="124" w:type="dxa"/>
            <w:tcBorders/>
            <w:shd w:fill="002F56" w:val="clear"/>
            <w:vAlign w:val="center"/>
          </w:tcPr>
          <w:p>
            <w:pPr>
              <w:pStyle w:val="TableContents"/>
              <w:bidi w:val="0"/>
              <w:spacing w:before="0" w:after="283"/>
              <w:jc w:val="left"/>
              <w:rPr/>
            </w:pPr>
            <w:r>
              <w:rPr/>
              <w:t>​</w:t>
            </w:r>
          </w:p>
        </w:tc>
        <w:tc>
          <w:tcPr>
            <w:tcW w:w="792"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38150" cy="419100"/>
                  <wp:effectExtent l="0" t="0" r="0" b="0"/>
                  <wp:docPr id="884"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277" descr=""/>
                          <pic:cNvPicPr>
                            <a:picLocks noChangeAspect="1" noChangeArrowheads="1"/>
                          </pic:cNvPicPr>
                        </pic:nvPicPr>
                        <pic:blipFill>
                          <a:blip r:embed="rId289"/>
                          <a:stretch>
                            <a:fillRect/>
                          </a:stretch>
                        </pic:blipFill>
                        <pic:spPr bwMode="auto">
                          <a:xfrm>
                            <a:off x="0" y="0"/>
                            <a:ext cx="438150" cy="419100"/>
                          </a:xfrm>
                          <a:prstGeom prst="rect">
                            <a:avLst/>
                          </a:prstGeom>
                        </pic:spPr>
                      </pic:pic>
                    </a:graphicData>
                  </a:graphic>
                </wp:inline>
              </w:drawing>
            </w:r>
            <w:r>
              <w:rPr/>
              <w:t xml:space="preserv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155" w:type="dxa"/>
            <w:tcBorders/>
            <w:shd w:fill="002F56" w:val="clear"/>
            <w:tcMar>
              <w:top w:w="28" w:type="dxa"/>
              <w:left w:w="28" w:type="dxa"/>
              <w:bottom w:w="28" w:type="dxa"/>
              <w:right w:w="28" w:type="dxa"/>
            </w:tcMar>
            <w:vAlign w:val="center"/>
          </w:tcPr>
          <w:p>
            <w:pPr>
              <w:pStyle w:val="TableContents"/>
              <w:bidi w:val="0"/>
              <w:spacing w:lineRule="atLeast" w:line="240" w:before="0" w:after="0"/>
              <w:jc w:val="left"/>
              <w:rPr>
                <w:spacing w:val="-7"/>
              </w:rPr>
            </w:pPr>
            <w:r>
              <w:rPr>
                <w:spacing w:val="-7"/>
              </w:rPr>
              <w:t xml:space="preserve">TIME &amp; DATE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1429" w:type="dxa"/>
            <w:tcBorders/>
            <w:shd w:fill="002F56"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514350" cy="390525"/>
                  <wp:effectExtent l="0" t="0" r="0" b="0"/>
                  <wp:docPr id="885"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Image278" descr=""/>
                          <pic:cNvPicPr>
                            <a:picLocks noChangeAspect="1" noChangeArrowheads="1"/>
                          </pic:cNvPicPr>
                        </pic:nvPicPr>
                        <pic:blipFill>
                          <a:blip r:embed="rId290"/>
                          <a:stretch>
                            <a:fillRect/>
                          </a:stretch>
                        </pic:blipFill>
                        <pic:spPr bwMode="auto">
                          <a:xfrm>
                            <a:off x="0" y="0"/>
                            <a:ext cx="514350" cy="390525"/>
                          </a:xfrm>
                          <a:prstGeom prst="rect">
                            <a:avLst/>
                          </a:prstGeom>
                        </pic:spPr>
                      </pic:pic>
                    </a:graphicData>
                  </a:graphic>
                </wp:inline>
              </w:drawing>
            </w:r>
            <w:r>
              <w:rPr/>
              <w:t xml:space="preserve"> </w:t>
            </w:r>
          </w:p>
        </w:tc>
        <w:tc>
          <w:tcPr>
            <w:tcW w:w="163" w:type="dxa"/>
            <w:tcBorders/>
            <w:shd w:fill="002F56" w:val="clear"/>
            <w:vAlign w:val="center"/>
          </w:tcPr>
          <w:p>
            <w:pPr>
              <w:pStyle w:val="TableContents"/>
              <w:bidi w:val="0"/>
              <w:spacing w:before="0" w:after="283"/>
              <w:jc w:val="left"/>
              <w:rPr/>
            </w:pPr>
            <w:r>
              <w:rPr/>
              <w:t>​</w:t>
            </w:r>
          </w:p>
        </w:tc>
        <w:tc>
          <w:tcPr>
            <w:tcW w:w="163" w:type="dxa"/>
            <w:tcBorders/>
            <w:shd w:fill="002F56" w:val="clear"/>
            <w:vAlign w:val="center"/>
          </w:tcPr>
          <w:p>
            <w:pPr>
              <w:pStyle w:val="TableContents"/>
              <w:bidi w:val="0"/>
              <w:spacing w:before="0" w:after="283"/>
              <w:jc w:val="left"/>
              <w:rPr/>
            </w:pPr>
            <w:r>
              <w:rPr/>
              <w:t>​</w:t>
            </w:r>
          </w:p>
        </w:tc>
        <w:tc>
          <w:tcPr>
            <w:tcW w:w="4766" w:type="dxa"/>
            <w:tcBorders/>
            <w:shd w:fill="002F56" w:val="clear"/>
            <w:tcMar>
              <w:top w:w="28" w:type="dxa"/>
              <w:left w:w="28" w:type="dxa"/>
              <w:bottom w:w="28" w:type="dxa"/>
              <w:right w:w="28" w:type="dxa"/>
            </w:tcMar>
            <w:vAlign w:val="center"/>
          </w:tcPr>
          <w:p>
            <w:pPr>
              <w:pStyle w:val="TableContents"/>
              <w:bidi w:val="0"/>
              <w:spacing w:lineRule="atLeast" w:line="240" w:before="0" w:after="0"/>
              <w:jc w:val="left"/>
              <w:rPr/>
            </w:pPr>
            <w:r>
              <w:rPr>
                <w:spacing w:val="-7"/>
              </w:rPr>
              <w:t>VIRTUAL MEETING LOCATION</w:t>
            </w:r>
            <w:r>
              <w:rPr/>
              <w:t xml:space="preserve"> </w:t>
            </w:r>
          </w:p>
        </w:tc>
        <w:tc>
          <w:tcPr>
            <w:tcW w:w="157" w:type="dxa"/>
            <w:tcBorders/>
            <w:shd w:fill="002F56" w:val="clear"/>
            <w:vAlign w:val="center"/>
          </w:tcPr>
          <w:p>
            <w:pPr>
              <w:pStyle w:val="TableContents"/>
              <w:bidi w:val="0"/>
              <w:spacing w:before="0" w:after="283"/>
              <w:jc w:val="left"/>
              <w:rPr/>
            </w:pPr>
            <w:r>
              <w:rPr/>
              <w:t>​</w:t>
            </w:r>
          </w:p>
        </w:tc>
      </w:tr>
      <w:tr>
        <w:trPr/>
        <w:tc>
          <w:tcPr>
            <w:tcW w:w="124" w:type="dxa"/>
            <w:tcBorders/>
            <w:shd w:fill="002F56" w:val="clear"/>
            <w:vAlign w:val="center"/>
          </w:tcPr>
          <w:p>
            <w:pPr>
              <w:pStyle w:val="TableContents"/>
              <w:bidi w:val="0"/>
              <w:spacing w:before="0" w:after="283"/>
              <w:jc w:val="left"/>
              <w:rPr/>
            </w:pPr>
            <w:r>
              <w:rPr/>
              <w:t>​</w:t>
            </w:r>
          </w:p>
        </w:tc>
        <w:tc>
          <w:tcPr>
            <w:tcW w:w="2165" w:type="dxa"/>
            <w:gridSpan w:val="4"/>
            <w:tcBorders/>
            <w:shd w:fill="002F56" w:val="clear"/>
            <w:vAlign w:val="center"/>
          </w:tcPr>
          <w:p>
            <w:pPr>
              <w:pStyle w:val="TableContents"/>
              <w:bidi w:val="0"/>
              <w:spacing w:lineRule="atLeast" w:line="200" w:before="0" w:after="0"/>
              <w:jc w:val="left"/>
              <w:rPr>
                <w:spacing w:val="-1"/>
              </w:rPr>
            </w:pPr>
            <w:r>
              <w:rPr>
                <w:spacing w:val="-1"/>
              </w:rPr>
              <w:t xml:space="preserve">Wednesday, May 20, 2026 </w:t>
              <w:br/>
              <w:t xml:space="preserve">9:00 a.m., Eastern Time </w:t>
            </w:r>
          </w:p>
        </w:tc>
        <w:tc>
          <w:tcPr>
            <w:tcW w:w="109" w:type="dxa"/>
            <w:tcBorders/>
            <w:shd w:fill="002F56" w:val="clear"/>
            <w:vAlign w:val="center"/>
          </w:tcPr>
          <w:p>
            <w:pPr>
              <w:pStyle w:val="TableContents"/>
              <w:bidi w:val="0"/>
              <w:spacing w:before="0" w:after="283"/>
              <w:jc w:val="left"/>
              <w:rPr/>
            </w:pPr>
            <w:r>
              <w:rPr/>
              <w:t>​</w:t>
            </w:r>
          </w:p>
        </w:tc>
        <w:tc>
          <w:tcPr>
            <w:tcW w:w="109" w:type="dxa"/>
            <w:tcBorders/>
            <w:shd w:fill="002F56" w:val="clear"/>
            <w:vAlign w:val="center"/>
          </w:tcPr>
          <w:p>
            <w:pPr>
              <w:pStyle w:val="TableContents"/>
              <w:bidi w:val="0"/>
              <w:spacing w:before="0" w:after="283"/>
              <w:jc w:val="left"/>
              <w:rPr/>
            </w:pPr>
            <w:r>
              <w:rPr/>
              <w:t>​</w:t>
            </w:r>
          </w:p>
        </w:tc>
        <w:tc>
          <w:tcPr>
            <w:tcW w:w="6521" w:type="dxa"/>
            <w:gridSpan w:val="4"/>
            <w:tcBorders/>
            <w:shd w:fill="002F56" w:val="clear"/>
            <w:vAlign w:val="center"/>
          </w:tcPr>
          <w:p>
            <w:pPr>
              <w:pStyle w:val="TableContents"/>
              <w:bidi w:val="0"/>
              <w:spacing w:lineRule="atLeast" w:line="200" w:before="0" w:after="0"/>
              <w:jc w:val="left"/>
              <w:rPr/>
            </w:pPr>
            <w:r>
              <w:rPr>
                <w:spacing w:val="-1"/>
              </w:rPr>
              <w:t>The 2026 Annual Meeting of Shareholders will be held exclusively online. To attend, visit www.virtualshareholderingmeeting.com/MTX2026</w:t>
            </w:r>
            <w:r>
              <w:rPr/>
              <w:t xml:space="preserve"> </w:t>
            </w:r>
          </w:p>
        </w:tc>
        <w:tc>
          <w:tcPr>
            <w:tcW w:w="157" w:type="dxa"/>
            <w:tcBorders/>
            <w:shd w:fill="002F56" w:val="clear"/>
            <w:vAlign w:val="center"/>
          </w:tcPr>
          <w:p>
            <w:pPr>
              <w:pStyle w:val="TableContents"/>
              <w:bidi w:val="0"/>
              <w:spacing w:before="0" w:after="283"/>
              <w:jc w:val="left"/>
              <w:rPr/>
            </w:pPr>
            <w:r>
              <w:rPr/>
              <w:t>​</w:t>
            </w:r>
          </w:p>
        </w:tc>
      </w:tr>
    </w:tbl>
    <w:p>
      <w:pPr>
        <w:pStyle w:val="TextBody"/>
        <w:bidi w:val="0"/>
        <w:spacing w:lineRule="atLeast" w:line="210" w:before="28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It is anticipated that this Proxy Statement, the accompanying Proxy and the Company’s 2025 Annual Report will first be available to shareholders on or about April 2, 2026 on the website www.proxyvote.com and, if requested, a paper copy of this Proxy Statement, the accompanying Proxy and the Company’s 2025 Annual Report will be mailed to the Company’s shareholders. A Notice of Internet Availability of Proxy Materials (the “Notice”) containing instructions on how to access this Proxy Statement, Proxy and the Company’s 2025 Annual Report and vote through the Internet, or by telephone, will be mailed to our shareholders on the same date as this Proxy Statement, the accompanying Proxy and the Company’s 2025 Annual Report is first available to shareholders.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80" w:before="240" w:after="283"/>
        <w:jc w:val="left"/>
        <w:rPr>
          <w:rFonts w:ascii="Arial;Helvetica;sans-serif" w:hAnsi="Arial;Helvetica;sans-serif"/>
          <w:b w:val="false"/>
          <w:i w:val="false"/>
          <w:caps w:val="false"/>
          <w:smallCaps w:val="false"/>
          <w:color w:val="000000"/>
          <w:sz w:val="34"/>
        </w:rPr>
      </w:pPr>
      <w:r>
        <w:rPr>
          <w:rFonts w:ascii="Arial;Helvetica;sans-serif" w:hAnsi="Arial;Helvetica;sans-serif"/>
          <w:b w:val="false"/>
          <w:i w:val="false"/>
          <w:caps w:val="false"/>
          <w:smallCaps w:val="false"/>
          <w:color w:val="000000"/>
          <w:spacing w:val="-3"/>
          <w:sz w:val="34"/>
        </w:rPr>
        <w:t>QUESTIONS AND ANSWERS ABOUT THE PROXY MATERIALS AND THE ANNUAL MEETING</w:t>
      </w:r>
      <w:r>
        <w:rPr>
          <w:rFonts w:ascii="Arial;Helvetica;sans-serif" w:hAnsi="Arial;Helvetica;sans-serif"/>
          <w:b w:val="false"/>
          <w:i w:val="false"/>
          <w:caps w:val="false"/>
          <w:smallCaps w:val="false"/>
          <w:color w:val="000000"/>
          <w:spacing w:val="7"/>
          <w:sz w:val="34"/>
        </w:rPr>
        <w:t xml:space="preserve"> </w:t>
      </w:r>
    </w:p>
    <w:p>
      <w:pPr>
        <w:pStyle w:val="TextBody"/>
        <w:bidi w:val="0"/>
        <w:spacing w:before="0" w:after="283"/>
        <w:ind w:left="1020" w:right="0" w:hanging="0"/>
        <w:jc w:val="left"/>
        <w:rPr>
          <w:caps w:val="false"/>
          <w:smallCaps w:val="false"/>
          <w:color w:val="000000"/>
          <w:bdr w:val="single" w:sz="18" w:space="1" w:color="DF0000"/>
        </w:rPr>
      </w:pPr>
      <w:r>
        <w:rPr>
          <w:caps w:val="false"/>
          <w:smallCaps w:val="false"/>
          <w:color w:val="000000"/>
          <w:bdr w:val="single" w:sz="18" w:space="1" w:color="DF0000"/>
        </w:rPr>
        <w:t>​</w:t>
      </w:r>
    </w:p>
    <w:tbl>
      <w:tblPr>
        <w:tblW w:w="4753" w:type="dxa"/>
        <w:jc w:val="left"/>
        <w:tblInd w:w="1020" w:type="dxa"/>
        <w:tblLayout w:type="fixed"/>
        <w:tblCellMar>
          <w:top w:w="0" w:type="dxa"/>
          <w:left w:w="0" w:type="dxa"/>
          <w:bottom w:w="0" w:type="dxa"/>
          <w:right w:w="0" w:type="dxa"/>
        </w:tblCellMar>
      </w:tblPr>
      <w:tblGrid>
        <w:gridCol w:w="124"/>
        <w:gridCol w:w="581"/>
        <w:gridCol w:w="109"/>
        <w:gridCol w:w="109"/>
        <w:gridCol w:w="367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86"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279" descr=""/>
                          <pic:cNvPicPr>
                            <a:picLocks noChangeAspect="1" noChangeArrowheads="1"/>
                          </pic:cNvPicPr>
                        </pic:nvPicPr>
                        <pic:blipFill>
                          <a:blip r:embed="rId291"/>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Why am I being sent these materials?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has made these materials available to you on the internet, or, upon request, has delivered printed proxy materials to you, in connection with the solicitation of proxies for use at the Annual Meeting. If a quorum does not attend or is not represented by proxy, the meeting will have to be adjourned and rescheduled.</w:t>
      </w:r>
      <w:r>
        <w:rPr>
          <w:rFonts w:ascii="Arial;Helvetica;sans-serif" w:hAnsi="Arial;Helvetica;sans-serif"/>
          <w:b w:val="false"/>
          <w:i w:val="false"/>
          <w:caps w:val="false"/>
          <w:smallCaps w:val="false"/>
          <w:color w:val="000000"/>
          <w:spacing w:val="4"/>
          <w:sz w:val="18"/>
        </w:rPr>
        <w:t xml:space="preserve"> </w:t>
      </w:r>
    </w:p>
    <w:tbl>
      <w:tblPr>
        <w:tblW w:w="4003" w:type="dxa"/>
        <w:jc w:val="left"/>
        <w:tblInd w:w="1020" w:type="dxa"/>
        <w:tblLayout w:type="fixed"/>
        <w:tblCellMar>
          <w:top w:w="0" w:type="dxa"/>
          <w:left w:w="0" w:type="dxa"/>
          <w:bottom w:w="0" w:type="dxa"/>
          <w:right w:w="0" w:type="dxa"/>
        </w:tblCellMar>
      </w:tblPr>
      <w:tblGrid>
        <w:gridCol w:w="124"/>
        <w:gridCol w:w="581"/>
        <w:gridCol w:w="109"/>
        <w:gridCol w:w="109"/>
        <w:gridCol w:w="292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87"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Image280" descr=""/>
                          <pic:cNvPicPr>
                            <a:picLocks noChangeAspect="1" noChangeArrowheads="1"/>
                          </pic:cNvPicPr>
                        </pic:nvPicPr>
                        <pic:blipFill>
                          <a:blip r:embed="rId292"/>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2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Who is asking for my proxy?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Board of Directors asks you to submit a proxy for your shares so that even if you do not attend the meeting, your shares will be counted as present at the meeting and voted as you direct.</w:t>
      </w:r>
      <w:r>
        <w:rPr>
          <w:rFonts w:ascii="Arial;Helvetica;sans-serif" w:hAnsi="Arial;Helvetica;sans-serif"/>
          <w:b w:val="false"/>
          <w:i w:val="false"/>
          <w:caps w:val="false"/>
          <w:smallCaps w:val="false"/>
          <w:color w:val="000000"/>
          <w:spacing w:val="4"/>
          <w:sz w:val="18"/>
        </w:rPr>
        <w:t xml:space="preserve"> </w:t>
      </w:r>
    </w:p>
    <w:tbl>
      <w:tblPr>
        <w:tblW w:w="5428" w:type="dxa"/>
        <w:jc w:val="left"/>
        <w:tblInd w:w="1020" w:type="dxa"/>
        <w:tblLayout w:type="fixed"/>
        <w:tblCellMar>
          <w:top w:w="0" w:type="dxa"/>
          <w:left w:w="0" w:type="dxa"/>
          <w:bottom w:w="0" w:type="dxa"/>
          <w:right w:w="0" w:type="dxa"/>
        </w:tblCellMar>
      </w:tblPr>
      <w:tblGrid>
        <w:gridCol w:w="124"/>
        <w:gridCol w:w="581"/>
        <w:gridCol w:w="109"/>
        <w:gridCol w:w="109"/>
        <w:gridCol w:w="435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88"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281" descr=""/>
                          <pic:cNvPicPr>
                            <a:picLocks noChangeAspect="1" noChangeArrowheads="1"/>
                          </pic:cNvPicPr>
                        </pic:nvPicPr>
                        <pic:blipFill>
                          <a:blip r:embed="rId293"/>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5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What is the agenda for the Annual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At the Annual Meeting, shareholders will vote on three items: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0"/>
        <w:ind w:left="14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election of Mr. Joseph C. Breunig and Dr. Kristina M. Johnson as members of the Board of Directors, </w:t>
      </w:r>
      <w:r>
        <mc:AlternateContent>
          <mc:Choice Requires="wps">
            <w:drawing>
              <wp:anchor behindDoc="0" distT="101600" distB="0" distL="0" distR="0" simplePos="0" locked="0" layoutInCell="1" allowOverlap="1" relativeHeight="902">
                <wp:simplePos x="0" y="0"/>
                <wp:positionH relativeFrom="column">
                  <wp:align>left</wp:align>
                </wp:positionH>
                <wp:positionV relativeFrom="line">
                  <wp:align>top</wp:align>
                </wp:positionV>
                <wp:extent cx="254000" cy="350520"/>
                <wp:effectExtent l="0" t="0" r="0" b="0"/>
                <wp:wrapSquare wrapText="right"/>
                <wp:docPr id="889"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b/>
                                <w:color w:val="002F56"/>
                                <w:spacing w:val="-7"/>
                                <w:sz w:val="2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b/>
                          <w:color w:val="002F56"/>
                          <w:spacing w:val="-7"/>
                          <w:sz w:val="20"/>
                        </w:rPr>
                        <w:t>1</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30" w:before="80" w:after="0"/>
        <w:ind w:left="14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ratification of the appointment of KPMG LLP (“KPMG”) as our independent registered public accounting firm, and </w:t>
      </w:r>
      <w:r>
        <mc:AlternateContent>
          <mc:Choice Requires="wps">
            <w:drawing>
              <wp:anchor behindDoc="0" distT="50800" distB="0" distL="0" distR="0" simplePos="0" locked="0" layoutInCell="1" allowOverlap="1" relativeHeight="903">
                <wp:simplePos x="0" y="0"/>
                <wp:positionH relativeFrom="column">
                  <wp:align>left</wp:align>
                </wp:positionH>
                <wp:positionV relativeFrom="line">
                  <wp:align>top</wp:align>
                </wp:positionV>
                <wp:extent cx="254000" cy="350520"/>
                <wp:effectExtent l="0" t="0" r="0" b="0"/>
                <wp:wrapSquare wrapText="right"/>
                <wp:docPr id="890"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b/>
                                <w:color w:val="002F56"/>
                                <w:spacing w:val="-7"/>
                                <w:sz w:val="2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30" w:before="0" w:after="283"/>
                        <w:jc w:val="left"/>
                        <w:rPr/>
                      </w:pPr>
                      <w:r>
                        <w:rPr>
                          <w:b/>
                          <w:color w:val="002F56"/>
                          <w:spacing w:val="-7"/>
                          <w:sz w:val="20"/>
                        </w:rPr>
                        <w:t>2</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30" w:before="80" w:after="0"/>
        <w:ind w:left="142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an advisory vote to approve 2025 executive compensation. </w:t>
      </w:r>
      <w:r>
        <mc:AlternateContent>
          <mc:Choice Requires="wps">
            <w:drawing>
              <wp:anchor behindDoc="0" distT="50800" distB="0" distL="0" distR="0" simplePos="0" locked="0" layoutInCell="1" allowOverlap="1" relativeHeight="904">
                <wp:simplePos x="0" y="0"/>
                <wp:positionH relativeFrom="column">
                  <wp:align>left</wp:align>
                </wp:positionH>
                <wp:positionV relativeFrom="line">
                  <wp:align>top</wp:align>
                </wp:positionV>
                <wp:extent cx="254000" cy="350520"/>
                <wp:effectExtent l="0" t="0" r="0" b="0"/>
                <wp:wrapSquare wrapText="right"/>
                <wp:docPr id="891" name="Frame5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b/>
                                <w:color w:val="002F56"/>
                                <w:spacing w:val="-7"/>
                                <w:sz w:val="2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30" w:before="0" w:after="283"/>
                        <w:jc w:val="left"/>
                        <w:rPr/>
                      </w:pPr>
                      <w:r>
                        <w:rPr>
                          <w:b/>
                          <w:color w:val="002F56"/>
                          <w:spacing w:val="-7"/>
                          <w:sz w:val="20"/>
                        </w:rPr>
                        <w:t>3</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Also, management will make a brief presentation about the business of the Company, and representatives of KPMG will make themselves available to respond to any questions from the floor.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The Board does not know of any other business that will be presented at the Annual Meeting. The form of proxy gives the proxies discretionary authority with respect to any other matters that come before the Annual Meeting and, if such matters arise, the individuals named in the proxy will vote according to their best judgment.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78</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GENERAL INFORMATION ABOUT THE ANNUAL MEETING</w:t>
      </w:r>
      <w:r>
        <w:rPr>
          <w:rFonts w:ascii="Arial;Helvetica;sans-serif" w:hAnsi="Arial;Helvetica;sans-serif"/>
          <w:b w:val="false"/>
          <w:i w:val="false"/>
          <w:caps w:val="false"/>
          <w:smallCaps w:val="false"/>
          <w:color w:val="002F56"/>
          <w:sz w:val="22"/>
        </w:rPr>
        <w:t xml:space="preserve"> </w:t>
      </w:r>
    </w:p>
    <w:tbl>
      <w:tblPr>
        <w:tblW w:w="4843" w:type="dxa"/>
        <w:jc w:val="left"/>
        <w:tblInd w:w="1020" w:type="dxa"/>
        <w:tblLayout w:type="fixed"/>
        <w:tblCellMar>
          <w:top w:w="0" w:type="dxa"/>
          <w:left w:w="0" w:type="dxa"/>
          <w:bottom w:w="0" w:type="dxa"/>
          <w:right w:w="0" w:type="dxa"/>
        </w:tblCellMar>
      </w:tblPr>
      <w:tblGrid>
        <w:gridCol w:w="124"/>
        <w:gridCol w:w="581"/>
        <w:gridCol w:w="109"/>
        <w:gridCol w:w="109"/>
        <w:gridCol w:w="376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9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Image282" descr=""/>
                          <pic:cNvPicPr>
                            <a:picLocks noChangeAspect="1" noChangeArrowheads="1"/>
                          </pic:cNvPicPr>
                        </pic:nvPicPr>
                        <pic:blipFill>
                          <a:blip r:embed="rId294"/>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Who can vote at the Annual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4"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Anyone who owned shares of our common stock at the close of business on March 24, 2026 (the “Record Date”) may vote those shares at the Annual Meeting. Each share is entitled to one vote.</w:t>
      </w:r>
      <w:r>
        <w:rPr>
          <w:rFonts w:ascii="Arial;Helvetica;sans-serif" w:hAnsi="Arial;Helvetica;sans-serif"/>
          <w:b w:val="false"/>
          <w:i w:val="false"/>
          <w:caps w:val="false"/>
          <w:smallCaps w:val="false"/>
          <w:color w:val="000000"/>
          <w:spacing w:val="4"/>
          <w:sz w:val="18"/>
        </w:rPr>
        <w:t xml:space="preserve"> </w:t>
      </w:r>
    </w:p>
    <w:tbl>
      <w:tblPr>
        <w:tblW w:w="6268" w:type="dxa"/>
        <w:jc w:val="left"/>
        <w:tblInd w:w="1020" w:type="dxa"/>
        <w:tblLayout w:type="fixed"/>
        <w:tblCellMar>
          <w:top w:w="0" w:type="dxa"/>
          <w:left w:w="0" w:type="dxa"/>
          <w:bottom w:w="0" w:type="dxa"/>
          <w:right w:w="0" w:type="dxa"/>
        </w:tblCellMar>
      </w:tblPr>
      <w:tblGrid>
        <w:gridCol w:w="124"/>
        <w:gridCol w:w="581"/>
        <w:gridCol w:w="109"/>
        <w:gridCol w:w="109"/>
        <w:gridCol w:w="519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9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Image283" descr=""/>
                          <pic:cNvPicPr>
                            <a:picLocks noChangeAspect="1" noChangeArrowheads="1"/>
                          </pic:cNvPicPr>
                        </pic:nvPicPr>
                        <pic:blipFill>
                          <a:blip r:embed="rId295"/>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How does the Board of Directors recommend I vote?</w:t>
            </w:r>
            <w:r>
              <w:rPr/>
              <w:t xml:space="preserve"> </w:t>
            </w:r>
          </w:p>
        </w:tc>
        <w:tc>
          <w:tcPr>
            <w:tcW w:w="154" w:type="dxa"/>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0" w:type="dxa"/>
          <w:right w:w="0" w:type="dxa"/>
        </w:tblCellMar>
      </w:tblPr>
      <w:tblGrid>
        <w:gridCol w:w="124"/>
        <w:gridCol w:w="109"/>
        <w:gridCol w:w="621"/>
        <w:gridCol w:w="109"/>
        <w:gridCol w:w="109"/>
        <w:gridCol w:w="7958"/>
        <w:gridCol w:w="155"/>
      </w:tblGrid>
      <w:tr>
        <w:trPr/>
        <w:tc>
          <w:tcPr>
            <w:tcW w:w="124" w:type="dxa"/>
            <w:tcBorders/>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621" w:type="dxa"/>
            <w:tcBorders/>
            <w:shd w:fill="71B1C8" w:val="clear"/>
            <w:vAlign w:val="center"/>
          </w:tcPr>
          <w:p>
            <w:pPr>
              <w:pStyle w:val="TableContents"/>
              <w:bidi w:val="0"/>
              <w:spacing w:before="0" w:after="0"/>
              <w:jc w:val="center"/>
              <w:rPr/>
            </w:pPr>
            <w:r>
              <w:rPr/>
              <w:drawing>
                <wp:inline distT="0" distB="0" distL="0" distR="0">
                  <wp:extent cx="314325" cy="314325"/>
                  <wp:effectExtent l="0" t="0" r="0" b="0"/>
                  <wp:docPr id="89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284" descr=""/>
                          <pic:cNvPicPr>
                            <a:picLocks noChangeAspect="1" noChangeArrowheads="1"/>
                          </pic:cNvPicPr>
                        </pic:nvPicPr>
                        <pic:blipFill>
                          <a:blip r:embed="rId296"/>
                          <a:stretch>
                            <a:fillRect/>
                          </a:stretch>
                        </pic:blipFill>
                        <pic:spPr bwMode="auto">
                          <a:xfrm>
                            <a:off x="0" y="0"/>
                            <a:ext cx="314325" cy="314325"/>
                          </a:xfrm>
                          <a:prstGeom prst="rect">
                            <a:avLst/>
                          </a:prstGeom>
                        </pic:spPr>
                      </pic:pic>
                    </a:graphicData>
                  </a:graphic>
                </wp:inline>
              </w:drawing>
            </w:r>
            <w:r>
              <w:rPr/>
              <w:t xml:space="preserve"> </w:t>
            </w:r>
          </w:p>
        </w:tc>
        <w:tc>
          <w:tcPr>
            <w:tcW w:w="109" w:type="dxa"/>
            <w:tcBorders/>
            <w:shd w:fill="71B1C8" w:val="clear"/>
            <w:vAlign w:val="center"/>
          </w:tcPr>
          <w:p>
            <w:pPr>
              <w:pStyle w:val="TableContents"/>
              <w:bidi w:val="0"/>
              <w:spacing w:before="0" w:after="283"/>
              <w:jc w:val="left"/>
              <w:rPr/>
            </w:pPr>
            <w:r>
              <w:rPr/>
              <w:t>​</w:t>
            </w:r>
          </w:p>
        </w:tc>
        <w:tc>
          <w:tcPr>
            <w:tcW w:w="109" w:type="dxa"/>
            <w:tcBorders/>
            <w:shd w:fill="71B1C8" w:val="clear"/>
            <w:vAlign w:val="center"/>
          </w:tcPr>
          <w:p>
            <w:pPr>
              <w:pStyle w:val="TableContents"/>
              <w:bidi w:val="0"/>
              <w:spacing w:before="0" w:after="283"/>
              <w:jc w:val="left"/>
              <w:rPr/>
            </w:pPr>
            <w:r>
              <w:rPr/>
              <w:t>​</w:t>
            </w:r>
          </w:p>
        </w:tc>
        <w:tc>
          <w:tcPr>
            <w:tcW w:w="7958" w:type="dxa"/>
            <w:tcBorders/>
            <w:shd w:fill="71B1C8" w:val="clear"/>
            <w:vAlign w:val="center"/>
          </w:tcPr>
          <w:p>
            <w:pPr>
              <w:pStyle w:val="TableContents"/>
              <w:bidi w:val="0"/>
              <w:spacing w:lineRule="atLeast" w:line="250" w:before="0" w:after="0"/>
              <w:jc w:val="left"/>
              <w:rPr>
                <w:color w:val="000000"/>
              </w:rPr>
            </w:pPr>
            <w:r>
              <w:rPr>
                <w:color w:val="000000"/>
                <w:spacing w:val="-13"/>
              </w:rPr>
              <w:t>THE BOARD UNANIMOUSLY RECOMMENDS THAT YOU VOTE:</w:t>
            </w:r>
            <w:r>
              <w:rPr>
                <w:color w:val="000000"/>
              </w:rPr>
              <w:t xml:space="preserve"> </w:t>
            </w:r>
          </w:p>
          <w:p>
            <w:pPr>
              <w:pStyle w:val="TableContents"/>
              <w:bidi w:val="0"/>
              <w:spacing w:lineRule="atLeast" w:line="250" w:before="80" w:after="0"/>
              <w:ind w:left="210" w:right="0" w:hanging="0"/>
              <w:jc w:val="left"/>
              <w:rPr/>
            </w:pPr>
            <w:r>
              <w:rPr>
                <w:color w:val="FEFEFE"/>
                <w:spacing w:val="-13"/>
              </w:rPr>
              <w:t>“</w:t>
            </w:r>
            <w:r>
              <w:rPr>
                <w:color w:val="FEFEFE"/>
                <w:spacing w:val="-13"/>
              </w:rPr>
              <w:t>FOR”</w:t>
            </w:r>
            <w:r>
              <w:rPr>
                <w:spacing w:val="-7"/>
              </w:rPr>
              <w:t xml:space="preserve"> THE NOMINEES FOR DIRECTORS</w:t>
            </w:r>
            <w:r>
              <w:rPr>
                <w:color w:val="000000"/>
                <w:spacing w:val="-13"/>
              </w:rPr>
              <w:t>,</w:t>
            </w:r>
            <w:r>
              <w:rPr>
                <w:spacing w:val="-7"/>
              </w:rPr>
              <w:t xml:space="preserve"> JOSEPH C. BREUNIG</w:t>
            </w:r>
            <w:r>
              <w:rPr>
                <w:color w:val="000000"/>
                <w:spacing w:val="-7"/>
              </w:rPr>
              <w:t xml:space="preserve"> </w:t>
            </w:r>
            <w:r>
              <w:rPr>
                <w:spacing w:val="-7"/>
              </w:rPr>
              <w:t>AND KRISTINA M. JOHNSON</w:t>
            </w:r>
            <w:r>
              <w:rPr/>
              <w:t xml:space="preserve"> </w:t>
            </w:r>
            <w:r>
              <mc:AlternateContent>
                <mc:Choice Requires="wps">
                  <w:drawing>
                    <wp:anchor behindDoc="0" distT="50800" distB="0" distL="0" distR="0" simplePos="0" locked="0" layoutInCell="1" allowOverlap="1" relativeHeight="905">
                      <wp:simplePos x="0" y="0"/>
                      <wp:positionH relativeFrom="column">
                        <wp:align>left</wp:align>
                      </wp:positionH>
                      <wp:positionV relativeFrom="line">
                        <wp:align>top</wp:align>
                      </wp:positionV>
                      <wp:extent cx="133350" cy="350520"/>
                      <wp:effectExtent l="0" t="0" r="0" b="0"/>
                      <wp:wrapSquare wrapText="right"/>
                      <wp:docPr id="895" name="Frame600"/>
                      <a:graphic xmlns:a="http://schemas.openxmlformats.org/drawingml/2006/main">
                        <a:graphicData uri="http://schemas.microsoft.com/office/word/2010/wordprocessingShape">
                          <wps:wsp>
                            <wps:cNvSpPr txBox="1"/>
                            <wps:spPr>
                              <a:xfrm>
                                <a:off x="0" y="0"/>
                                <a:ext cx="133350" cy="350520"/>
                              </a:xfrm>
                              <a:prstGeom prst="rect"/>
                              <a:solidFill>
                                <a:srgbClr val="FFFFFF"/>
                              </a:solidFill>
                            </wps:spPr>
                            <wps:txbx>
                              <w:txbxContent>
                                <w:p>
                                  <w:pPr>
                                    <w:pStyle w:val="TextBody"/>
                                    <w:bidi w:val="0"/>
                                    <w:spacing w:lineRule="atLeast" w:line="250" w:before="0" w:after="283"/>
                                    <w:jc w:val="left"/>
                                    <w:rPr/>
                                  </w:pPr>
                                  <w:r>
                                    <w:rPr>
                                      <w:color w:val="406380"/>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406380"/>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50" w:before="80" w:after="0"/>
              <w:ind w:left="210" w:right="0" w:hanging="0"/>
              <w:jc w:val="left"/>
              <w:rPr/>
            </w:pPr>
            <w:r>
              <w:rPr>
                <w:color w:val="FEFEFE"/>
                <w:spacing w:val="-13"/>
              </w:rPr>
              <w:t>“</w:t>
            </w:r>
            <w:r>
              <w:rPr>
                <w:color w:val="FEFEFE"/>
                <w:spacing w:val="-13"/>
              </w:rPr>
              <w:t>FOR”</w:t>
            </w:r>
            <w:r>
              <w:rPr>
                <w:spacing w:val="-7"/>
              </w:rPr>
              <w:t xml:space="preserve"> RATIFICATION OF THE APPOINTMENT OF KPMG TO CONTINUE AS OUR AUDITORS, AND</w:t>
            </w:r>
            <w:r>
              <w:rPr/>
              <w:t xml:space="preserve"> </w:t>
            </w:r>
            <w:r>
              <mc:AlternateContent>
                <mc:Choice Requires="wps">
                  <w:drawing>
                    <wp:anchor behindDoc="0" distT="50800" distB="0" distL="0" distR="0" simplePos="0" locked="0" layoutInCell="1" allowOverlap="1" relativeHeight="906">
                      <wp:simplePos x="0" y="0"/>
                      <wp:positionH relativeFrom="column">
                        <wp:align>left</wp:align>
                      </wp:positionH>
                      <wp:positionV relativeFrom="line">
                        <wp:align>top</wp:align>
                      </wp:positionV>
                      <wp:extent cx="133350" cy="350520"/>
                      <wp:effectExtent l="0" t="0" r="0" b="0"/>
                      <wp:wrapSquare wrapText="right"/>
                      <wp:docPr id="896" name="Frame601"/>
                      <a:graphic xmlns:a="http://schemas.openxmlformats.org/drawingml/2006/main">
                        <a:graphicData uri="http://schemas.microsoft.com/office/word/2010/wordprocessingShape">
                          <wps:wsp>
                            <wps:cNvSpPr txBox="1"/>
                            <wps:spPr>
                              <a:xfrm>
                                <a:off x="0" y="0"/>
                                <a:ext cx="133350" cy="350520"/>
                              </a:xfrm>
                              <a:prstGeom prst="rect"/>
                              <a:solidFill>
                                <a:srgbClr val="FFFFFF"/>
                              </a:solidFill>
                            </wps:spPr>
                            <wps:txbx>
                              <w:txbxContent>
                                <w:p>
                                  <w:pPr>
                                    <w:pStyle w:val="TextBody"/>
                                    <w:bidi w:val="0"/>
                                    <w:spacing w:lineRule="atLeast" w:line="250" w:before="0" w:after="283"/>
                                    <w:jc w:val="left"/>
                                    <w:rPr/>
                                  </w:pPr>
                                  <w:r>
                                    <w:rPr>
                                      <w:color w:val="406380"/>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406380"/>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80" w:after="0"/>
              <w:ind w:left="210" w:right="0" w:hanging="0"/>
              <w:jc w:val="left"/>
              <w:rPr/>
            </w:pPr>
            <w:r>
              <w:rPr>
                <w:color w:val="FEFEFE"/>
                <w:spacing w:val="-13"/>
              </w:rPr>
              <w:t>“</w:t>
            </w:r>
            <w:r>
              <w:rPr>
                <w:color w:val="FEFEFE"/>
                <w:spacing w:val="-13"/>
              </w:rPr>
              <w:t>FOR”</w:t>
            </w:r>
            <w:r>
              <w:rPr>
                <w:spacing w:val="-7"/>
              </w:rPr>
              <w:t xml:space="preserve"> THE ADVISORY VOTE APPROVING 2025 EXECUTIVE COMPENSATION.</w:t>
            </w:r>
            <w:r>
              <w:rPr/>
              <w:t xml:space="preserve"> </w:t>
            </w:r>
            <w:r>
              <mc:AlternateContent>
                <mc:Choice Requires="wps">
                  <w:drawing>
                    <wp:anchor behindDoc="0" distT="50800" distB="0" distL="0" distR="0" simplePos="0" locked="0" layoutInCell="1" allowOverlap="1" relativeHeight="907">
                      <wp:simplePos x="0" y="0"/>
                      <wp:positionH relativeFrom="column">
                        <wp:align>left</wp:align>
                      </wp:positionH>
                      <wp:positionV relativeFrom="line">
                        <wp:align>top</wp:align>
                      </wp:positionV>
                      <wp:extent cx="133350" cy="350520"/>
                      <wp:effectExtent l="0" t="0" r="0" b="0"/>
                      <wp:wrapSquare wrapText="right"/>
                      <wp:docPr id="897" name="Frame602"/>
                      <a:graphic xmlns:a="http://schemas.openxmlformats.org/drawingml/2006/main">
                        <a:graphicData uri="http://schemas.microsoft.com/office/word/2010/wordprocessingShape">
                          <wps:wsp>
                            <wps:cNvSpPr txBox="1"/>
                            <wps:spPr>
                              <a:xfrm>
                                <a:off x="0" y="0"/>
                                <a:ext cx="133350" cy="350520"/>
                              </a:xfrm>
                              <a:prstGeom prst="rect"/>
                              <a:solidFill>
                                <a:srgbClr val="FFFFFF"/>
                              </a:solidFill>
                            </wps:spPr>
                            <wps:txbx>
                              <w:txbxContent>
                                <w:p>
                                  <w:pPr>
                                    <w:pStyle w:val="TextBody"/>
                                    <w:bidi w:val="0"/>
                                    <w:spacing w:lineRule="atLeast" w:line="210" w:before="0" w:after="283"/>
                                    <w:jc w:val="left"/>
                                    <w:rPr/>
                                  </w:pPr>
                                  <w:r>
                                    <w:rPr>
                                      <w:color w:val="406380"/>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0.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10" w:before="0" w:after="283"/>
                              <w:jc w:val="left"/>
                              <w:rPr/>
                            </w:pPr>
                            <w:r>
                              <w:rPr>
                                <w:color w:val="406380"/>
                                <w:spacing w:val="-7"/>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shd w:fill="71B1C8" w:val="clear"/>
            <w:vAlign w:val="center"/>
          </w:tcPr>
          <w:p>
            <w:pPr>
              <w:pStyle w:val="TableContents"/>
              <w:bidi w:val="0"/>
              <w:spacing w:before="0" w:after="283"/>
              <w:jc w:val="left"/>
              <w:rPr/>
            </w:pPr>
            <w:r>
              <w:rPr/>
              <w:t>​</w:t>
            </w:r>
          </w:p>
        </w:tc>
      </w:tr>
    </w:tbl>
    <w:tbl>
      <w:tblPr>
        <w:tblW w:w="4933" w:type="dxa"/>
        <w:jc w:val="left"/>
        <w:tblInd w:w="1020" w:type="dxa"/>
        <w:tblLayout w:type="fixed"/>
        <w:tblCellMar>
          <w:top w:w="0" w:type="dxa"/>
          <w:left w:w="0" w:type="dxa"/>
          <w:bottom w:w="0" w:type="dxa"/>
          <w:right w:w="0" w:type="dxa"/>
        </w:tblCellMar>
      </w:tblPr>
      <w:tblGrid>
        <w:gridCol w:w="124"/>
        <w:gridCol w:w="581"/>
        <w:gridCol w:w="109"/>
        <w:gridCol w:w="109"/>
        <w:gridCol w:w="385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9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285" descr=""/>
                          <pic:cNvPicPr>
                            <a:picLocks noChangeAspect="1" noChangeArrowheads="1"/>
                          </pic:cNvPicPr>
                        </pic:nvPicPr>
                        <pic:blipFill>
                          <a:blip r:embed="rId297"/>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5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How can I attend the Annual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4"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Once again this year, the Annual Meeting will be held in a virtual meeting format via live webcast. There will be no in-person meeting. You can attend the Annual Meeting by visiting www.virtualshareholdermeeting.com/MTX2026. The meeting webcast will begin promptly at 9:00 a.m., Eastern Time. If you are a shareholder of record as of the close of business on March 24, 2026, you may log in to the meeting platform beginning at 8:45 a.m., Eastern Time, on May 20, 2026 by entering the 16-digit control number found on your proxy card or voting instruction form. You will have the opportunity to vote your shares, submit questions, and view our list of shareholders entitled to vote at the Annual Meeting using the instructions provided on the meeting website. Those without a control number may attend the Annual Meeting as guests by logging in to the same virtual meeting platform and following the instructions on the website for guest access. Guests will not be able to vote or ask questions.</w:t>
      </w:r>
      <w:r>
        <w:rPr>
          <w:rFonts w:ascii="Arial;Helvetica;sans-serif" w:hAnsi="Arial;Helvetica;sans-serif"/>
          <w:b w:val="false"/>
          <w:i w:val="false"/>
          <w:caps w:val="false"/>
          <w:smallCaps w:val="false"/>
          <w:color w:val="000000"/>
          <w:spacing w:val="4"/>
          <w:sz w:val="18"/>
        </w:rPr>
        <w:t xml:space="preserve"> </w:t>
      </w:r>
    </w:p>
    <w:tbl>
      <w:tblPr>
        <w:tblW w:w="7993" w:type="dxa"/>
        <w:jc w:val="left"/>
        <w:tblInd w:w="1020" w:type="dxa"/>
        <w:tblLayout w:type="fixed"/>
        <w:tblCellMar>
          <w:top w:w="0" w:type="dxa"/>
          <w:left w:w="0" w:type="dxa"/>
          <w:bottom w:w="0" w:type="dxa"/>
          <w:right w:w="0" w:type="dxa"/>
        </w:tblCellMar>
      </w:tblPr>
      <w:tblGrid>
        <w:gridCol w:w="124"/>
        <w:gridCol w:w="581"/>
        <w:gridCol w:w="109"/>
        <w:gridCol w:w="109"/>
        <w:gridCol w:w="691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89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286" descr=""/>
                          <pic:cNvPicPr>
                            <a:picLocks noChangeAspect="1" noChangeArrowheads="1"/>
                          </pic:cNvPicPr>
                        </pic:nvPicPr>
                        <pic:blipFill>
                          <a:blip r:embed="rId298"/>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How will management respond to questions during the virtual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4"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Our Board considers the appropriate format of the meeting on an annual basis. We recognize that, while our Annual Meeting is just one of the forums where we engage with shareholders, it is an important one. The virtual meeting format allows our shareholders to engage with us no matter where they live and is accessible and available on any internet-connected device. This provides the opportunity for participation by a broader group of shareholders than just those who can travel to an in-person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 xml:space="preserve">We intend that the virtual meeting format will provide shareholders a level of participation and transparency at least as great as the traditional in-person meeting format. Shareholders who wish to submit a question to the Company may do so during the meeting at www.virtualshareholdermeeting.com/MTX2026. Management will respond to questions from shareholders in the same way as it would if the Company held an in-person meeting, answering as many questions as possible in the time allotted for the meeting, without discrimination, as long as the questions are submitted in accordance with the meeting rules of conduct (for example, the Company does not intend to answer questions that are irrelevant to the business of the Company or to the business of the Annual Meeting). If there are appropriate questions that we cannot answer during the meeting, we will post the questions and answers thereto in the Investor Relations area of our website, </w:t>
      </w:r>
      <w:r>
        <w:rPr>
          <w:rFonts w:ascii="Arial;Helvetica;sans-serif" w:hAnsi="Arial;Helvetica;sans-serif"/>
          <w:b w:val="false"/>
          <w:i w:val="false"/>
          <w:caps w:val="false"/>
          <w:smallCaps w:val="false"/>
          <w:color w:val="002F56"/>
          <w:spacing w:val="-1"/>
          <w:sz w:val="18"/>
        </w:rPr>
        <w:t>www.mineralstech.com</w:t>
      </w:r>
      <w:r>
        <w:rPr>
          <w:rFonts w:ascii="Arial;Helvetica;sans-serif" w:hAnsi="Arial;Helvetica;sans-serif"/>
          <w:b w:val="false"/>
          <w:i w:val="false"/>
          <w:caps w:val="false"/>
          <w:smallCaps w:val="false"/>
          <w:color w:val="000000"/>
          <w:spacing w:val="-1"/>
          <w:sz w:val="18"/>
        </w:rPr>
        <w:t xml:space="preserve">. </w:t>
      </w:r>
    </w:p>
    <w:tbl>
      <w:tblPr>
        <w:tblW w:w="5353" w:type="dxa"/>
        <w:jc w:val="left"/>
        <w:tblInd w:w="1020" w:type="dxa"/>
        <w:tblLayout w:type="fixed"/>
        <w:tblCellMar>
          <w:top w:w="0" w:type="dxa"/>
          <w:left w:w="0" w:type="dxa"/>
          <w:bottom w:w="0" w:type="dxa"/>
          <w:right w:w="0" w:type="dxa"/>
        </w:tblCellMar>
      </w:tblPr>
      <w:tblGrid>
        <w:gridCol w:w="124"/>
        <w:gridCol w:w="581"/>
        <w:gridCol w:w="109"/>
        <w:gridCol w:w="109"/>
        <w:gridCol w:w="427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0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287" descr=""/>
                          <pic:cNvPicPr>
                            <a:picLocks noChangeAspect="1" noChangeArrowheads="1"/>
                          </pic:cNvPicPr>
                        </pic:nvPicPr>
                        <pic:blipFill>
                          <a:blip r:embed="rId299"/>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7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What constitutes a quorum for the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2"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According to the by-laws of the Company, a quorum for all meetings of shareholders consists of the holders of a majority of the shares of common stock issued and outstanding and entitled to vote, present in person or by proxy. On the Record Date there were 31,027,504 shares of common stock issued and outstanding, so at least 15,513,753 shares must be represented at the meeting for business to be conducted.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Shares of common stock represented by a properly signed and returned proxy are treated as present at the Annual Meeting for purposes of determining a quorum, whether the proxy is marked as casting a vote or abstaining.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Shares represented by “broker non-votes” are also treated as present for purposes of determining a quorum. Broker non-votes are shares held in record name by brokers or nominees, as to which the broker or nominee: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10" w:before="162"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has not received instructions from the beneficial owner or person entitled to vote,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2870" distB="0" distL="0" distR="0" simplePos="0" locked="0" layoutInCell="1" allowOverlap="1" relativeHeight="908">
                <wp:simplePos x="0" y="0"/>
                <wp:positionH relativeFrom="column">
                  <wp:align>left</wp:align>
                </wp:positionH>
                <wp:positionV relativeFrom="line">
                  <wp:align>top</wp:align>
                </wp:positionV>
                <wp:extent cx="254000" cy="350520"/>
                <wp:effectExtent l="0" t="0" r="0" b="0"/>
                <wp:wrapSquare wrapText="right"/>
                <wp:docPr id="901"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79</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GENERAL INFORMATION ABOUT THE ANNUAL MEETING</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does not have discretionary voting power under applicable New York Stock Exchange rules or the document under which it serves as broker or nominee,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909">
                <wp:simplePos x="0" y="0"/>
                <wp:positionH relativeFrom="column">
                  <wp:align>left</wp:align>
                </wp:positionH>
                <wp:positionV relativeFrom="line">
                  <wp:posOffset>635</wp:posOffset>
                </wp:positionV>
                <wp:extent cx="254000" cy="350520"/>
                <wp:effectExtent l="0" t="0" r="0" b="0"/>
                <wp:wrapSquare wrapText="right"/>
                <wp:docPr id="902"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10" w:before="0" w:after="283"/>
                              <w:jc w:val="left"/>
                              <w:rPr/>
                            </w:pPr>
                            <w:r>
                              <w:rPr>
                                <w:spacing w:val="-1"/>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38" w:after="0"/>
        <w:ind w:left="14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has indicated on the proxy card, or otherwise notified us, that it does not have authority to vote the shares on the matter.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4130" distB="0" distL="0" distR="0" simplePos="0" locked="0" layoutInCell="1" allowOverlap="1" relativeHeight="910">
                <wp:simplePos x="0" y="0"/>
                <wp:positionH relativeFrom="column">
                  <wp:align>left</wp:align>
                </wp:positionH>
                <wp:positionV relativeFrom="line">
                  <wp:align>top</wp:align>
                </wp:positionV>
                <wp:extent cx="254000" cy="525780"/>
                <wp:effectExtent l="0" t="0" r="0" b="0"/>
                <wp:wrapSquare wrapText="right"/>
                <wp:docPr id="903" name="Frame6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10" w:before="0" w:after="283"/>
                              <w:jc w:val="left"/>
                              <w:rPr/>
                            </w:pPr>
                            <w:r>
                              <w:rPr>
                                <w:spacing w:val="-1"/>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(iii)</w:t>
                      </w:r>
                      <w:r>
                        <w:rPr/>
                        <w:t xml:space="preserve"> </w:t>
                        <w:br/>
                      </w:r>
                    </w:p>
                  </w:txbxContent>
                </v:textbox>
                <w10:wrap type="square" side="right"/>
              </v:rect>
            </w:pict>
          </mc:Fallback>
        </mc:AlternateContent>
      </w:r>
    </w:p>
    <w:p>
      <w:pPr>
        <w:pStyle w:val="TextBody"/>
        <w:bidi w:val="0"/>
        <w:spacing w:before="0" w:after="0"/>
        <w:ind w:left="1020" w:right="0" w:hanging="0"/>
        <w:jc w:val="left"/>
        <w:rPr>
          <w:caps w:val="false"/>
          <w:smallCaps w:val="false"/>
          <w:color w:val="000000"/>
        </w:rPr>
      </w:pPr>
      <w:r>
        <w:rPr>
          <w:caps w:val="false"/>
          <w:smallCaps w:val="false"/>
          <w:color w:val="000000"/>
        </w:rPr>
        <w:t>​</w:t>
      </w:r>
    </w:p>
    <w:p>
      <w:pPr>
        <w:pStyle w:val="TextBody"/>
        <w:bidi w:val="0"/>
        <w:spacing w:lineRule="atLeast" w:line="21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a quorum does not attend or is not represented, the Annual Meeting will have to be postponed.</w:t>
      </w:r>
      <w:r>
        <w:rPr>
          <w:rFonts w:ascii="Arial;Helvetica;sans-serif" w:hAnsi="Arial;Helvetica;sans-serif"/>
          <w:b w:val="false"/>
          <w:i w:val="false"/>
          <w:caps w:val="false"/>
          <w:smallCaps w:val="false"/>
          <w:color w:val="000000"/>
          <w:spacing w:val="4"/>
          <w:sz w:val="18"/>
        </w:rPr>
        <w:t xml:space="preserve"> </w:t>
      </w:r>
    </w:p>
    <w:tbl>
      <w:tblPr>
        <w:tblW w:w="6538" w:type="dxa"/>
        <w:jc w:val="left"/>
        <w:tblInd w:w="1020" w:type="dxa"/>
        <w:tblLayout w:type="fixed"/>
        <w:tblCellMar>
          <w:top w:w="0" w:type="dxa"/>
          <w:left w:w="0" w:type="dxa"/>
          <w:bottom w:w="0" w:type="dxa"/>
          <w:right w:w="0" w:type="dxa"/>
        </w:tblCellMar>
      </w:tblPr>
      <w:tblGrid>
        <w:gridCol w:w="124"/>
        <w:gridCol w:w="581"/>
        <w:gridCol w:w="109"/>
        <w:gridCol w:w="109"/>
        <w:gridCol w:w="546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04"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Image288" descr=""/>
                          <pic:cNvPicPr>
                            <a:picLocks noChangeAspect="1" noChangeArrowheads="1"/>
                          </pic:cNvPicPr>
                        </pic:nvPicPr>
                        <pic:blipFill>
                          <a:blip r:embed="rId300"/>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6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How many votes are required for each question to pass?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08"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Directors are elected by the vote of the majority of the votes cast in uncontested elections. All other questions are determined by a majority of the votes cast on the question, except as otherwise provided by law or by the Certificate of Incorporation.</w:t>
      </w:r>
      <w:r>
        <w:rPr>
          <w:rFonts w:ascii="Arial;Helvetica;sans-serif" w:hAnsi="Arial;Helvetica;sans-serif"/>
          <w:b w:val="false"/>
          <w:i w:val="false"/>
          <w:caps w:val="false"/>
          <w:smallCaps w:val="false"/>
          <w:color w:val="000000"/>
          <w:spacing w:val="4"/>
          <w:sz w:val="18"/>
        </w:rPr>
        <w:t xml:space="preserve"> </w:t>
      </w:r>
    </w:p>
    <w:tbl>
      <w:tblPr>
        <w:tblW w:w="6433" w:type="dxa"/>
        <w:jc w:val="left"/>
        <w:tblInd w:w="1020" w:type="dxa"/>
        <w:tblLayout w:type="fixed"/>
        <w:tblCellMar>
          <w:top w:w="0" w:type="dxa"/>
          <w:left w:w="0" w:type="dxa"/>
          <w:bottom w:w="0" w:type="dxa"/>
          <w:right w:w="0" w:type="dxa"/>
        </w:tblCellMar>
      </w:tblPr>
      <w:tblGrid>
        <w:gridCol w:w="124"/>
        <w:gridCol w:w="581"/>
        <w:gridCol w:w="109"/>
        <w:gridCol w:w="109"/>
        <w:gridCol w:w="535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05"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289" descr=""/>
                          <pic:cNvPicPr>
                            <a:picLocks noChangeAspect="1" noChangeArrowheads="1"/>
                          </pic:cNvPicPr>
                        </pic:nvPicPr>
                        <pic:blipFill>
                          <a:blip r:embed="rId301"/>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5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What is the effect of abstentions and broker non-votes?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08"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Under New York Stock Exchange Rules, the proposal to ratify the appointment of independent auditors is considered a “discretionary” item. This means that brokerage firms may vote in their discretion on this matter on behalf of clients who have not furnished voting instructions at least 10 days before the date of the meeting. In contrast, the election of directors and the advisory vote to approve 2025 executive compensation are “non-discretionary” items. This means brokerage firms that have not received voting instructions from their clients on these proposals may not vote on them. These so-called “broker non-votes” will be included in the calculation of the number of votes considered to be present at the meeting for purposes of determining a quorum, but will not be considered in determining the number of votes necessary for approval and will have no effect on the outcome of the election of directors or the advisory vote to approve 2025 executive compensation. Similarly, abstentions will be included in the calculation of the number of votes considered to be present for purposes of determining a quorum, but will have no effect on the outcome of the election of directors, the ratification of the appointment of our independent auditor, or the advisory vote to approve 2025 named executive officer compensation.</w:t>
      </w:r>
      <w:r>
        <w:rPr>
          <w:rFonts w:ascii="Arial;Helvetica;sans-serif" w:hAnsi="Arial;Helvetica;sans-serif"/>
          <w:b w:val="false"/>
          <w:i w:val="false"/>
          <w:caps w:val="false"/>
          <w:smallCaps w:val="false"/>
          <w:color w:val="000000"/>
          <w:spacing w:val="4"/>
          <w:sz w:val="18"/>
        </w:rPr>
        <w:t xml:space="preserve"> </w:t>
      </w:r>
    </w:p>
    <w:tbl>
      <w:tblPr>
        <w:tblW w:w="3718" w:type="dxa"/>
        <w:jc w:val="left"/>
        <w:tblInd w:w="1020" w:type="dxa"/>
        <w:tblLayout w:type="fixed"/>
        <w:tblCellMar>
          <w:top w:w="0" w:type="dxa"/>
          <w:left w:w="0" w:type="dxa"/>
          <w:bottom w:w="0" w:type="dxa"/>
          <w:right w:w="0" w:type="dxa"/>
        </w:tblCellMar>
      </w:tblPr>
      <w:tblGrid>
        <w:gridCol w:w="124"/>
        <w:gridCol w:w="581"/>
        <w:gridCol w:w="109"/>
        <w:gridCol w:w="109"/>
        <w:gridCol w:w="264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06"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290" descr=""/>
                          <pic:cNvPicPr>
                            <a:picLocks noChangeAspect="1" noChangeArrowheads="1"/>
                          </pic:cNvPicPr>
                        </pic:nvPicPr>
                        <pic:blipFill>
                          <a:blip r:embed="rId302"/>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Who will count the votes?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8"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A representative from Broadridge Financial Solutions, Inc. or its delegate will serve as inspector of election.</w:t>
      </w:r>
      <w:r>
        <w:rPr>
          <w:rFonts w:ascii="Arial;Helvetica;sans-serif" w:hAnsi="Arial;Helvetica;sans-serif"/>
          <w:b w:val="false"/>
          <w:i w:val="false"/>
          <w:caps w:val="false"/>
          <w:smallCaps w:val="false"/>
          <w:color w:val="000000"/>
          <w:spacing w:val="4"/>
          <w:sz w:val="18"/>
        </w:rPr>
        <w:t xml:space="preserve"> </w:t>
      </w:r>
    </w:p>
    <w:tbl>
      <w:tblPr>
        <w:tblW w:w="5578" w:type="dxa"/>
        <w:jc w:val="left"/>
        <w:tblInd w:w="1020" w:type="dxa"/>
        <w:tblLayout w:type="fixed"/>
        <w:tblCellMar>
          <w:top w:w="0" w:type="dxa"/>
          <w:left w:w="0" w:type="dxa"/>
          <w:bottom w:w="0" w:type="dxa"/>
          <w:right w:w="0" w:type="dxa"/>
        </w:tblCellMar>
      </w:tblPr>
      <w:tblGrid>
        <w:gridCol w:w="124"/>
        <w:gridCol w:w="581"/>
        <w:gridCol w:w="109"/>
        <w:gridCol w:w="109"/>
        <w:gridCol w:w="450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07"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Image291" descr=""/>
                          <pic:cNvPicPr>
                            <a:picLocks noChangeAspect="1" noChangeArrowheads="1"/>
                          </pic:cNvPicPr>
                        </pic:nvPicPr>
                        <pic:blipFill>
                          <a:blip r:embed="rId303"/>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0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Who are the Company’s largest shareholders?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8"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BlackRock Inc. owns 15.6%; Vanguard Group Inc. owns 12.0%; FMR LLC owns 10.1%, Dimensional Fund Advisors LP owns 7.3%, and Nomura Asset Management International Inc. and Nomura Investment Management Business Trust together own 5.0%. The percentages of ownership were calculated based on our 31,027,504 outstanding shares as of March 24, 2026. No other person owned of record, or, to our knowledge, owned beneficially, more than 5% of the Company’s common stock.</w:t>
      </w:r>
      <w:r>
        <w:rPr>
          <w:rFonts w:ascii="Arial;Helvetica;sans-serif" w:hAnsi="Arial;Helvetica;sans-serif"/>
          <w:b w:val="false"/>
          <w:i w:val="false"/>
          <w:caps w:val="false"/>
          <w:smallCaps w:val="false"/>
          <w:color w:val="000000"/>
          <w:spacing w:val="4"/>
          <w:sz w:val="18"/>
        </w:rPr>
        <w:t xml:space="preserve"> </w:t>
      </w:r>
    </w:p>
    <w:tbl>
      <w:tblPr>
        <w:tblW w:w="3598" w:type="dxa"/>
        <w:jc w:val="left"/>
        <w:tblInd w:w="1020" w:type="dxa"/>
        <w:tblLayout w:type="fixed"/>
        <w:tblCellMar>
          <w:top w:w="0" w:type="dxa"/>
          <w:left w:w="0" w:type="dxa"/>
          <w:bottom w:w="0" w:type="dxa"/>
          <w:right w:w="0" w:type="dxa"/>
        </w:tblCellMar>
      </w:tblPr>
      <w:tblGrid>
        <w:gridCol w:w="124"/>
        <w:gridCol w:w="581"/>
        <w:gridCol w:w="109"/>
        <w:gridCol w:w="109"/>
        <w:gridCol w:w="252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08"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292" descr=""/>
                          <pic:cNvPicPr>
                            <a:picLocks noChangeAspect="1" noChangeArrowheads="1"/>
                          </pic:cNvPicPr>
                        </pic:nvPicPr>
                        <pic:blipFill>
                          <a:blip r:embed="rId304"/>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2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How can I cast my vote?</w:t>
            </w:r>
            <w:r>
              <w:rPr/>
              <w:t xml:space="preserve"> </w:t>
            </w:r>
          </w:p>
        </w:tc>
        <w:tc>
          <w:tcPr>
            <w:tcW w:w="154" w:type="dxa"/>
            <w:tcBorders/>
            <w:vAlign w:val="center"/>
          </w:tcPr>
          <w:p>
            <w:pPr>
              <w:pStyle w:val="TableContents"/>
              <w:bidi w:val="0"/>
              <w:spacing w:before="0" w:after="283"/>
              <w:jc w:val="left"/>
              <w:rPr/>
            </w:pPr>
            <w:r>
              <w:rPr/>
              <w:t>​</w:t>
            </w:r>
          </w:p>
        </w:tc>
      </w:tr>
    </w:tbl>
    <w:tbl>
      <w:tblPr>
        <w:tblW w:w="9185" w:type="dxa"/>
        <w:jc w:val="left"/>
        <w:tblInd w:w="1020" w:type="dxa"/>
        <w:tblLayout w:type="fixed"/>
        <w:tblCellMar>
          <w:top w:w="0" w:type="dxa"/>
          <w:left w:w="0" w:type="dxa"/>
          <w:bottom w:w="28" w:type="dxa"/>
          <w:right w:w="0" w:type="dxa"/>
        </w:tblCellMar>
      </w:tblPr>
      <w:tblGrid>
        <w:gridCol w:w="124"/>
        <w:gridCol w:w="2360"/>
        <w:gridCol w:w="109"/>
        <w:gridCol w:w="109"/>
        <w:gridCol w:w="1517"/>
        <w:gridCol w:w="109"/>
        <w:gridCol w:w="109"/>
        <w:gridCol w:w="1765"/>
        <w:gridCol w:w="109"/>
        <w:gridCol w:w="109"/>
        <w:gridCol w:w="2608"/>
        <w:gridCol w:w="157"/>
      </w:tblGrid>
      <w:tr>
        <w:trPr/>
        <w:tc>
          <w:tcPr>
            <w:tcW w:w="124" w:type="dxa"/>
            <w:tcBorders>
              <w:bottom w:val="single" w:sz="24" w:space="0" w:color="FEFEFE"/>
            </w:tcBorders>
            <w:shd w:fill="002F56" w:val="clear"/>
            <w:vAlign w:val="center"/>
          </w:tcPr>
          <w:p>
            <w:pPr>
              <w:pStyle w:val="TableContents"/>
              <w:bidi w:val="0"/>
              <w:spacing w:before="0" w:after="283"/>
              <w:jc w:val="left"/>
              <w:rPr/>
            </w:pPr>
            <w:r>
              <w:rPr/>
              <w:t>​</w:t>
            </w:r>
          </w:p>
        </w:tc>
        <w:tc>
          <w:tcPr>
            <w:tcW w:w="8904" w:type="dxa"/>
            <w:gridSpan w:val="10"/>
            <w:tcBorders>
              <w:bottom w:val="single" w:sz="24" w:space="0" w:color="FEFEFE"/>
            </w:tcBorders>
            <w:shd w:fill="002F56" w:val="clear"/>
            <w:tcMar>
              <w:bottom w:w="76" w:type="dxa"/>
            </w:tcMar>
            <w:vAlign w:val="center"/>
          </w:tcPr>
          <w:p>
            <w:pPr>
              <w:pStyle w:val="TableContents"/>
              <w:bidi w:val="0"/>
              <w:spacing w:lineRule="atLeast" w:line="216" w:before="0" w:after="0"/>
              <w:jc w:val="center"/>
              <w:rPr>
                <w:spacing w:val="-6"/>
              </w:rPr>
            </w:pPr>
            <w:r>
              <w:rPr>
                <w:spacing w:val="-6"/>
              </w:rPr>
              <w:t xml:space="preserve">YOUR VOTE IS IMPORTANT. PLEASE VOTE AS SOON AS POSSIBLE. </w:t>
            </w:r>
          </w:p>
        </w:tc>
        <w:tc>
          <w:tcPr>
            <w:tcW w:w="157" w:type="dxa"/>
            <w:tcBorders>
              <w:bottom w:val="single" w:sz="24" w:space="0" w:color="FEFEFE"/>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2360" w:type="dxa"/>
            <w:tcBorders/>
            <w:shd w:fill="002F56" w:val="clear"/>
            <w:tcMar>
              <w:bottom w:w="0" w:type="dxa"/>
            </w:tcMar>
            <w:vAlign w:val="center"/>
          </w:tcPr>
          <w:p>
            <w:pPr>
              <w:pStyle w:val="TableContents"/>
              <w:bidi w:val="0"/>
              <w:spacing w:lineRule="atLeast" w:line="180" w:before="0" w:after="0"/>
              <w:jc w:val="left"/>
              <w:rPr/>
            </w:pPr>
            <w:r>
              <w:rPr/>
              <w:drawing>
                <wp:inline distT="0" distB="0" distL="0" distR="0">
                  <wp:extent cx="457200" cy="276225"/>
                  <wp:effectExtent l="0" t="0" r="0" b="0"/>
                  <wp:docPr id="909"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Image293" descr=""/>
                          <pic:cNvPicPr>
                            <a:picLocks noChangeAspect="1" noChangeArrowheads="1"/>
                          </pic:cNvPicPr>
                        </pic:nvPicPr>
                        <pic:blipFill>
                          <a:blip r:embed="rId305"/>
                          <a:stretch>
                            <a:fillRect/>
                          </a:stretch>
                        </pic:blipFill>
                        <pic:spPr bwMode="auto">
                          <a:xfrm>
                            <a:off x="0" y="0"/>
                            <a:ext cx="457200" cy="276225"/>
                          </a:xfrm>
                          <a:prstGeom prst="rect">
                            <a:avLst/>
                          </a:prstGeom>
                        </pic:spPr>
                      </pic:pic>
                    </a:graphicData>
                  </a:graphic>
                </wp:inline>
              </w:drawing>
            </w:r>
            <w:r>
              <w:rPr>
                <w:spacing w:val="-6"/>
              </w:rPr>
              <w:t>   </w:t>
            </w:r>
            <w:r>
              <w:rPr>
                <w:spacing w:val="-6"/>
              </w:rPr>
              <w:t xml:space="preserve">INTERNET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517" w:type="dxa"/>
            <w:tcBorders/>
            <w:shd w:fill="002F56" w:val="clear"/>
            <w:tcMar>
              <w:bottom w:w="0" w:type="dxa"/>
            </w:tcMar>
            <w:vAlign w:val="center"/>
          </w:tcPr>
          <w:p>
            <w:pPr>
              <w:pStyle w:val="TableContents"/>
              <w:bidi w:val="0"/>
              <w:spacing w:lineRule="atLeast" w:line="216" w:before="0" w:after="0"/>
              <w:jc w:val="left"/>
              <w:rPr/>
            </w:pPr>
            <w:r>
              <w:rPr/>
              <w:drawing>
                <wp:inline distT="0" distB="0" distL="0" distR="0">
                  <wp:extent cx="180975" cy="304800"/>
                  <wp:effectExtent l="0" t="0" r="0" b="0"/>
                  <wp:docPr id="910"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Image294" descr=""/>
                          <pic:cNvPicPr>
                            <a:picLocks noChangeAspect="1" noChangeArrowheads="1"/>
                          </pic:cNvPicPr>
                        </pic:nvPicPr>
                        <pic:blipFill>
                          <a:blip r:embed="rId306"/>
                          <a:stretch>
                            <a:fillRect/>
                          </a:stretch>
                        </pic:blipFill>
                        <pic:spPr bwMode="auto">
                          <a:xfrm>
                            <a:off x="0" y="0"/>
                            <a:ext cx="180975" cy="304800"/>
                          </a:xfrm>
                          <a:prstGeom prst="rect">
                            <a:avLst/>
                          </a:prstGeom>
                        </pic:spPr>
                      </pic:pic>
                    </a:graphicData>
                  </a:graphic>
                </wp:inline>
              </w:drawing>
            </w:r>
            <w:r>
              <w:rPr>
                <w:spacing w:val="-6"/>
              </w:rPr>
              <w:t>   </w:t>
            </w:r>
            <w:r>
              <w:rPr>
                <w:spacing w:val="-6"/>
              </w:rPr>
              <w:t xml:space="preserve">PHONE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765" w:type="dxa"/>
            <w:tcBorders/>
            <w:shd w:fill="002F56" w:val="clear"/>
            <w:tcMar>
              <w:bottom w:w="0" w:type="dxa"/>
            </w:tcMar>
            <w:vAlign w:val="center"/>
          </w:tcPr>
          <w:p>
            <w:pPr>
              <w:pStyle w:val="TableContents"/>
              <w:bidi w:val="0"/>
              <w:spacing w:lineRule="atLeast" w:line="216" w:before="0" w:after="0"/>
              <w:jc w:val="left"/>
              <w:rPr/>
            </w:pPr>
            <w:r>
              <w:rPr/>
              <w:drawing>
                <wp:inline distT="0" distB="0" distL="0" distR="0">
                  <wp:extent cx="304800" cy="304800"/>
                  <wp:effectExtent l="0" t="0" r="0" b="0"/>
                  <wp:docPr id="911"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295" descr=""/>
                          <pic:cNvPicPr>
                            <a:picLocks noChangeAspect="1" noChangeArrowheads="1"/>
                          </pic:cNvPicPr>
                        </pic:nvPicPr>
                        <pic:blipFill>
                          <a:blip r:embed="rId307"/>
                          <a:stretch>
                            <a:fillRect/>
                          </a:stretch>
                        </pic:blipFill>
                        <pic:spPr bwMode="auto">
                          <a:xfrm>
                            <a:off x="0" y="0"/>
                            <a:ext cx="304800" cy="304800"/>
                          </a:xfrm>
                          <a:prstGeom prst="rect">
                            <a:avLst/>
                          </a:prstGeom>
                        </pic:spPr>
                      </pic:pic>
                    </a:graphicData>
                  </a:graphic>
                </wp:inline>
              </w:drawing>
            </w:r>
            <w:r>
              <w:rPr>
                <w:spacing w:val="-6"/>
              </w:rPr>
              <w:t>   </w:t>
            </w:r>
            <w:r>
              <w:rPr>
                <w:spacing w:val="-6"/>
              </w:rPr>
              <w:t xml:space="preserve">MAIL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608" w:type="dxa"/>
            <w:tcBorders/>
            <w:shd w:fill="002F56" w:val="clear"/>
            <w:tcMar>
              <w:bottom w:w="0" w:type="dxa"/>
            </w:tcMar>
            <w:vAlign w:val="center"/>
          </w:tcPr>
          <w:p>
            <w:pPr>
              <w:pStyle w:val="TableContents"/>
              <w:bidi w:val="0"/>
              <w:spacing w:lineRule="atLeast" w:line="216" w:before="0" w:after="0"/>
              <w:jc w:val="left"/>
              <w:rPr/>
            </w:pPr>
            <w:r>
              <w:rPr/>
              <w:drawing>
                <wp:inline distT="0" distB="0" distL="0" distR="0">
                  <wp:extent cx="409575" cy="228600"/>
                  <wp:effectExtent l="0" t="0" r="0" b="0"/>
                  <wp:docPr id="912"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296" descr=""/>
                          <pic:cNvPicPr>
                            <a:picLocks noChangeAspect="1" noChangeArrowheads="1"/>
                          </pic:cNvPicPr>
                        </pic:nvPicPr>
                        <pic:blipFill>
                          <a:blip r:embed="rId308"/>
                          <a:stretch>
                            <a:fillRect/>
                          </a:stretch>
                        </pic:blipFill>
                        <pic:spPr bwMode="auto">
                          <a:xfrm>
                            <a:off x="0" y="0"/>
                            <a:ext cx="409575" cy="228600"/>
                          </a:xfrm>
                          <a:prstGeom prst="rect">
                            <a:avLst/>
                          </a:prstGeom>
                        </pic:spPr>
                      </pic:pic>
                    </a:graphicData>
                  </a:graphic>
                </wp:inline>
              </w:drawing>
            </w:r>
            <w:r>
              <w:rPr>
                <w:spacing w:val="-6"/>
              </w:rPr>
              <w:t>   </w:t>
            </w:r>
            <w:r>
              <w:rPr>
                <w:spacing w:val="-6"/>
              </w:rPr>
              <w:t xml:space="preserve">ATTEND THE MEETING </w:t>
            </w:r>
          </w:p>
        </w:tc>
        <w:tc>
          <w:tcPr>
            <w:tcW w:w="157"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2360" w:type="dxa"/>
            <w:tcBorders/>
            <w:shd w:fill="002F56" w:val="clear"/>
            <w:tcMar>
              <w:bottom w:w="0" w:type="dxa"/>
            </w:tcMar>
            <w:vAlign w:val="center"/>
          </w:tcPr>
          <w:p>
            <w:pPr>
              <w:pStyle w:val="TableContents"/>
              <w:bidi w:val="0"/>
              <w:spacing w:lineRule="atLeast" w:line="196" w:before="0" w:after="0"/>
              <w:jc w:val="left"/>
              <w:rPr>
                <w:spacing w:val="-1"/>
              </w:rPr>
            </w:pPr>
            <w:r>
              <w:rPr>
                <w:spacing w:val="-1"/>
              </w:rPr>
              <w:t xml:space="preserve">Go to www.proxyvote.com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517" w:type="dxa"/>
            <w:tcBorders/>
            <w:shd w:fill="002F56" w:val="clear"/>
            <w:tcMar>
              <w:bottom w:w="0" w:type="dxa"/>
            </w:tcMar>
            <w:vAlign w:val="center"/>
          </w:tcPr>
          <w:p>
            <w:pPr>
              <w:pStyle w:val="TableContents"/>
              <w:bidi w:val="0"/>
              <w:spacing w:lineRule="atLeast" w:line="195" w:before="0" w:after="0"/>
              <w:jc w:val="left"/>
              <w:rPr>
                <w:spacing w:val="-1"/>
              </w:rPr>
            </w:pPr>
            <w:r>
              <w:rPr>
                <w:spacing w:val="-1"/>
              </w:rPr>
              <w:t xml:space="preserve">Call toll-free </w:t>
              <w:br/>
              <w:t xml:space="preserve">1 (800) 690-6903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765" w:type="dxa"/>
            <w:tcBorders/>
            <w:shd w:fill="002F56" w:val="clear"/>
            <w:tcMar>
              <w:bottom w:w="0" w:type="dxa"/>
            </w:tcMar>
            <w:vAlign w:val="center"/>
          </w:tcPr>
          <w:p>
            <w:pPr>
              <w:pStyle w:val="TableContents"/>
              <w:bidi w:val="0"/>
              <w:spacing w:lineRule="atLeast" w:line="196" w:before="0" w:after="0"/>
              <w:jc w:val="left"/>
              <w:rPr/>
            </w:pPr>
            <w:r>
              <w:rPr>
                <w:spacing w:val="-1"/>
              </w:rPr>
              <w:t>Mark, sign, and date your</w:t>
            </w:r>
            <w:r>
              <w:rPr/>
              <w:t xml:space="preserve"> </w:t>
            </w:r>
          </w:p>
          <w:p>
            <w:pPr>
              <w:pStyle w:val="TableContents"/>
              <w:bidi w:val="0"/>
              <w:spacing w:lineRule="atLeast" w:line="196" w:before="40" w:after="283"/>
              <w:jc w:val="left"/>
              <w:rPr/>
            </w:pPr>
            <w:r>
              <w:rPr>
                <w:spacing w:val="-1"/>
              </w:rPr>
              <w:t>proxy card and return it in</w:t>
            </w:r>
            <w:r>
              <w:rPr/>
              <w:t xml:space="preserve"> </w:t>
            </w:r>
          </w:p>
          <w:p>
            <w:pPr>
              <w:pStyle w:val="TableContents"/>
              <w:bidi w:val="0"/>
              <w:spacing w:lineRule="atLeast" w:line="196" w:before="40" w:after="283"/>
              <w:jc w:val="left"/>
              <w:rPr>
                <w:spacing w:val="-1"/>
              </w:rPr>
            </w:pPr>
            <w:r>
              <w:rPr>
                <w:spacing w:val="-1"/>
              </w:rPr>
              <w:t xml:space="preserve">the postage-paid envelope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2608" w:type="dxa"/>
            <w:tcBorders/>
            <w:shd w:fill="002F56" w:val="clear"/>
            <w:tcMar>
              <w:bottom w:w="0" w:type="dxa"/>
            </w:tcMar>
            <w:vAlign w:val="center"/>
          </w:tcPr>
          <w:p>
            <w:pPr>
              <w:pStyle w:val="TableContents"/>
              <w:bidi w:val="0"/>
              <w:spacing w:lineRule="atLeast" w:line="195" w:before="0" w:after="0"/>
              <w:jc w:val="left"/>
              <w:rPr/>
            </w:pPr>
            <w:r>
              <w:rPr>
                <w:spacing w:val="-1"/>
              </w:rPr>
              <w:t>Attend the virtual meeting and vote online</w:t>
            </w:r>
            <w:r>
              <w:rPr/>
              <w:t xml:space="preserve"> </w:t>
            </w:r>
          </w:p>
        </w:tc>
        <w:tc>
          <w:tcPr>
            <w:tcW w:w="157" w:type="dxa"/>
            <w:tcBorders/>
            <w:shd w:fill="002F56"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27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You can vote by proxy over the internet by following the instructions provided in the Notice, or, if you requested to receive printed proxy materials, you can also vote by mail pursuant to the instructions provided on the proxy card. If you hold shares beneficially in street name, you may also vote by proxy over the internet by following the instructions provided in the Notice, or, if you requested to receive printed proxy materials, you can also vote by mail by following the voting instruction card provided to you by your broker, bank, trustee or nominee.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60" w:after="283"/>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 xml:space="preserve">If you are an employee who participates in the Company’s Savings and Investment Plan (the Company’s 401(k) plan), to vote your shares in the Plan you must provide the trustee of the Plan with your voting instructions in advance of the meeting. You may do so by proxy over the internet by following the instructions provided in the Notice, or, if you requested to receive printed proxy materials, you can also vote by mail by following the voting instructions provided in the proxy card. You cannot vote your shares via the virtual Annual Meeting platform; the trustee is the only one who can vote your shares at the Annual Meeting. The trustee will vote your shares as you instruct. If the trustee does not receive your instructions, your </w:t>
      </w:r>
    </w:p>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80</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right"/>
        <w:rPr>
          <w:rFonts w:ascii="Arial;Helvetica;sans-serif" w:hAnsi="Arial;Helvetica;sans-serif"/>
          <w:b w:val="false"/>
          <w:i w:val="false"/>
          <w:caps w:val="false"/>
          <w:smallCaps w:val="false"/>
          <w:color w:val="002F56"/>
          <w:sz w:val="22"/>
        </w:rPr>
      </w:pPr>
      <w:r>
        <w:rPr>
          <w:rFonts w:ascii="Arial;Helvetica;sans-serif" w:hAnsi="Arial;Helvetica;sans-serif"/>
          <w:b w:val="false"/>
          <w:i w:val="false"/>
          <w:caps w:val="false"/>
          <w:smallCaps w:val="false"/>
          <w:color w:val="002F56"/>
          <w:spacing w:val="-2"/>
          <w:sz w:val="22"/>
        </w:rPr>
        <w:t>GENERAL INFORMATION ABOUT THE ANNUAL MEETING</w:t>
      </w:r>
      <w:r>
        <w:rPr>
          <w:rFonts w:ascii="Arial;Helvetica;sans-serif" w:hAnsi="Arial;Helvetica;sans-serif"/>
          <w:b w:val="false"/>
          <w:i w:val="false"/>
          <w:caps w:val="false"/>
          <w:smallCaps w:val="false"/>
          <w:color w:val="002F56"/>
          <w:sz w:val="22"/>
        </w:rPr>
        <w:t xml:space="preserve"> </w:t>
      </w:r>
    </w:p>
    <w:p>
      <w:pPr>
        <w:pStyle w:val="TextBody"/>
        <w:bidi w:val="0"/>
        <w:spacing w:lineRule="atLeast" w:line="210" w:before="40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shares generally will be voted by the trustee in proportion to the way the other Plan participants voted. To allow sufficient time for voting by the trustee, your voting instructions must be received by 11:59 p.m., Eastern Time, on May 17, 2026.</w:t>
      </w:r>
      <w:r>
        <w:rPr>
          <w:rFonts w:ascii="Arial;Helvetica;sans-serif" w:hAnsi="Arial;Helvetica;sans-serif"/>
          <w:b w:val="false"/>
          <w:i w:val="false"/>
          <w:caps w:val="false"/>
          <w:smallCaps w:val="false"/>
          <w:color w:val="000000"/>
          <w:spacing w:val="4"/>
          <w:sz w:val="18"/>
        </w:rPr>
        <w:t xml:space="preserve"> </w:t>
      </w:r>
    </w:p>
    <w:tbl>
      <w:tblPr>
        <w:tblW w:w="7603" w:type="dxa"/>
        <w:jc w:val="left"/>
        <w:tblInd w:w="1020" w:type="dxa"/>
        <w:tblLayout w:type="fixed"/>
        <w:tblCellMar>
          <w:top w:w="0" w:type="dxa"/>
          <w:left w:w="0" w:type="dxa"/>
          <w:bottom w:w="0" w:type="dxa"/>
          <w:right w:w="0" w:type="dxa"/>
        </w:tblCellMar>
      </w:tblPr>
      <w:tblGrid>
        <w:gridCol w:w="124"/>
        <w:gridCol w:w="581"/>
        <w:gridCol w:w="109"/>
        <w:gridCol w:w="109"/>
        <w:gridCol w:w="652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13"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Image297" descr=""/>
                          <pic:cNvPicPr>
                            <a:picLocks noChangeAspect="1" noChangeArrowheads="1"/>
                          </pic:cNvPicPr>
                        </pic:nvPicPr>
                        <pic:blipFill>
                          <a:blip r:embed="rId309"/>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2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What if I submit a proxy but don’t mark it to show my preferences?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you return a properly signed proxy without marking it, it will be voted in accordance with the Board of Directors’ recommendations on all proposals.</w:t>
      </w:r>
      <w:r>
        <w:rPr>
          <w:rFonts w:ascii="Arial;Helvetica;sans-serif" w:hAnsi="Arial;Helvetica;sans-serif"/>
          <w:b w:val="false"/>
          <w:i w:val="false"/>
          <w:caps w:val="false"/>
          <w:smallCaps w:val="false"/>
          <w:color w:val="000000"/>
          <w:spacing w:val="4"/>
          <w:sz w:val="18"/>
        </w:rPr>
        <w:t xml:space="preserve"> </w:t>
      </w:r>
    </w:p>
    <w:tbl>
      <w:tblPr>
        <w:tblW w:w="6163" w:type="dxa"/>
        <w:jc w:val="left"/>
        <w:tblInd w:w="1020" w:type="dxa"/>
        <w:tblLayout w:type="fixed"/>
        <w:tblCellMar>
          <w:top w:w="0" w:type="dxa"/>
          <w:left w:w="0" w:type="dxa"/>
          <w:bottom w:w="0" w:type="dxa"/>
          <w:right w:w="0" w:type="dxa"/>
        </w:tblCellMar>
      </w:tblPr>
      <w:tblGrid>
        <w:gridCol w:w="124"/>
        <w:gridCol w:w="581"/>
        <w:gridCol w:w="109"/>
        <w:gridCol w:w="109"/>
        <w:gridCol w:w="508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14"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298" descr=""/>
                          <pic:cNvPicPr>
                            <a:picLocks noChangeAspect="1" noChangeArrowheads="1"/>
                          </pic:cNvPicPr>
                        </pic:nvPicPr>
                        <pic:blipFill>
                          <a:blip r:embed="rId310"/>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8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What if I submit a proxy and then change my mind?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If you submit a proxy, you can revoke it at any time before it is voted by submitting a written revocation or a new proxy, or by voting in person at the Annual Meeting. However, if you have shares held through a brokerage firm, bank or other custodian, you can revoke an earlier proxy only by following the custodian’s procedures. Employee Savings and Investment Plan participants can notify the Plan trustee in writing that prior voting instructions are revoked or are changed.</w:t>
      </w:r>
      <w:r>
        <w:rPr>
          <w:rFonts w:ascii="Arial;Helvetica;sans-serif" w:hAnsi="Arial;Helvetica;sans-serif"/>
          <w:b w:val="false"/>
          <w:i w:val="false"/>
          <w:caps w:val="false"/>
          <w:smallCaps w:val="false"/>
          <w:color w:val="000000"/>
          <w:spacing w:val="4"/>
          <w:sz w:val="18"/>
        </w:rPr>
        <w:t xml:space="preserve"> </w:t>
      </w:r>
    </w:p>
    <w:tbl>
      <w:tblPr>
        <w:tblW w:w="5533" w:type="dxa"/>
        <w:jc w:val="left"/>
        <w:tblInd w:w="1020" w:type="dxa"/>
        <w:tblLayout w:type="fixed"/>
        <w:tblCellMar>
          <w:top w:w="0" w:type="dxa"/>
          <w:left w:w="0" w:type="dxa"/>
          <w:bottom w:w="0" w:type="dxa"/>
          <w:right w:w="0" w:type="dxa"/>
        </w:tblCellMar>
      </w:tblPr>
      <w:tblGrid>
        <w:gridCol w:w="124"/>
        <w:gridCol w:w="581"/>
        <w:gridCol w:w="109"/>
        <w:gridCol w:w="109"/>
        <w:gridCol w:w="4456"/>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15"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299" descr=""/>
                          <pic:cNvPicPr>
                            <a:picLocks noChangeAspect="1" noChangeArrowheads="1"/>
                          </pic:cNvPicPr>
                        </pic:nvPicPr>
                        <pic:blipFill>
                          <a:blip r:embed="rId311"/>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56"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Who is paying for this solicitation of proxies?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Company pays the cost of this solicitation. In addition to soliciting proxies through the mail using this Proxy Statement, we may solicit proxies by telephone, facsimile, electronic mail and personal contact. These solicitations will be made by our regular employees without additional compensation. We have also engaged Morrow Sodali LLC, 333 Ludlow Street, 5th Floor, South Tower, Stamford, CT 06902 to assist in this solicitation of proxies, and we have agreed to pay that firm $10,000 for its assistance, plus expenses.</w:t>
      </w:r>
      <w:r>
        <w:rPr>
          <w:rFonts w:ascii="Arial;Helvetica;sans-serif" w:hAnsi="Arial;Helvetica;sans-serif"/>
          <w:b w:val="false"/>
          <w:i w:val="false"/>
          <w:caps w:val="false"/>
          <w:smallCaps w:val="false"/>
          <w:color w:val="000000"/>
          <w:spacing w:val="4"/>
          <w:sz w:val="18"/>
        </w:rPr>
        <w:t xml:space="preserve"> </w:t>
      </w:r>
    </w:p>
    <w:tbl>
      <w:tblPr>
        <w:tblW w:w="5308" w:type="dxa"/>
        <w:jc w:val="left"/>
        <w:tblInd w:w="1020" w:type="dxa"/>
        <w:tblLayout w:type="fixed"/>
        <w:tblCellMar>
          <w:top w:w="0" w:type="dxa"/>
          <w:left w:w="0" w:type="dxa"/>
          <w:bottom w:w="0" w:type="dxa"/>
          <w:right w:w="0" w:type="dxa"/>
        </w:tblCellMar>
      </w:tblPr>
      <w:tblGrid>
        <w:gridCol w:w="124"/>
        <w:gridCol w:w="581"/>
        <w:gridCol w:w="109"/>
        <w:gridCol w:w="109"/>
        <w:gridCol w:w="4231"/>
        <w:gridCol w:w="154"/>
      </w:tblGrid>
      <w:tr>
        <w:trPr/>
        <w:tc>
          <w:tcPr>
            <w:tcW w:w="124" w:type="dxa"/>
            <w:tcBorders/>
            <w:vAlign w:val="center"/>
          </w:tcPr>
          <w:p>
            <w:pPr>
              <w:pStyle w:val="TableContents"/>
              <w:bidi w:val="0"/>
              <w:spacing w:before="0" w:after="283"/>
              <w:jc w:val="left"/>
              <w:rPr/>
            </w:pPr>
            <w:r>
              <w:rPr/>
              <w:t>​</w:t>
            </w:r>
          </w:p>
        </w:tc>
        <w:tc>
          <w:tcPr>
            <w:tcW w:w="581" w:type="dxa"/>
            <w:tcBorders/>
            <w:vAlign w:val="center"/>
          </w:tcPr>
          <w:p>
            <w:pPr>
              <w:pStyle w:val="TableContents"/>
              <w:bidi w:val="0"/>
              <w:spacing w:before="0" w:after="0"/>
              <w:jc w:val="left"/>
              <w:rPr/>
            </w:pPr>
            <w:r>
              <w:rPr/>
              <w:drawing>
                <wp:inline distT="0" distB="0" distL="0" distR="0">
                  <wp:extent cx="276225" cy="276225"/>
                  <wp:effectExtent l="0" t="0" r="0" b="0"/>
                  <wp:docPr id="916"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300" descr=""/>
                          <pic:cNvPicPr>
                            <a:picLocks noChangeAspect="1" noChangeArrowheads="1"/>
                          </pic:cNvPicPr>
                        </pic:nvPicPr>
                        <pic:blipFill>
                          <a:blip r:embed="rId312"/>
                          <a:stretch>
                            <a:fillRect/>
                          </a:stretch>
                        </pic:blipFill>
                        <pic:spPr bwMode="auto">
                          <a:xfrm>
                            <a:off x="0" y="0"/>
                            <a:ext cx="276225" cy="276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31" w:type="dxa"/>
            <w:tcBorders/>
            <w:tcMar>
              <w:top w:w="28" w:type="dxa"/>
              <w:left w:w="28" w:type="dxa"/>
              <w:bottom w:w="28" w:type="dxa"/>
              <w:right w:w="28" w:type="dxa"/>
            </w:tcMar>
            <w:vAlign w:val="center"/>
          </w:tcPr>
          <w:p>
            <w:pPr>
              <w:pStyle w:val="TableContents"/>
              <w:bidi w:val="0"/>
              <w:spacing w:lineRule="atLeast" w:line="250" w:before="0" w:after="0"/>
              <w:jc w:val="left"/>
              <w:rPr/>
            </w:pPr>
            <w:r>
              <w:rPr>
                <w:spacing w:val="0"/>
              </w:rPr>
              <w:t>Where can I learn the outcome of the vote?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0" w:after="283"/>
        <w:ind w:left="10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Secretary will announce the preliminary voting results at the Annual Meeting, and we will publish the final results in a current report on Form 8-K which will be filed with the Securities and Exchange Commission as soon as practicable after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210">
                <wp:simplePos x="0" y="0"/>
                <wp:positionH relativeFrom="column">
                  <wp:align>left</wp:align>
                </wp:positionH>
                <wp:positionV relativeFrom="line">
                  <wp:posOffset>635</wp:posOffset>
                </wp:positionV>
                <wp:extent cx="3276600" cy="2192020"/>
                <wp:effectExtent l="0" t="0" r="0" b="0"/>
                <wp:wrapSquare wrapText="right"/>
                <wp:docPr id="917" name="Frame607"/>
                <a:graphic xmlns:a="http://schemas.openxmlformats.org/drawingml/2006/main">
                  <a:graphicData uri="http://schemas.microsoft.com/office/word/2010/wordprocessingShape">
                    <wps:wsp>
                      <wps:cNvSpPr txBox="1"/>
                      <wps:spPr>
                        <a:xfrm>
                          <a:off x="0" y="0"/>
                          <a:ext cx="3276600" cy="2192020"/>
                        </a:xfrm>
                        <a:prstGeom prst="rect"/>
                        <a:solidFill>
                          <a:srgbClr val="FFFFFF"/>
                        </a:solidFill>
                      </wps:spPr>
                      <wps:txbx>
                        <w:txbxContent>
                          <w:p>
                            <w:pPr>
                              <w:pStyle w:val="TextBody"/>
                              <w:bidi w:val="0"/>
                              <w:spacing w:lineRule="atLeast" w:line="210" w:before="0" w:after="0"/>
                              <w:ind w:left="400" w:right="0" w:hanging="0"/>
                              <w:jc w:val="left"/>
                              <w:rPr/>
                            </w:pPr>
                            <w:r>
                              <w:rPr>
                                <w:spacing w:val="-1"/>
                              </w:rPr>
                              <w:t>By Order of the Board of Directors,</w:t>
                            </w:r>
                            <w:r>
                              <w:rPr>
                                <w:spacing w:val="4"/>
                              </w:rPr>
                              <w:t xml:space="preserve"> </w:t>
                            </w:r>
                          </w:p>
                          <w:p>
                            <w:pPr>
                              <w:pStyle w:val="TextBody"/>
                              <w:bidi w:val="0"/>
                              <w:spacing w:before="134" w:after="283"/>
                              <w:ind w:left="400" w:right="0" w:hanging="0"/>
                              <w:jc w:val="left"/>
                              <w:rPr/>
                            </w:pPr>
                            <w:r>
                              <w:rPr/>
                              <w:drawing>
                                <wp:inline distT="0" distB="0" distL="0" distR="0">
                                  <wp:extent cx="2286000" cy="457200"/>
                                  <wp:effectExtent l="0" t="0" r="0" b="0"/>
                                  <wp:docPr id="918"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301" descr=""/>
                                          <pic:cNvPicPr>
                                            <a:picLocks noChangeAspect="1" noChangeArrowheads="1"/>
                                          </pic:cNvPicPr>
                                        </pic:nvPicPr>
                                        <pic:blipFill>
                                          <a:blip r:embed="rId313"/>
                                          <a:stretch>
                                            <a:fillRect/>
                                          </a:stretch>
                                        </pic:blipFill>
                                        <pic:spPr bwMode="auto">
                                          <a:xfrm>
                                            <a:off x="0" y="0"/>
                                            <a:ext cx="2286000" cy="457200"/>
                                          </a:xfrm>
                                          <a:prstGeom prst="rect">
                                            <a:avLst/>
                                          </a:prstGeom>
                                        </pic:spPr>
                                      </pic:pic>
                                    </a:graphicData>
                                  </a:graphic>
                                </wp:inline>
                              </w:drawing>
                            </w:r>
                            <w:r>
                              <w:rPr/>
                              <w:t xml:space="preserve"> </w:t>
                            </w:r>
                          </w:p>
                          <w:p>
                            <w:pPr>
                              <w:pStyle w:val="TextBody"/>
                              <w:bidi w:val="0"/>
                              <w:spacing w:lineRule="atLeast" w:line="200" w:before="192" w:after="283"/>
                              <w:ind w:left="400" w:right="0" w:hanging="0"/>
                              <w:jc w:val="left"/>
                              <w:rPr>
                                <w:i/>
                              </w:rPr>
                            </w:pPr>
                            <w:r>
                              <w:rPr>
                                <w:b/>
                                <w:i w:val="false"/>
                                <w:caps w:val="false"/>
                                <w:smallCaps w:val="false"/>
                                <w:color w:val="002F56"/>
                                <w:spacing w:val="-2"/>
                              </w:rPr>
                              <w:t>TIMOTHY J. JORDAN</w:t>
                            </w:r>
                            <w:r>
                              <w:rPr>
                                <w:i/>
                                <w:caps w:val="false"/>
                                <w:smallCaps w:val="false"/>
                                <w:spacing w:val="-2"/>
                              </w:rPr>
                              <w:t xml:space="preserve"> </w:t>
                            </w:r>
                            <w:r>
                              <w:rPr>
                                <w:i/>
                              </w:rPr>
                              <w:br/>
                              <w:t>Vice President, General Counsel, Secretary and</w:t>
                              <w:br/>
                              <w:t>Chief Compliance Officer</w:t>
                            </w:r>
                            <w:r>
                              <w:rPr>
                                <w:i/>
                                <w:caps w:val="false"/>
                                <w:smallCaps w:val="false"/>
                                <w:spacing w:val="4"/>
                              </w:rPr>
                              <w:t xml:space="preserve"> </w:t>
                            </w:r>
                          </w:p>
                          <w:p>
                            <w:pPr>
                              <w:pStyle w:val="TextBody"/>
                              <w:bidi w:val="0"/>
                              <w:spacing w:lineRule="atLeast" w:line="200" w:before="132" w:after="283"/>
                              <w:ind w:left="400" w:right="0" w:hanging="0"/>
                              <w:jc w:val="left"/>
                              <w:rPr>
                                <w:spacing w:val="-1"/>
                              </w:rPr>
                            </w:pPr>
                            <w:r>
                              <w:rPr>
                                <w:spacing w:val="-1"/>
                              </w:rPr>
                              <w:t xml:space="preserve">New York, New York </w:t>
                              <w:br/>
                              <w:t>April 2, 2026</w:t>
                            </w:r>
                          </w:p>
                        </w:txbxContent>
                      </wps:txbx>
                      <wps:bodyPr anchor="t" lIns="0" tIns="0" rIns="0" bIns="0">
                        <a:noAutofit/>
                      </wps:bodyPr>
                    </wps:wsp>
                  </a:graphicData>
                </a:graphic>
              </wp:anchor>
            </w:drawing>
          </mc:Choice>
          <mc:Fallback>
            <w:pict>
              <v:rect style="position:absolute;rotation:-0;width:258pt;height:172.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10" w:before="0" w:after="0"/>
                        <w:ind w:left="400" w:right="0" w:hanging="0"/>
                        <w:jc w:val="left"/>
                        <w:rPr/>
                      </w:pPr>
                      <w:r>
                        <w:rPr>
                          <w:spacing w:val="-1"/>
                        </w:rPr>
                        <w:t>By Order of the Board of Directors,</w:t>
                      </w:r>
                      <w:r>
                        <w:rPr>
                          <w:spacing w:val="4"/>
                        </w:rPr>
                        <w:t xml:space="preserve"> </w:t>
                      </w:r>
                    </w:p>
                    <w:p>
                      <w:pPr>
                        <w:pStyle w:val="TextBody"/>
                        <w:bidi w:val="0"/>
                        <w:spacing w:before="134" w:after="283"/>
                        <w:ind w:left="400" w:right="0" w:hanging="0"/>
                        <w:jc w:val="left"/>
                        <w:rPr/>
                      </w:pPr>
                      <w:r>
                        <w:rPr/>
                        <w:drawing>
                          <wp:inline distT="0" distB="0" distL="0" distR="0">
                            <wp:extent cx="2286000" cy="457200"/>
                            <wp:effectExtent l="0" t="0" r="0" b="0"/>
                            <wp:docPr id="919"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Image301" descr=""/>
                                    <pic:cNvPicPr>
                                      <a:picLocks noChangeAspect="1" noChangeArrowheads="1"/>
                                    </pic:cNvPicPr>
                                  </pic:nvPicPr>
                                  <pic:blipFill>
                                    <a:blip r:embed="rId314"/>
                                    <a:stretch>
                                      <a:fillRect/>
                                    </a:stretch>
                                  </pic:blipFill>
                                  <pic:spPr bwMode="auto">
                                    <a:xfrm>
                                      <a:off x="0" y="0"/>
                                      <a:ext cx="2286000" cy="457200"/>
                                    </a:xfrm>
                                    <a:prstGeom prst="rect">
                                      <a:avLst/>
                                    </a:prstGeom>
                                  </pic:spPr>
                                </pic:pic>
                              </a:graphicData>
                            </a:graphic>
                          </wp:inline>
                        </w:drawing>
                      </w:r>
                      <w:r>
                        <w:rPr/>
                        <w:t xml:space="preserve"> </w:t>
                      </w:r>
                    </w:p>
                    <w:p>
                      <w:pPr>
                        <w:pStyle w:val="TextBody"/>
                        <w:bidi w:val="0"/>
                        <w:spacing w:lineRule="atLeast" w:line="200" w:before="192" w:after="283"/>
                        <w:ind w:left="400" w:right="0" w:hanging="0"/>
                        <w:jc w:val="left"/>
                        <w:rPr>
                          <w:i/>
                        </w:rPr>
                      </w:pPr>
                      <w:r>
                        <w:rPr>
                          <w:b/>
                          <w:i w:val="false"/>
                          <w:caps w:val="false"/>
                          <w:smallCaps w:val="false"/>
                          <w:color w:val="002F56"/>
                          <w:spacing w:val="-2"/>
                        </w:rPr>
                        <w:t>TIMOTHY J. JORDAN</w:t>
                      </w:r>
                      <w:r>
                        <w:rPr>
                          <w:i/>
                          <w:caps w:val="false"/>
                          <w:smallCaps w:val="false"/>
                          <w:spacing w:val="-2"/>
                        </w:rPr>
                        <w:t xml:space="preserve"> </w:t>
                      </w:r>
                      <w:r>
                        <w:rPr>
                          <w:i/>
                        </w:rPr>
                        <w:br/>
                        <w:t>Vice President, General Counsel, Secretary and</w:t>
                        <w:br/>
                        <w:t>Chief Compliance Officer</w:t>
                      </w:r>
                      <w:r>
                        <w:rPr>
                          <w:i/>
                          <w:caps w:val="false"/>
                          <w:smallCaps w:val="false"/>
                          <w:spacing w:val="4"/>
                        </w:rPr>
                        <w:t xml:space="preserve"> </w:t>
                      </w:r>
                    </w:p>
                    <w:p>
                      <w:pPr>
                        <w:pStyle w:val="TextBody"/>
                        <w:bidi w:val="0"/>
                        <w:spacing w:lineRule="atLeast" w:line="200" w:before="132" w:after="283"/>
                        <w:ind w:left="400" w:right="0" w:hanging="0"/>
                        <w:jc w:val="left"/>
                        <w:rPr>
                          <w:spacing w:val="-1"/>
                        </w:rPr>
                      </w:pPr>
                      <w:r>
                        <w:rPr>
                          <w:spacing w:val="-1"/>
                        </w:rPr>
                        <w:t xml:space="preserve">New York, New York </w:t>
                        <w:br/>
                        <w:t>April 2, 2026</w:t>
                      </w:r>
                    </w:p>
                  </w:txbxContent>
                </v:textbox>
                <w10:wrap type="square" side="right"/>
              </v:rect>
            </w:pict>
          </mc:Fallback>
        </mc:AlternateContent>
      </w:r>
      <w:r>
        <mc:AlternateContent>
          <mc:Choice Requires="wps">
            <w:drawing>
              <wp:anchor behindDoc="0" distT="0" distB="0" distL="647700" distR="0" simplePos="0" locked="0" layoutInCell="1" allowOverlap="1" relativeHeight="911">
                <wp:simplePos x="0" y="0"/>
                <wp:positionH relativeFrom="column">
                  <wp:align>left</wp:align>
                </wp:positionH>
                <wp:positionV relativeFrom="line">
                  <wp:posOffset>635</wp:posOffset>
                </wp:positionV>
                <wp:extent cx="2692400" cy="1464310"/>
                <wp:effectExtent l="0" t="0" r="0" b="0"/>
                <wp:wrapSquare wrapText="right"/>
                <wp:docPr id="920" name="Frame606"/>
                <a:graphic xmlns:a="http://schemas.openxmlformats.org/drawingml/2006/main">
                  <a:graphicData uri="http://schemas.microsoft.com/office/word/2010/wordprocessingShape">
                    <wps:wsp>
                      <wps:cNvSpPr txBox="1"/>
                      <wps:spPr>
                        <a:xfrm>
                          <a:off x="0" y="0"/>
                          <a:ext cx="2692400" cy="1464310"/>
                        </a:xfrm>
                        <a:prstGeom prst="rect"/>
                        <a:solidFill>
                          <a:srgbClr val="FFFFFF"/>
                        </a:solidFill>
                      </wps:spPr>
                      <wps:txbx>
                        <w:txbxContent>
                          <w:p>
                            <w:pPr>
                              <w:pStyle w:val="TextBody"/>
                              <w:bidi w:val="0"/>
                              <w:spacing w:lineRule="atLeast" w:line="210" w:before="0" w:after="0"/>
                              <w:jc w:val="left"/>
                              <w:rPr/>
                            </w:pPr>
                            <w:r>
                              <w:rPr>
                                <w:spacing w:val="-1"/>
                              </w:rPr>
                              <w:t> </w:t>
                            </w:r>
                            <w:r>
                              <w:rPr>
                                <w:spacing w:val="4"/>
                              </w:rPr>
                              <w:t xml:space="preserve"> </w:t>
                            </w:r>
                          </w:p>
                          <w:tbl>
                            <w:tblPr>
                              <w:tblW w:w="10205" w:type="dxa"/>
                              <w:jc w:val="left"/>
                              <w:tblInd w:w="0" w:type="dxa"/>
                              <w:tblLayout w:type="fixed"/>
                              <w:tblCellMar>
                                <w:top w:w="0" w:type="dxa"/>
                                <w:left w:w="0" w:type="dxa"/>
                                <w:bottom w:w="28" w:type="dxa"/>
                                <w:right w:w="0" w:type="dxa"/>
                              </w:tblCellMar>
                            </w:tblPr>
                            <w:tblGrid>
                              <w:gridCol w:w="124"/>
                              <w:gridCol w:w="9927"/>
                              <w:gridCol w:w="154"/>
                            </w:tblGrid>
                            <w:tr>
                              <w:trPr/>
                              <w:tc>
                                <w:tcPr>
                                  <w:tcW w:w="124" w:type="dxa"/>
                                  <w:tcBorders>
                                    <w:bottom w:val="single" w:sz="6" w:space="0" w:color="DF0000"/>
                                  </w:tcBorders>
                                  <w:shd w:fill="71B1C8" w:val="clear"/>
                                  <w:vAlign w:val="center"/>
                                </w:tcPr>
                                <w:p>
                                  <w:pPr>
                                    <w:pStyle w:val="TableContents"/>
                                    <w:bidi w:val="0"/>
                                    <w:spacing w:before="0" w:after="283"/>
                                    <w:jc w:val="left"/>
                                    <w:rPr/>
                                  </w:pPr>
                                  <w:r>
                                    <w:rPr/>
                                    <w:t>​</w:t>
                                  </w:r>
                                </w:p>
                              </w:tc>
                              <w:tc>
                                <w:tcPr>
                                  <w:tcW w:w="9927" w:type="dxa"/>
                                  <w:tcBorders>
                                    <w:bottom w:val="single" w:sz="6" w:space="0" w:color="DF0000"/>
                                  </w:tcBorders>
                                  <w:shd w:fill="71B1C8" w:val="clear"/>
                                  <w:tcMar>
                                    <w:bottom w:w="76" w:type="dxa"/>
                                  </w:tcMar>
                                  <w:vAlign w:val="center"/>
                                </w:tcPr>
                                <w:p>
                                  <w:pPr>
                                    <w:pStyle w:val="TableContents"/>
                                    <w:bidi w:val="0"/>
                                    <w:spacing w:lineRule="atLeast" w:line="210" w:before="0" w:after="0"/>
                                    <w:jc w:val="center"/>
                                    <w:rPr/>
                                  </w:pPr>
                                  <w:r>
                                    <w:rPr>
                                      <w:spacing w:val="-6"/>
                                    </w:rPr>
                                    <w:t xml:space="preserve">IMPORTANT NOTICE REGARDING THE AVAILABILITY </w:t>
                                    <w:br/>
                                    <w:t xml:space="preserve">OF PROXY MATERIALS FOR THE MINERALS </w:t>
                                    <w:br/>
                                    <w:t xml:space="preserve">TECHNOLOGIES INC. ANNUAL MEETING OF </w:t>
                                    <w:br/>
                                    <w:t>SHAREHOLDERS TO BE HELD ON MAY 20, 2026</w:t>
                                  </w:r>
                                  <w:r>
                                    <w:rPr/>
                                    <w:t xml:space="preserve"> </w:t>
                                  </w:r>
                                </w:p>
                              </w:tc>
                              <w:tc>
                                <w:tcPr>
                                  <w:tcW w:w="154" w:type="dxa"/>
                                  <w:tcBorders>
                                    <w:bottom w:val="single" w:sz="6" w:space="0" w:color="DF0000"/>
                                  </w:tcBorders>
                                  <w:shd w:fill="71B1C8"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9927" w:type="dxa"/>
                                  <w:tcBorders/>
                                  <w:shd w:fill="71B1C8" w:val="clear"/>
                                  <w:tcMar>
                                    <w:bottom w:w="0" w:type="dxa"/>
                                  </w:tcMar>
                                  <w:vAlign w:val="center"/>
                                </w:tcPr>
                                <w:p>
                                  <w:pPr>
                                    <w:pStyle w:val="TableContents"/>
                                    <w:bidi w:val="0"/>
                                    <w:spacing w:lineRule="atLeast" w:line="177" w:before="0" w:after="0"/>
                                    <w:jc w:val="center"/>
                                    <w:rPr/>
                                  </w:pPr>
                                  <w:r>
                                    <w:rPr>
                                      <w:spacing w:val="-1"/>
                                    </w:rPr>
                                    <w:t xml:space="preserve">The 2026 Proxy Statement and 2025 Annual Report to Shareholders are available at </w:t>
                                  </w:r>
                                  <w:r>
                                    <w:rPr>
                                      <w:color w:val="002F56"/>
                                      <w:spacing w:val="-1"/>
                                    </w:rPr>
                                    <w:t>www.proxyvote.com</w:t>
                                  </w:r>
                                  <w:r>
                                    <w:rPr/>
                                    <w:t xml:space="preserve"> </w:t>
                                  </w:r>
                                </w:p>
                              </w:tc>
                              <w:tc>
                                <w:tcPr>
                                  <w:tcW w:w="154" w:type="dxa"/>
                                  <w:tcBorders/>
                                  <w:shd w:fill="71B1C8"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2pt;height:115.3pt;mso-wrap-distance-left:51pt;mso-wrap-distance-right:0pt;mso-wrap-distance-top:0pt;mso-wrap-distance-bottom:0pt;margin-top:0pt;mso-position-vertical:top;mso-position-vertical-relative:text;margin-left:51pt;mso-position-horizontal:left;mso-position-horizontal-relative:text">
                <v:textbox>
                  <w:txbxContent>
                    <w:p>
                      <w:pPr>
                        <w:pStyle w:val="TextBody"/>
                        <w:bidi w:val="0"/>
                        <w:spacing w:lineRule="atLeast" w:line="210" w:before="0" w:after="0"/>
                        <w:jc w:val="left"/>
                        <w:rPr/>
                      </w:pPr>
                      <w:r>
                        <w:rPr>
                          <w:spacing w:val="-1"/>
                        </w:rPr>
                        <w:t> </w:t>
                      </w:r>
                      <w:r>
                        <w:rPr>
                          <w:spacing w:val="4"/>
                        </w:rPr>
                        <w:t xml:space="preserve"> </w:t>
                      </w:r>
                    </w:p>
                    <w:tbl>
                      <w:tblPr>
                        <w:tblW w:w="10205" w:type="dxa"/>
                        <w:jc w:val="left"/>
                        <w:tblInd w:w="0" w:type="dxa"/>
                        <w:tblLayout w:type="fixed"/>
                        <w:tblCellMar>
                          <w:top w:w="0" w:type="dxa"/>
                          <w:left w:w="0" w:type="dxa"/>
                          <w:bottom w:w="28" w:type="dxa"/>
                          <w:right w:w="0" w:type="dxa"/>
                        </w:tblCellMar>
                      </w:tblPr>
                      <w:tblGrid>
                        <w:gridCol w:w="124"/>
                        <w:gridCol w:w="9927"/>
                        <w:gridCol w:w="154"/>
                      </w:tblGrid>
                      <w:tr>
                        <w:trPr/>
                        <w:tc>
                          <w:tcPr>
                            <w:tcW w:w="124" w:type="dxa"/>
                            <w:tcBorders>
                              <w:bottom w:val="single" w:sz="6" w:space="0" w:color="DF0000"/>
                            </w:tcBorders>
                            <w:shd w:fill="71B1C8" w:val="clear"/>
                            <w:vAlign w:val="center"/>
                          </w:tcPr>
                          <w:p>
                            <w:pPr>
                              <w:pStyle w:val="TableContents"/>
                              <w:bidi w:val="0"/>
                              <w:spacing w:before="0" w:after="283"/>
                              <w:jc w:val="left"/>
                              <w:rPr/>
                            </w:pPr>
                            <w:r>
                              <w:rPr/>
                              <w:t>​</w:t>
                            </w:r>
                          </w:p>
                        </w:tc>
                        <w:tc>
                          <w:tcPr>
                            <w:tcW w:w="9927" w:type="dxa"/>
                            <w:tcBorders>
                              <w:bottom w:val="single" w:sz="6" w:space="0" w:color="DF0000"/>
                            </w:tcBorders>
                            <w:shd w:fill="71B1C8" w:val="clear"/>
                            <w:tcMar>
                              <w:bottom w:w="76" w:type="dxa"/>
                            </w:tcMar>
                            <w:vAlign w:val="center"/>
                          </w:tcPr>
                          <w:p>
                            <w:pPr>
                              <w:pStyle w:val="TableContents"/>
                              <w:bidi w:val="0"/>
                              <w:spacing w:lineRule="atLeast" w:line="210" w:before="0" w:after="0"/>
                              <w:jc w:val="center"/>
                              <w:rPr/>
                            </w:pPr>
                            <w:r>
                              <w:rPr>
                                <w:spacing w:val="-6"/>
                              </w:rPr>
                              <w:t xml:space="preserve">IMPORTANT NOTICE REGARDING THE AVAILABILITY </w:t>
                              <w:br/>
                              <w:t xml:space="preserve">OF PROXY MATERIALS FOR THE MINERALS </w:t>
                              <w:br/>
                              <w:t xml:space="preserve">TECHNOLOGIES INC. ANNUAL MEETING OF </w:t>
                              <w:br/>
                              <w:t>SHAREHOLDERS TO BE HELD ON MAY 20, 2026</w:t>
                            </w:r>
                            <w:r>
                              <w:rPr/>
                              <w:t xml:space="preserve"> </w:t>
                            </w:r>
                          </w:p>
                        </w:tc>
                        <w:tc>
                          <w:tcPr>
                            <w:tcW w:w="154" w:type="dxa"/>
                            <w:tcBorders>
                              <w:bottom w:val="single" w:sz="6" w:space="0" w:color="DF0000"/>
                            </w:tcBorders>
                            <w:shd w:fill="71B1C8" w:val="clear"/>
                            <w:vAlign w:val="center"/>
                          </w:tcPr>
                          <w:p>
                            <w:pPr>
                              <w:pStyle w:val="TableContents"/>
                              <w:bidi w:val="0"/>
                              <w:spacing w:before="0" w:after="283"/>
                              <w:jc w:val="left"/>
                              <w:rPr/>
                            </w:pPr>
                            <w:r>
                              <w:rPr/>
                              <w:t>​</w:t>
                            </w:r>
                          </w:p>
                        </w:tc>
                      </w:tr>
                      <w:tr>
                        <w:trPr/>
                        <w:tc>
                          <w:tcPr>
                            <w:tcW w:w="124" w:type="dxa"/>
                            <w:tcBorders/>
                            <w:shd w:fill="71B1C8" w:val="clear"/>
                            <w:tcMar>
                              <w:bottom w:w="0" w:type="dxa"/>
                            </w:tcMar>
                            <w:vAlign w:val="center"/>
                          </w:tcPr>
                          <w:p>
                            <w:pPr>
                              <w:pStyle w:val="TableContents"/>
                              <w:bidi w:val="0"/>
                              <w:spacing w:before="0" w:after="283"/>
                              <w:jc w:val="left"/>
                              <w:rPr/>
                            </w:pPr>
                            <w:r>
                              <w:rPr/>
                              <w:t>​</w:t>
                            </w:r>
                          </w:p>
                        </w:tc>
                        <w:tc>
                          <w:tcPr>
                            <w:tcW w:w="9927" w:type="dxa"/>
                            <w:tcBorders/>
                            <w:shd w:fill="71B1C8" w:val="clear"/>
                            <w:tcMar>
                              <w:bottom w:w="0" w:type="dxa"/>
                            </w:tcMar>
                            <w:vAlign w:val="center"/>
                          </w:tcPr>
                          <w:p>
                            <w:pPr>
                              <w:pStyle w:val="TableContents"/>
                              <w:bidi w:val="0"/>
                              <w:spacing w:lineRule="atLeast" w:line="177" w:before="0" w:after="0"/>
                              <w:jc w:val="center"/>
                              <w:rPr/>
                            </w:pPr>
                            <w:r>
                              <w:rPr>
                                <w:spacing w:val="-1"/>
                              </w:rPr>
                              <w:t xml:space="preserve">The 2026 Proxy Statement and 2025 Annual Report to Shareholders are available at </w:t>
                            </w:r>
                            <w:r>
                              <w:rPr>
                                <w:color w:val="002F56"/>
                                <w:spacing w:val="-1"/>
                              </w:rPr>
                              <w:t>www.proxyvote.com</w:t>
                            </w:r>
                            <w:r>
                              <w:rPr/>
                              <w:t xml:space="preserve"> </w:t>
                            </w:r>
                          </w:p>
                        </w:tc>
                        <w:tc>
                          <w:tcPr>
                            <w:tcW w:w="154" w:type="dxa"/>
                            <w:tcBorders/>
                            <w:shd w:fill="71B1C8"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81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AAAI"/>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600" w:before="840" w:after="283"/>
        <w:ind w:left="1020" w:right="0" w:hanging="0"/>
        <w:jc w:val="left"/>
        <w:rPr>
          <w:rFonts w:ascii="Arial;Helvetica;sans-serif" w:hAnsi="Arial;Helvetica;sans-serif"/>
          <w:b w:val="false"/>
          <w:i w:val="false"/>
          <w:caps w:val="false"/>
          <w:smallCaps w:val="false"/>
          <w:color w:val="3F3F3F"/>
          <w:sz w:val="52"/>
        </w:rPr>
      </w:pPr>
      <w:r>
        <w:rPr>
          <w:rFonts w:ascii="Arial;Helvetica;sans-serif" w:hAnsi="Arial;Helvetica;sans-serif"/>
          <w:b w:val="false"/>
          <w:i w:val="false"/>
          <w:caps/>
          <w:color w:val="3F3F3F"/>
          <w:spacing w:val="-3"/>
          <w:sz w:val="52"/>
        </w:rPr>
        <w:t xml:space="preserve">APPENDIX A — ADDITIONAL INFORMATION </w:t>
        <w:br/>
        <w:t>REGARDING NON-GAAP FINANCIAL MEASURES (UNAUDITED)</w:t>
      </w:r>
      <w:r>
        <w:rPr>
          <w:rFonts w:ascii="Arial;Helvetica;sans-serif" w:hAnsi="Arial;Helvetica;sans-serif"/>
          <w:b w:val="false"/>
          <w:i w:val="false"/>
          <w:caps w:val="false"/>
          <w:smallCaps w:val="false"/>
          <w:color w:val="000000"/>
          <w:spacing w:val="10"/>
          <w:sz w:val="52"/>
        </w:rPr>
        <w:t xml:space="preserve"> </w:t>
      </w:r>
    </w:p>
    <w:p>
      <w:pPr>
        <w:pStyle w:val="TextBody"/>
        <w:bidi w:val="0"/>
        <w:spacing w:lineRule="atLeast" w:line="210" w:before="28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The information set forth in the Proxy Summary and the Compensation Discussion and Analysis present financial measures of the Company that exclude certain special items and are therefore not in accordance with GAAP. The following is a presentation of the Company’s non-GAAP net income and operating income, excluding special items, and free cash flow for the years ended December 31, 2025, 2024, 2023, 2022, and 2021, as well as sales on an underlying basis (excluding sales of an exited business) for the years ended December 31, 2023, 2022, and 2021. The following also presents a reconciliation to GAAP net income, operating income, cash flow from operations, and sales, respectively, for such periods. The Company’s management believes these non-GAAP measures provide meaningful supplemental information regarding its performance as inclusion of such special items are not indicative of the ongoing operating results and thereby affect the comparability of results between periods. The Company feels inclusion of these non-GAAP measures also provides consistency in its financial reporting and facilitates investors’ understanding of historic operating trends.</w:t>
      </w:r>
      <w:r>
        <w:rPr>
          <w:rFonts w:ascii="Arial;Helvetica;sans-serif" w:hAnsi="Arial;Helvetica;sans-serif"/>
          <w:b w:val="false"/>
          <w:i w:val="false"/>
          <w:caps w:val="false"/>
          <w:smallCaps w:val="false"/>
          <w:color w:val="000000"/>
          <w:spacing w:val="4"/>
          <w:sz w:val="18"/>
        </w:rPr>
        <w:t xml:space="preserve"> </w:t>
      </w:r>
    </w:p>
    <w:tbl>
      <w:tblPr>
        <w:tblW w:w="9185" w:type="dxa"/>
        <w:jc w:val="left"/>
        <w:tblInd w:w="1020" w:type="dxa"/>
        <w:tblLayout w:type="fixed"/>
        <w:tblCellMar>
          <w:top w:w="0" w:type="dxa"/>
          <w:left w:w="0" w:type="dxa"/>
          <w:bottom w:w="28" w:type="dxa"/>
          <w:right w:w="0" w:type="dxa"/>
        </w:tblCellMar>
      </w:tblPr>
      <w:tblGrid>
        <w:gridCol w:w="124"/>
        <w:gridCol w:w="2832"/>
        <w:gridCol w:w="109"/>
        <w:gridCol w:w="109"/>
        <w:gridCol w:w="109"/>
        <w:gridCol w:w="109"/>
        <w:gridCol w:w="741"/>
        <w:gridCol w:w="109"/>
        <w:gridCol w:w="109"/>
        <w:gridCol w:w="109"/>
        <w:gridCol w:w="109"/>
        <w:gridCol w:w="109"/>
        <w:gridCol w:w="654"/>
        <w:gridCol w:w="109"/>
        <w:gridCol w:w="109"/>
        <w:gridCol w:w="109"/>
        <w:gridCol w:w="109"/>
        <w:gridCol w:w="109"/>
        <w:gridCol w:w="654"/>
        <w:gridCol w:w="109"/>
        <w:gridCol w:w="109"/>
        <w:gridCol w:w="109"/>
        <w:gridCol w:w="109"/>
        <w:gridCol w:w="109"/>
        <w:gridCol w:w="654"/>
        <w:gridCol w:w="109"/>
        <w:gridCol w:w="109"/>
        <w:gridCol w:w="109"/>
        <w:gridCol w:w="109"/>
        <w:gridCol w:w="109"/>
        <w:gridCol w:w="646"/>
        <w:gridCol w:w="109"/>
        <w:gridCol w:w="155"/>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2832"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5856" w:type="dxa"/>
            <w:gridSpan w:val="28"/>
            <w:tcBorders>
              <w:bottom w:val="single" w:sz="6" w:space="0" w:color="71B1C8"/>
            </w:tcBorders>
            <w:shd w:fill="002F56" w:val="clear"/>
            <w:tcMar>
              <w:bottom w:w="56" w:type="dxa"/>
            </w:tcMar>
            <w:vAlign w:val="center"/>
          </w:tcPr>
          <w:p>
            <w:pPr>
              <w:pStyle w:val="TableContents"/>
              <w:bidi w:val="0"/>
              <w:spacing w:before="0" w:after="0"/>
              <w:jc w:val="center"/>
              <w:rPr>
                <w:spacing w:val="0"/>
              </w:rPr>
            </w:pPr>
            <w:r>
              <w:rPr>
                <w:spacing w:val="0"/>
              </w:rPr>
              <w:t xml:space="preserve">Year Ended December 31, </w:t>
            </w:r>
          </w:p>
        </w:tc>
        <w:tc>
          <w:tcPr>
            <w:tcW w:w="155"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2832" w:type="dxa"/>
            <w:tcBorders/>
            <w:shd w:fill="002F56" w:val="clear"/>
            <w:tcMar>
              <w:bottom w:w="0" w:type="dxa"/>
            </w:tcMar>
            <w:vAlign w:val="center"/>
          </w:tcPr>
          <w:p>
            <w:pPr>
              <w:pStyle w:val="TableContents"/>
              <w:bidi w:val="0"/>
              <w:spacing w:before="0" w:after="0"/>
              <w:jc w:val="left"/>
              <w:rPr>
                <w:i/>
              </w:rPr>
            </w:pPr>
            <w:r>
              <w:rPr>
                <w:i/>
              </w:rPr>
              <w:t xml:space="preserve">(millions of dollars, except per share data)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68"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2025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981"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2024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981"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2023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981"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2022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973"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2021 </w:t>
              <w:br/>
              <w:t xml:space="preserve">($) </w:t>
            </w:r>
          </w:p>
        </w:tc>
        <w:tc>
          <w:tcPr>
            <w:tcW w:w="155"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283"/>
              <w:jc w:val="left"/>
              <w:rPr/>
            </w:pPr>
            <w:r>
              <w:rPr>
                <w:spacing w:val="0"/>
              </w:rPr>
              <w:t xml:space="preserve">Net income </w:t>
            </w:r>
            <w:r>
              <w:rPr>
                <w:spacing w:val="-2"/>
              </w:rPr>
              <w:t>(</w:t>
            </w:r>
            <w:r>
              <w:rPr>
                <w:spacing w:val="0"/>
              </w:rPr>
              <w:t>loss</w:t>
            </w:r>
            <w:r>
              <w:rPr>
                <w:spacing w:val="-2"/>
              </w:rPr>
              <w:t xml:space="preserve">) </w:t>
            </w:r>
            <w:r>
              <w:rPr>
                <w:spacing w:val="0"/>
              </w:rPr>
              <w:t>attributable to MTI</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(18.4)</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167.1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84.1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122.2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164.4</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283"/>
              <w:jc w:val="left"/>
              <w:rPr>
                <w:spacing w:val="-1"/>
              </w:rPr>
            </w:pPr>
            <w:r>
              <w:rPr>
                <w:spacing w:val="-1"/>
              </w:rPr>
              <w:t xml:space="preserve">Special items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741"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4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Acquisition-related expenses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0.3</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5.1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4.0</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pPr>
            <w:r>
              <w:rPr>
                <w:spacing w:val="-1"/>
              </w:rPr>
              <w:t>Restructuring and other items</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15.0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6.9</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1.1</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Impairment of assets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71.7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Litigation expenses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19.6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11.3</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29.2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32.6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Provision for litigation accrual and credit losses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215.0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30.0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Debt extinguishment expenses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1.8</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6.9</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Non-cash pension settlement charge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3.5</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1.8</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Gain on sale of assets, net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(9.9)</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(12.3)</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832" w:type="dxa"/>
            <w:tcBorders>
              <w:bottom w:val="single" w:sz="6" w:space="0" w:color="002F56"/>
            </w:tcBorders>
            <w:tcMar>
              <w:bottom w:w="46" w:type="dxa"/>
            </w:tcMar>
            <w:vAlign w:val="center"/>
          </w:tcPr>
          <w:p>
            <w:pPr>
              <w:pStyle w:val="TableContents"/>
              <w:bidi w:val="0"/>
              <w:spacing w:before="0" w:after="0"/>
              <w:ind w:left="160" w:right="0" w:hanging="0"/>
              <w:jc w:val="left"/>
              <w:rPr>
                <w:spacing w:val="-1"/>
              </w:rPr>
            </w:pPr>
            <w:r>
              <w:rPr>
                <w:spacing w:val="-1"/>
              </w:rPr>
              <w:t xml:space="preserve">Related tax effects on special items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741" w:type="dxa"/>
            <w:tcBorders>
              <w:bottom w:val="single" w:sz="6" w:space="0" w:color="002F56"/>
            </w:tcBorders>
            <w:tcMar>
              <w:bottom w:w="46" w:type="dxa"/>
            </w:tcMar>
            <w:vAlign w:val="center"/>
          </w:tcPr>
          <w:p>
            <w:pPr>
              <w:pStyle w:val="TableContents"/>
              <w:bidi w:val="0"/>
              <w:spacing w:before="0" w:after="283"/>
              <w:jc w:val="right"/>
              <w:rPr/>
            </w:pPr>
            <w:r>
              <w:rPr/>
              <w:t>(47.9)</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0.9</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(22.3)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(10.2)</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46" w:type="dxa"/>
            <w:tcBorders>
              <w:bottom w:val="single" w:sz="6" w:space="0" w:color="002F56"/>
            </w:tcBorders>
            <w:tcMar>
              <w:bottom w:w="46" w:type="dxa"/>
            </w:tcMar>
            <w:vAlign w:val="center"/>
          </w:tcPr>
          <w:p>
            <w:pPr>
              <w:pStyle w:val="TableContents"/>
              <w:bidi w:val="0"/>
              <w:spacing w:before="0" w:after="283"/>
              <w:jc w:val="right"/>
              <w:rPr/>
            </w:pPr>
            <w:r>
              <w:rPr/>
              <w:t>(1.6)</w:t>
            </w:r>
          </w:p>
        </w:tc>
        <w:tc>
          <w:tcPr>
            <w:tcW w:w="109" w:type="dxa"/>
            <w:tcBorders>
              <w:bottom w:val="single" w:sz="6" w:space="0" w:color="002F56"/>
            </w:tcBorders>
            <w:vAlign w:val="center"/>
          </w:tcPr>
          <w:p>
            <w:pPr>
              <w:pStyle w:val="TableContents"/>
              <w:bidi w:val="0"/>
              <w:spacing w:before="0" w:after="283"/>
              <w:jc w:val="left"/>
              <w:rPr/>
            </w:pPr>
            <w:r>
              <w:rPr/>
              <w:t>​</w:t>
            </w:r>
          </w:p>
        </w:tc>
        <w:tc>
          <w:tcPr>
            <w:tcW w:w="155"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2" w:space="0" w:color="71B1C8"/>
            </w:tcBorders>
            <w:vAlign w:val="center"/>
          </w:tcPr>
          <w:p>
            <w:pPr>
              <w:pStyle w:val="TableContents"/>
              <w:bidi w:val="0"/>
              <w:spacing w:before="0" w:after="283"/>
              <w:jc w:val="left"/>
              <w:rPr/>
            </w:pPr>
            <w:r>
              <w:rPr/>
              <w:t>​</w:t>
            </w:r>
          </w:p>
        </w:tc>
        <w:tc>
          <w:tcPr>
            <w:tcW w:w="2832" w:type="dxa"/>
            <w:tcBorders>
              <w:bottom w:val="single" w:sz="2" w:space="0" w:color="71B1C8"/>
            </w:tcBorders>
            <w:tcMar>
              <w:bottom w:w="46" w:type="dxa"/>
            </w:tcMar>
            <w:vAlign w:val="center"/>
          </w:tcPr>
          <w:p>
            <w:pPr>
              <w:pStyle w:val="TableContents"/>
              <w:bidi w:val="0"/>
              <w:spacing w:before="0" w:after="283"/>
              <w:jc w:val="left"/>
              <w:rPr/>
            </w:pPr>
            <w:r>
              <w:rPr>
                <w:spacing w:val="0"/>
              </w:rPr>
              <w:t>Net income attributable to MTI, excluding special items</w:t>
            </w:r>
            <w:r>
              <w:rPr/>
              <w:t xml:space="preserve">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741" w:type="dxa"/>
            <w:tcBorders>
              <w:bottom w:val="single" w:sz="2" w:space="0" w:color="71B1C8"/>
            </w:tcBorders>
            <w:tcMar>
              <w:bottom w:w="46" w:type="dxa"/>
            </w:tcMar>
            <w:vAlign w:val="center"/>
          </w:tcPr>
          <w:p>
            <w:pPr>
              <w:pStyle w:val="TableContents"/>
              <w:bidi w:val="0"/>
              <w:spacing w:before="0" w:after="283"/>
              <w:jc w:val="right"/>
              <w:rPr/>
            </w:pPr>
            <w:r>
              <w:rPr/>
              <w:t>173.4</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198.8</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169.9</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160.1</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46" w:type="dxa"/>
            <w:tcBorders>
              <w:bottom w:val="single" w:sz="2" w:space="0" w:color="71B1C8"/>
            </w:tcBorders>
            <w:tcMar>
              <w:bottom w:w="46" w:type="dxa"/>
            </w:tcMar>
            <w:vAlign w:val="center"/>
          </w:tcPr>
          <w:p>
            <w:pPr>
              <w:pStyle w:val="TableContents"/>
              <w:bidi w:val="0"/>
              <w:spacing w:before="0" w:after="283"/>
              <w:jc w:val="right"/>
              <w:rPr/>
            </w:pPr>
            <w:r>
              <w:rPr/>
              <w:t>169.7</w:t>
            </w:r>
          </w:p>
        </w:tc>
        <w:tc>
          <w:tcPr>
            <w:tcW w:w="109" w:type="dxa"/>
            <w:tcBorders>
              <w:bottom w:val="single" w:sz="2" w:space="0" w:color="71B1C8"/>
            </w:tcBorders>
            <w:vAlign w:val="center"/>
          </w:tcPr>
          <w:p>
            <w:pPr>
              <w:pStyle w:val="TableContents"/>
              <w:bidi w:val="0"/>
              <w:spacing w:before="0" w:after="283"/>
              <w:jc w:val="left"/>
              <w:rPr/>
            </w:pPr>
            <w:r>
              <w:rPr/>
              <w:t>​</w:t>
            </w:r>
          </w:p>
        </w:tc>
        <w:tc>
          <w:tcPr>
            <w:tcW w:w="155" w:type="dxa"/>
            <w:tcBorders>
              <w:bottom w:val="single" w:sz="2" w:space="0" w:color="71B1C8"/>
            </w:tcBorders>
            <w:vAlign w:val="center"/>
          </w:tcPr>
          <w:p>
            <w:pPr>
              <w:pStyle w:val="TableContents"/>
              <w:bidi w:val="0"/>
              <w:spacing w:before="0" w:after="283"/>
              <w:jc w:val="left"/>
              <w:rPr/>
            </w:pPr>
            <w:r>
              <w:rPr/>
              <w:t>​</w:t>
            </w:r>
          </w:p>
        </w:tc>
      </w:tr>
      <w:tr>
        <w:trPr/>
        <w:tc>
          <w:tcPr>
            <w:tcW w:w="124" w:type="dxa"/>
            <w:tcBorders>
              <w:bottom w:val="single" w:sz="2" w:space="0" w:color="71B1C8"/>
            </w:tcBorders>
            <w:vAlign w:val="center"/>
          </w:tcPr>
          <w:p>
            <w:pPr>
              <w:pStyle w:val="TableContents"/>
              <w:bidi w:val="0"/>
              <w:spacing w:before="0" w:after="283"/>
              <w:jc w:val="left"/>
              <w:rPr/>
            </w:pPr>
            <w:r>
              <w:rPr/>
              <w:t>​</w:t>
            </w:r>
          </w:p>
        </w:tc>
        <w:tc>
          <w:tcPr>
            <w:tcW w:w="2832" w:type="dxa"/>
            <w:tcBorders>
              <w:bottom w:val="single" w:sz="2" w:space="0" w:color="71B1C8"/>
            </w:tcBorders>
            <w:tcMar>
              <w:bottom w:w="46" w:type="dxa"/>
            </w:tcMar>
            <w:vAlign w:val="center"/>
          </w:tcPr>
          <w:p>
            <w:pPr>
              <w:pStyle w:val="TableContents"/>
              <w:bidi w:val="0"/>
              <w:spacing w:before="0" w:after="283"/>
              <w:jc w:val="left"/>
              <w:rPr/>
            </w:pPr>
            <w:r>
              <w:rPr>
                <w:spacing w:val="0"/>
              </w:rPr>
              <w:t>Diluted earnings per share, excluding special items</w:t>
            </w:r>
            <w:r>
              <w:rPr/>
              <w:t xml:space="preserve">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741" w:type="dxa"/>
            <w:tcBorders>
              <w:bottom w:val="single" w:sz="2" w:space="0" w:color="71B1C8"/>
            </w:tcBorders>
            <w:tcMar>
              <w:bottom w:w="46" w:type="dxa"/>
            </w:tcMar>
            <w:vAlign w:val="center"/>
          </w:tcPr>
          <w:p>
            <w:pPr>
              <w:pStyle w:val="TableContents"/>
              <w:bidi w:val="0"/>
              <w:spacing w:before="0" w:after="283"/>
              <w:jc w:val="right"/>
              <w:rPr/>
            </w:pPr>
            <w:r>
              <w:rPr/>
              <w:t>5.52</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6.15</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5.21</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4.88</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46" w:type="dxa"/>
            <w:tcBorders>
              <w:bottom w:val="single" w:sz="2" w:space="0" w:color="71B1C8"/>
            </w:tcBorders>
            <w:tcMar>
              <w:bottom w:w="46" w:type="dxa"/>
            </w:tcMar>
            <w:vAlign w:val="center"/>
          </w:tcPr>
          <w:p>
            <w:pPr>
              <w:pStyle w:val="TableContents"/>
              <w:bidi w:val="0"/>
              <w:spacing w:before="0" w:after="283"/>
              <w:jc w:val="right"/>
              <w:rPr/>
            </w:pPr>
            <w:r>
              <w:rPr/>
              <w:t>5.02</w:t>
            </w:r>
          </w:p>
        </w:tc>
        <w:tc>
          <w:tcPr>
            <w:tcW w:w="109" w:type="dxa"/>
            <w:tcBorders>
              <w:bottom w:val="single" w:sz="2" w:space="0" w:color="71B1C8"/>
            </w:tcBorders>
            <w:vAlign w:val="center"/>
          </w:tcPr>
          <w:p>
            <w:pPr>
              <w:pStyle w:val="TableContents"/>
              <w:bidi w:val="0"/>
              <w:spacing w:before="0" w:after="283"/>
              <w:jc w:val="left"/>
              <w:rPr/>
            </w:pPr>
            <w:r>
              <w:rPr/>
              <w:t>​</w:t>
            </w:r>
          </w:p>
        </w:tc>
        <w:tc>
          <w:tcPr>
            <w:tcW w:w="155" w:type="dxa"/>
            <w:tcBorders>
              <w:bottom w:val="single" w:sz="2" w:space="0" w:color="71B1C8"/>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283"/>
              <w:jc w:val="left"/>
              <w:rPr>
                <w:spacing w:val="-1"/>
              </w:rPr>
            </w:pPr>
            <w:r>
              <w:rPr>
                <w:spacing w:val="-1"/>
              </w:rPr>
              <w:t xml:space="preserve">Net income attributable to MTI, excluding special items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173.4</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198.8</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169.9</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160.1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169.7</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832" w:type="dxa"/>
            <w:tcBorders>
              <w:bottom w:val="single" w:sz="6" w:space="0" w:color="002F56"/>
            </w:tcBorders>
            <w:tcMar>
              <w:bottom w:w="46" w:type="dxa"/>
            </w:tcMar>
            <w:vAlign w:val="center"/>
          </w:tcPr>
          <w:p>
            <w:pPr>
              <w:pStyle w:val="TableContents"/>
              <w:bidi w:val="0"/>
              <w:spacing w:before="0" w:after="283"/>
              <w:jc w:val="left"/>
              <w:rPr>
                <w:spacing w:val="-1"/>
              </w:rPr>
            </w:pPr>
            <w:r>
              <w:rPr>
                <w:spacing w:val="-1"/>
              </w:rPr>
              <w:t xml:space="preserve">Net income attributable to non-controlling interests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741" w:type="dxa"/>
            <w:tcBorders>
              <w:bottom w:val="single" w:sz="6" w:space="0" w:color="002F56"/>
            </w:tcBorders>
            <w:tcMar>
              <w:bottom w:w="46" w:type="dxa"/>
            </w:tcMar>
            <w:vAlign w:val="center"/>
          </w:tcPr>
          <w:p>
            <w:pPr>
              <w:pStyle w:val="TableContents"/>
              <w:bidi w:val="0"/>
              <w:spacing w:before="0" w:after="283"/>
              <w:jc w:val="right"/>
              <w:rPr/>
            </w:pPr>
            <w:r>
              <w:rPr/>
              <w:t>4.4</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3.8</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4.2</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4.1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46" w:type="dxa"/>
            <w:tcBorders>
              <w:bottom w:val="single" w:sz="6" w:space="0" w:color="002F56"/>
            </w:tcBorders>
            <w:tcMar>
              <w:bottom w:w="46" w:type="dxa"/>
            </w:tcMar>
            <w:vAlign w:val="center"/>
          </w:tcPr>
          <w:p>
            <w:pPr>
              <w:pStyle w:val="TableContents"/>
              <w:bidi w:val="0"/>
              <w:spacing w:before="0" w:after="283"/>
              <w:jc w:val="right"/>
              <w:rPr/>
            </w:pPr>
            <w:r>
              <w:rPr/>
              <w:t>4.1</w:t>
            </w:r>
          </w:p>
        </w:tc>
        <w:tc>
          <w:tcPr>
            <w:tcW w:w="109" w:type="dxa"/>
            <w:tcBorders>
              <w:bottom w:val="single" w:sz="6" w:space="0" w:color="002F56"/>
            </w:tcBorders>
            <w:vAlign w:val="center"/>
          </w:tcPr>
          <w:p>
            <w:pPr>
              <w:pStyle w:val="TableContents"/>
              <w:bidi w:val="0"/>
              <w:spacing w:before="0" w:after="283"/>
              <w:jc w:val="left"/>
              <w:rPr/>
            </w:pPr>
            <w:r>
              <w:rPr/>
              <w:t>​</w:t>
            </w:r>
          </w:p>
        </w:tc>
        <w:tc>
          <w:tcPr>
            <w:tcW w:w="155"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2" w:space="0" w:color="71B1C8"/>
            </w:tcBorders>
            <w:vAlign w:val="center"/>
          </w:tcPr>
          <w:p>
            <w:pPr>
              <w:pStyle w:val="TableContents"/>
              <w:bidi w:val="0"/>
              <w:spacing w:before="0" w:after="283"/>
              <w:jc w:val="left"/>
              <w:rPr/>
            </w:pPr>
            <w:r>
              <w:rPr/>
              <w:t>​</w:t>
            </w:r>
          </w:p>
        </w:tc>
        <w:tc>
          <w:tcPr>
            <w:tcW w:w="2832" w:type="dxa"/>
            <w:tcBorders>
              <w:bottom w:val="single" w:sz="2" w:space="0" w:color="71B1C8"/>
            </w:tcBorders>
            <w:tcMar>
              <w:bottom w:w="46" w:type="dxa"/>
            </w:tcMar>
            <w:vAlign w:val="center"/>
          </w:tcPr>
          <w:p>
            <w:pPr>
              <w:pStyle w:val="TableContents"/>
              <w:bidi w:val="0"/>
              <w:spacing w:before="0" w:after="283"/>
              <w:jc w:val="left"/>
              <w:rPr/>
            </w:pPr>
            <w:r>
              <w:rPr>
                <w:spacing w:val="0"/>
              </w:rPr>
              <w:t>Consolidated net income, excluding special items</w:t>
            </w:r>
            <w:r>
              <w:rPr/>
              <w:t xml:space="preserve">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741" w:type="dxa"/>
            <w:tcBorders>
              <w:bottom w:val="single" w:sz="2" w:space="0" w:color="71B1C8"/>
            </w:tcBorders>
            <w:tcMar>
              <w:bottom w:w="46" w:type="dxa"/>
            </w:tcMar>
            <w:vAlign w:val="center"/>
          </w:tcPr>
          <w:p>
            <w:pPr>
              <w:pStyle w:val="TableContents"/>
              <w:bidi w:val="0"/>
              <w:spacing w:before="0" w:after="283"/>
              <w:jc w:val="right"/>
              <w:rPr/>
            </w:pPr>
            <w:r>
              <w:rPr/>
              <w:t>177.8</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202.6</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174.1</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54" w:type="dxa"/>
            <w:tcBorders>
              <w:bottom w:val="single" w:sz="2" w:space="0" w:color="71B1C8"/>
            </w:tcBorders>
            <w:tcMar>
              <w:bottom w:w="46" w:type="dxa"/>
            </w:tcMar>
            <w:vAlign w:val="center"/>
          </w:tcPr>
          <w:p>
            <w:pPr>
              <w:pStyle w:val="TableContents"/>
              <w:bidi w:val="0"/>
              <w:spacing w:before="0" w:after="283"/>
              <w:jc w:val="right"/>
              <w:rPr/>
            </w:pPr>
            <w:r>
              <w:rPr/>
              <w:t>164.2</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646" w:type="dxa"/>
            <w:tcBorders>
              <w:bottom w:val="single" w:sz="2" w:space="0" w:color="71B1C8"/>
            </w:tcBorders>
            <w:tcMar>
              <w:bottom w:w="46" w:type="dxa"/>
            </w:tcMar>
            <w:vAlign w:val="center"/>
          </w:tcPr>
          <w:p>
            <w:pPr>
              <w:pStyle w:val="TableContents"/>
              <w:bidi w:val="0"/>
              <w:spacing w:before="0" w:after="283"/>
              <w:jc w:val="right"/>
              <w:rPr/>
            </w:pPr>
            <w:r>
              <w:rPr/>
              <w:t>173.8</w:t>
            </w:r>
          </w:p>
        </w:tc>
        <w:tc>
          <w:tcPr>
            <w:tcW w:w="109" w:type="dxa"/>
            <w:tcBorders>
              <w:bottom w:val="single" w:sz="2" w:space="0" w:color="71B1C8"/>
            </w:tcBorders>
            <w:vAlign w:val="center"/>
          </w:tcPr>
          <w:p>
            <w:pPr>
              <w:pStyle w:val="TableContents"/>
              <w:bidi w:val="0"/>
              <w:spacing w:before="0" w:after="283"/>
              <w:jc w:val="left"/>
              <w:rPr/>
            </w:pPr>
            <w:r>
              <w:rPr/>
              <w:t>​</w:t>
            </w:r>
          </w:p>
        </w:tc>
        <w:tc>
          <w:tcPr>
            <w:tcW w:w="155" w:type="dxa"/>
            <w:tcBorders>
              <w:bottom w:val="single" w:sz="2" w:space="0" w:color="71B1C8"/>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283"/>
              <w:jc w:val="left"/>
              <w:rPr>
                <w:spacing w:val="-1"/>
              </w:rPr>
            </w:pPr>
            <w:r>
              <w:rPr>
                <w:spacing w:val="-1"/>
              </w:rPr>
              <w:t xml:space="preserve">Segment operating income data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741"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4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Consumer &amp; Specialties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124.2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165.5</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41.6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79.0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119.5</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Engineered Solutions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 xml:space="preserve">169.7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174.0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147.8</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147.1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127.7</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Unallocated corporate expenses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(246.5)</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(53.0)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(17.3)</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(6.2)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(7.5)</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832" w:type="dxa"/>
            <w:tcBorders>
              <w:bottom w:val="single" w:sz="6" w:space="0" w:color="002F56"/>
            </w:tcBorders>
            <w:tcMar>
              <w:bottom w:w="46" w:type="dxa"/>
            </w:tcMar>
            <w:vAlign w:val="center"/>
          </w:tcPr>
          <w:p>
            <w:pPr>
              <w:pStyle w:val="TableContents"/>
              <w:bidi w:val="0"/>
              <w:spacing w:before="0" w:after="0"/>
              <w:ind w:left="160" w:right="0" w:hanging="0"/>
              <w:jc w:val="left"/>
              <w:rPr>
                <w:spacing w:val="-1"/>
              </w:rPr>
            </w:pPr>
            <w:r>
              <w:rPr>
                <w:spacing w:val="-1"/>
              </w:rPr>
              <w:t xml:space="preserve">Acquisition-related expenses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741" w:type="dxa"/>
            <w:tcBorders>
              <w:bottom w:val="single" w:sz="6" w:space="0" w:color="002F56"/>
            </w:tcBorders>
            <w:tcMar>
              <w:bottom w:w="46" w:type="dxa"/>
            </w:tcMar>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(0.3)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(5.1)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46" w:type="dxa"/>
            <w:tcBorders>
              <w:bottom w:val="single" w:sz="6" w:space="0" w:color="002F56"/>
            </w:tcBorders>
            <w:tcMar>
              <w:bottom w:w="46" w:type="dxa"/>
            </w:tcMar>
            <w:vAlign w:val="center"/>
          </w:tcPr>
          <w:p>
            <w:pPr>
              <w:pStyle w:val="TableContents"/>
              <w:bidi w:val="0"/>
              <w:spacing w:before="0" w:after="283"/>
              <w:jc w:val="right"/>
              <w:rPr/>
            </w:pPr>
            <w:r>
              <w:rPr/>
              <w:t>(4.0)</w:t>
            </w:r>
          </w:p>
        </w:tc>
        <w:tc>
          <w:tcPr>
            <w:tcW w:w="109" w:type="dxa"/>
            <w:tcBorders>
              <w:bottom w:val="single" w:sz="6" w:space="0" w:color="002F56"/>
            </w:tcBorders>
            <w:vAlign w:val="center"/>
          </w:tcPr>
          <w:p>
            <w:pPr>
              <w:pStyle w:val="TableContents"/>
              <w:bidi w:val="0"/>
              <w:spacing w:before="0" w:after="283"/>
              <w:jc w:val="left"/>
              <w:rPr/>
            </w:pPr>
            <w:r>
              <w:rPr/>
              <w:t>​</w:t>
            </w:r>
          </w:p>
        </w:tc>
        <w:tc>
          <w:tcPr>
            <w:tcW w:w="155"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pPr>
            <w:r>
              <w:rPr>
                <w:spacing w:val="0"/>
              </w:rPr>
              <w:t>Consolidated</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47.4</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286.5</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171.8</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214.8</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235.7</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283"/>
              <w:jc w:val="left"/>
              <w:rPr>
                <w:spacing w:val="-1"/>
              </w:rPr>
            </w:pPr>
            <w:r>
              <w:rPr>
                <w:spacing w:val="-1"/>
              </w:rPr>
              <w:t xml:space="preserve">Special items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741"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54"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64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Consumer &amp; Specialties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9.5</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99.4</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34.7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2.3</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Engineered Solutions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(6.6)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(12.3)</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3.2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Unallocated corporate expenses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236.8</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41.3</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5.2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832" w:type="dxa"/>
            <w:tcBorders>
              <w:bottom w:val="single" w:sz="6" w:space="0" w:color="002F56"/>
            </w:tcBorders>
            <w:tcMar>
              <w:bottom w:w="46" w:type="dxa"/>
            </w:tcMar>
            <w:vAlign w:val="center"/>
          </w:tcPr>
          <w:p>
            <w:pPr>
              <w:pStyle w:val="TableContents"/>
              <w:bidi w:val="0"/>
              <w:spacing w:before="0" w:after="0"/>
              <w:ind w:left="160" w:right="0" w:hanging="0"/>
              <w:jc w:val="left"/>
              <w:rPr>
                <w:spacing w:val="-1"/>
              </w:rPr>
            </w:pPr>
            <w:r>
              <w:rPr>
                <w:spacing w:val="-1"/>
              </w:rPr>
              <w:t xml:space="preserve">Acquisition-related expenses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741" w:type="dxa"/>
            <w:tcBorders>
              <w:bottom w:val="single" w:sz="6" w:space="0" w:color="002F56"/>
            </w:tcBorders>
            <w:tcMar>
              <w:bottom w:w="46" w:type="dxa"/>
            </w:tcMar>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0.3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54" w:type="dxa"/>
            <w:tcBorders>
              <w:bottom w:val="single" w:sz="6" w:space="0" w:color="002F56"/>
            </w:tcBorders>
            <w:tcMar>
              <w:bottom w:w="46" w:type="dxa"/>
            </w:tcMar>
            <w:vAlign w:val="center"/>
          </w:tcPr>
          <w:p>
            <w:pPr>
              <w:pStyle w:val="TableContents"/>
              <w:bidi w:val="0"/>
              <w:spacing w:before="0" w:after="283"/>
              <w:jc w:val="right"/>
              <w:rPr/>
            </w:pPr>
            <w:r>
              <w:rPr/>
              <w:t>3.0</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646" w:type="dxa"/>
            <w:tcBorders>
              <w:bottom w:val="single" w:sz="6" w:space="0" w:color="002F56"/>
            </w:tcBorders>
            <w:tcMar>
              <w:bottom w:w="46" w:type="dxa"/>
            </w:tcMar>
            <w:vAlign w:val="center"/>
          </w:tcPr>
          <w:p>
            <w:pPr>
              <w:pStyle w:val="TableContents"/>
              <w:bidi w:val="0"/>
              <w:spacing w:before="0" w:after="283"/>
              <w:jc w:val="right"/>
              <w:rPr/>
            </w:pPr>
            <w:r>
              <w:rPr/>
              <w:t>2.7</w:t>
            </w:r>
          </w:p>
        </w:tc>
        <w:tc>
          <w:tcPr>
            <w:tcW w:w="109" w:type="dxa"/>
            <w:tcBorders>
              <w:bottom w:val="single" w:sz="6" w:space="0" w:color="002F56"/>
            </w:tcBorders>
            <w:vAlign w:val="center"/>
          </w:tcPr>
          <w:p>
            <w:pPr>
              <w:pStyle w:val="TableContents"/>
              <w:bidi w:val="0"/>
              <w:spacing w:before="0" w:after="283"/>
              <w:jc w:val="left"/>
              <w:rPr/>
            </w:pPr>
            <w:r>
              <w:rPr/>
              <w:t>​</w:t>
            </w:r>
          </w:p>
        </w:tc>
        <w:tc>
          <w:tcPr>
            <w:tcW w:w="155"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832" w:type="dxa"/>
            <w:tcBorders>
              <w:bottom w:val="single" w:sz="6" w:space="0" w:color="BFBFBF"/>
            </w:tcBorders>
            <w:tcMar>
              <w:bottom w:w="39" w:type="dxa"/>
            </w:tcMar>
            <w:vAlign w:val="center"/>
          </w:tcPr>
          <w:p>
            <w:pPr>
              <w:pStyle w:val="TableContents"/>
              <w:bidi w:val="0"/>
              <w:spacing w:before="0" w:after="0"/>
              <w:ind w:left="160" w:right="0" w:hanging="0"/>
              <w:jc w:val="left"/>
              <w:rPr/>
            </w:pPr>
            <w:r>
              <w:rPr>
                <w:spacing w:val="0"/>
              </w:rPr>
              <w:t>Consolidated</w:t>
            </w:r>
            <w:r>
              <w:rPr/>
              <w:t xml:space="preserve">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741" w:type="dxa"/>
            <w:tcBorders>
              <w:bottom w:val="single" w:sz="6" w:space="0" w:color="BFBFBF"/>
            </w:tcBorders>
            <w:tcMar>
              <w:bottom w:w="39" w:type="dxa"/>
            </w:tcMar>
            <w:vAlign w:val="center"/>
          </w:tcPr>
          <w:p>
            <w:pPr>
              <w:pStyle w:val="TableContents"/>
              <w:bidi w:val="0"/>
              <w:spacing w:before="0" w:after="283"/>
              <w:jc w:val="right"/>
              <w:rPr/>
            </w:pPr>
            <w:r>
              <w:rPr/>
              <w:t>239.7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29.0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108.1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54" w:type="dxa"/>
            <w:tcBorders>
              <w:bottom w:val="single" w:sz="6" w:space="0" w:color="BFBFBF"/>
            </w:tcBorders>
            <w:tcMar>
              <w:bottom w:w="39" w:type="dxa"/>
            </w:tcMar>
            <w:vAlign w:val="center"/>
          </w:tcPr>
          <w:p>
            <w:pPr>
              <w:pStyle w:val="TableContents"/>
              <w:bidi w:val="0"/>
              <w:spacing w:before="0" w:after="283"/>
              <w:jc w:val="right"/>
              <w:rPr/>
            </w:pPr>
            <w:r>
              <w:rPr/>
              <w:t>37.7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646" w:type="dxa"/>
            <w:tcBorders>
              <w:bottom w:val="single" w:sz="6" w:space="0" w:color="BFBFBF"/>
            </w:tcBorders>
            <w:tcMar>
              <w:bottom w:w="39" w:type="dxa"/>
            </w:tcMar>
            <w:vAlign w:val="center"/>
          </w:tcPr>
          <w:p>
            <w:pPr>
              <w:pStyle w:val="TableContents"/>
              <w:bidi w:val="0"/>
              <w:spacing w:before="0" w:after="283"/>
              <w:jc w:val="right"/>
              <w:rPr/>
            </w:pPr>
            <w:r>
              <w:rPr/>
              <w:t>5.0</w:t>
            </w:r>
          </w:p>
        </w:tc>
        <w:tc>
          <w:tcPr>
            <w:tcW w:w="109" w:type="dxa"/>
            <w:tcBorders>
              <w:bottom w:val="single" w:sz="6" w:space="0" w:color="BFBFBF"/>
            </w:tcBorders>
            <w:vAlign w:val="center"/>
          </w:tcPr>
          <w:p>
            <w:pPr>
              <w:pStyle w:val="TableContents"/>
              <w:bidi w:val="0"/>
              <w:spacing w:before="0" w:after="283"/>
              <w:jc w:val="left"/>
              <w:rPr/>
            </w:pPr>
            <w:r>
              <w:rPr/>
              <w:t>​</w:t>
            </w:r>
          </w:p>
        </w:tc>
        <w:tc>
          <w:tcPr>
            <w:tcW w:w="155" w:type="dxa"/>
            <w:tcBorders>
              <w:bottom w:val="single" w:sz="6" w:space="0" w:color="BFBFB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06" w:type="dxa"/>
            <w:gridSpan w:val="31"/>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right"/>
        <w:rPr>
          <w:rFonts w:ascii="Arial;Helvetica;sans-serif" w:hAnsi="Arial;Helvetica;sans-serif"/>
          <w:b w:val="false"/>
          <w:i w:val="false"/>
          <w:caps w:val="false"/>
          <w:smallCaps w:val="false"/>
          <w:color w:val="595959"/>
          <w:sz w:val="17"/>
        </w:rPr>
      </w:pP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i w:val="false"/>
          <w:caps w:val="false"/>
          <w:smallCaps w:val="false"/>
          <w:color w:val="DF0000"/>
          <w:spacing w:val="-10"/>
          <w:sz w:val="17"/>
        </w:rPr>
        <w:t>A-1</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020" w:right="0" w:hanging="0"/>
        <w:jc w:val="left"/>
        <w:rPr>
          <w:caps w:val="false"/>
          <w:smallCaps w:val="false"/>
          <w:color w:val="002F56"/>
        </w:rPr>
      </w:pPr>
      <w:r>
        <w:rPr>
          <w:caps w:val="false"/>
          <w:smallCaps w:val="false"/>
          <w:color w:val="002F56"/>
          <w:spacing w:val="-2"/>
        </w:rPr>
        <w:t> </w:t>
      </w:r>
      <w:r>
        <w:rPr>
          <w:caps w:val="false"/>
          <w:smallCaps w:val="false"/>
          <w:color w:val="002F56"/>
        </w:rPr>
        <w:t xml:space="preserve"> </w:t>
      </w:r>
    </w:p>
    <w:tbl>
      <w:tblPr>
        <w:tblW w:w="9185" w:type="dxa"/>
        <w:jc w:val="left"/>
        <w:tblInd w:w="1020" w:type="dxa"/>
        <w:tblLayout w:type="fixed"/>
        <w:tblCellMar>
          <w:top w:w="0" w:type="dxa"/>
          <w:left w:w="0" w:type="dxa"/>
          <w:bottom w:w="28" w:type="dxa"/>
          <w:right w:w="0" w:type="dxa"/>
        </w:tblCellMar>
      </w:tblPr>
      <w:tblGrid>
        <w:gridCol w:w="124"/>
        <w:gridCol w:w="2052"/>
        <w:gridCol w:w="109"/>
        <w:gridCol w:w="109"/>
        <w:gridCol w:w="109"/>
        <w:gridCol w:w="109"/>
        <w:gridCol w:w="826"/>
        <w:gridCol w:w="109"/>
        <w:gridCol w:w="109"/>
        <w:gridCol w:w="109"/>
        <w:gridCol w:w="109"/>
        <w:gridCol w:w="109"/>
        <w:gridCol w:w="826"/>
        <w:gridCol w:w="109"/>
        <w:gridCol w:w="109"/>
        <w:gridCol w:w="109"/>
        <w:gridCol w:w="109"/>
        <w:gridCol w:w="109"/>
        <w:gridCol w:w="826"/>
        <w:gridCol w:w="109"/>
        <w:gridCol w:w="109"/>
        <w:gridCol w:w="109"/>
        <w:gridCol w:w="109"/>
        <w:gridCol w:w="109"/>
        <w:gridCol w:w="826"/>
        <w:gridCol w:w="109"/>
        <w:gridCol w:w="109"/>
        <w:gridCol w:w="109"/>
        <w:gridCol w:w="109"/>
        <w:gridCol w:w="109"/>
        <w:gridCol w:w="826"/>
        <w:gridCol w:w="109"/>
        <w:gridCol w:w="154"/>
      </w:tblGrid>
      <w:tr>
        <w:trPr/>
        <w:tc>
          <w:tcPr>
            <w:tcW w:w="124" w:type="dxa"/>
            <w:tcBorders>
              <w:bottom w:val="single" w:sz="2" w:space="0" w:color="002F56"/>
            </w:tcBorders>
            <w:shd w:fill="002F56" w:val="clear"/>
            <w:vAlign w:val="center"/>
          </w:tcPr>
          <w:p>
            <w:pPr>
              <w:pStyle w:val="TableContents"/>
              <w:bidi w:val="0"/>
              <w:spacing w:before="0" w:after="283"/>
              <w:jc w:val="left"/>
              <w:rPr/>
            </w:pPr>
            <w:r>
              <w:rPr/>
              <w:t>​</w:t>
            </w:r>
          </w:p>
        </w:tc>
        <w:tc>
          <w:tcPr>
            <w:tcW w:w="2052"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2" w:space="0" w:color="002F56"/>
            </w:tcBorders>
            <w:shd w:fill="002F56" w:val="clear"/>
            <w:vAlign w:val="center"/>
          </w:tcPr>
          <w:p>
            <w:pPr>
              <w:pStyle w:val="TableContents"/>
              <w:bidi w:val="0"/>
              <w:spacing w:before="0" w:after="283"/>
              <w:jc w:val="left"/>
              <w:rPr/>
            </w:pPr>
            <w:r>
              <w:rPr/>
              <w:t>​</w:t>
            </w:r>
          </w:p>
        </w:tc>
        <w:tc>
          <w:tcPr>
            <w:tcW w:w="109" w:type="dxa"/>
            <w:tcBorders>
              <w:bottom w:val="single" w:sz="6" w:space="0" w:color="71B1C8"/>
            </w:tcBorders>
            <w:shd w:fill="002F56" w:val="clear"/>
            <w:vAlign w:val="center"/>
          </w:tcPr>
          <w:p>
            <w:pPr>
              <w:pStyle w:val="TableContents"/>
              <w:bidi w:val="0"/>
              <w:spacing w:before="0" w:after="283"/>
              <w:jc w:val="left"/>
              <w:rPr/>
            </w:pPr>
            <w:r>
              <w:rPr/>
              <w:t>​</w:t>
            </w:r>
          </w:p>
        </w:tc>
        <w:tc>
          <w:tcPr>
            <w:tcW w:w="6637" w:type="dxa"/>
            <w:gridSpan w:val="28"/>
            <w:tcBorders>
              <w:bottom w:val="single" w:sz="6" w:space="0" w:color="71B1C8"/>
            </w:tcBorders>
            <w:shd w:fill="002F56" w:val="clear"/>
            <w:tcMar>
              <w:bottom w:w="56" w:type="dxa"/>
            </w:tcMar>
            <w:vAlign w:val="center"/>
          </w:tcPr>
          <w:p>
            <w:pPr>
              <w:pStyle w:val="TableContents"/>
              <w:bidi w:val="0"/>
              <w:spacing w:before="0" w:after="0"/>
              <w:jc w:val="center"/>
              <w:rPr>
                <w:spacing w:val="0"/>
              </w:rPr>
            </w:pPr>
            <w:r>
              <w:rPr>
                <w:spacing w:val="0"/>
              </w:rPr>
              <w:t xml:space="preserve">Year Ended December 31, </w:t>
            </w:r>
          </w:p>
        </w:tc>
        <w:tc>
          <w:tcPr>
            <w:tcW w:w="154" w:type="dxa"/>
            <w:tcBorders>
              <w:bottom w:val="single" w:sz="6" w:space="0" w:color="71B1C8"/>
            </w:tcBorders>
            <w:shd w:fill="002F56" w:val="clear"/>
            <w:vAlign w:val="center"/>
          </w:tcPr>
          <w:p>
            <w:pPr>
              <w:pStyle w:val="TableContents"/>
              <w:bidi w:val="0"/>
              <w:spacing w:before="0" w:after="283"/>
              <w:jc w:val="left"/>
              <w:rPr/>
            </w:pPr>
            <w:r>
              <w:rPr/>
              <w:t>​</w:t>
            </w:r>
          </w:p>
        </w:tc>
      </w:tr>
      <w:tr>
        <w:trPr/>
        <w:tc>
          <w:tcPr>
            <w:tcW w:w="124" w:type="dxa"/>
            <w:tcBorders/>
            <w:shd w:fill="002F56" w:val="clear"/>
            <w:tcMar>
              <w:bottom w:w="0" w:type="dxa"/>
            </w:tcMar>
            <w:vAlign w:val="center"/>
          </w:tcPr>
          <w:p>
            <w:pPr>
              <w:pStyle w:val="TableContents"/>
              <w:bidi w:val="0"/>
              <w:spacing w:before="0" w:after="283"/>
              <w:jc w:val="left"/>
              <w:rPr/>
            </w:pPr>
            <w:r>
              <w:rPr/>
              <w:t>​</w:t>
            </w:r>
          </w:p>
        </w:tc>
        <w:tc>
          <w:tcPr>
            <w:tcW w:w="2052" w:type="dxa"/>
            <w:tcBorders/>
            <w:shd w:fill="002F56" w:val="clear"/>
            <w:tcMar>
              <w:bottom w:w="0" w:type="dxa"/>
            </w:tcMar>
            <w:vAlign w:val="center"/>
          </w:tcPr>
          <w:p>
            <w:pPr>
              <w:pStyle w:val="TableContents"/>
              <w:bidi w:val="0"/>
              <w:spacing w:before="0" w:after="0"/>
              <w:jc w:val="left"/>
              <w:rPr>
                <w:i/>
              </w:rPr>
            </w:pPr>
            <w:r>
              <w:rPr>
                <w:i/>
              </w:rPr>
              <w:t xml:space="preserve">(millions of dollars, except per share data)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153"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2025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153"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2024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153"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2023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153"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2022 </w:t>
              <w:br/>
              <w:t xml:space="preserve">($) </w:t>
            </w:r>
          </w:p>
        </w:tc>
        <w:tc>
          <w:tcPr>
            <w:tcW w:w="109" w:type="dxa"/>
            <w:tcBorders/>
            <w:shd w:fill="002F56" w:val="clear"/>
            <w:tcMar>
              <w:bottom w:w="0" w:type="dxa"/>
            </w:tcMar>
            <w:vAlign w:val="center"/>
          </w:tcPr>
          <w:p>
            <w:pPr>
              <w:pStyle w:val="TableContents"/>
              <w:bidi w:val="0"/>
              <w:spacing w:before="0" w:after="283"/>
              <w:jc w:val="left"/>
              <w:rPr/>
            </w:pPr>
            <w:r>
              <w:rPr/>
              <w:t>​</w:t>
            </w:r>
          </w:p>
        </w:tc>
        <w:tc>
          <w:tcPr>
            <w:tcW w:w="109" w:type="dxa"/>
            <w:tcBorders/>
            <w:shd w:fill="002F56" w:val="clear"/>
            <w:tcMar>
              <w:bottom w:w="0" w:type="dxa"/>
            </w:tcMar>
            <w:vAlign w:val="center"/>
          </w:tcPr>
          <w:p>
            <w:pPr>
              <w:pStyle w:val="TableContents"/>
              <w:bidi w:val="0"/>
              <w:spacing w:before="0" w:after="283"/>
              <w:jc w:val="left"/>
              <w:rPr/>
            </w:pPr>
            <w:r>
              <w:rPr/>
              <w:t>​</w:t>
            </w:r>
          </w:p>
        </w:tc>
        <w:tc>
          <w:tcPr>
            <w:tcW w:w="1153" w:type="dxa"/>
            <w:gridSpan w:val="4"/>
            <w:tcBorders/>
            <w:shd w:fill="002F56" w:val="clear"/>
            <w:tcMar>
              <w:bottom w:w="0" w:type="dxa"/>
            </w:tcMar>
            <w:vAlign w:val="center"/>
          </w:tcPr>
          <w:p>
            <w:pPr>
              <w:pStyle w:val="TableContents"/>
              <w:bidi w:val="0"/>
              <w:spacing w:before="0" w:after="0"/>
              <w:jc w:val="center"/>
              <w:rPr>
                <w:spacing w:val="-2"/>
              </w:rPr>
            </w:pPr>
            <w:r>
              <w:rPr>
                <w:spacing w:val="-2"/>
              </w:rPr>
              <w:t xml:space="preserve">2021 </w:t>
              <w:br/>
              <w:t xml:space="preserve">($) </w:t>
            </w:r>
          </w:p>
        </w:tc>
        <w:tc>
          <w:tcPr>
            <w:tcW w:w="154" w:type="dxa"/>
            <w:tcBorders/>
            <w:shd w:fill="002F56"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283"/>
              <w:jc w:val="left"/>
              <w:rPr>
                <w:spacing w:val="-1"/>
              </w:rPr>
            </w:pPr>
            <w:r>
              <w:rPr>
                <w:spacing w:val="-1"/>
              </w:rPr>
              <w:t xml:space="preserve">Segment operating income, excluding special items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Consumer &amp; Specialties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133.7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165.5</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141.0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113.7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121.8</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Engineered Solutions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163.1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161.7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151.0</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147.1</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127.7</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052" w:type="dxa"/>
            <w:tcBorders>
              <w:bottom w:val="single" w:sz="6" w:space="0" w:color="002F56"/>
            </w:tcBorders>
            <w:tcMar>
              <w:bottom w:w="46" w:type="dxa"/>
            </w:tcMar>
            <w:vAlign w:val="center"/>
          </w:tcPr>
          <w:p>
            <w:pPr>
              <w:pStyle w:val="TableContents"/>
              <w:bidi w:val="0"/>
              <w:spacing w:before="0" w:after="0"/>
              <w:ind w:left="160" w:right="0" w:hanging="0"/>
              <w:jc w:val="left"/>
              <w:rPr>
                <w:spacing w:val="-1"/>
              </w:rPr>
            </w:pPr>
            <w:r>
              <w:rPr>
                <w:spacing w:val="-1"/>
              </w:rPr>
              <w:t xml:space="preserve">Unallocated corporate expenses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(9.7)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(11.7)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(12.1)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(8.3)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(8.8)</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2" w:space="0" w:color="71B1C8"/>
            </w:tcBorders>
            <w:vAlign w:val="center"/>
          </w:tcPr>
          <w:p>
            <w:pPr>
              <w:pStyle w:val="TableContents"/>
              <w:bidi w:val="0"/>
              <w:spacing w:before="0" w:after="283"/>
              <w:jc w:val="left"/>
              <w:rPr/>
            </w:pPr>
            <w:r>
              <w:rPr/>
              <w:t>​</w:t>
            </w:r>
          </w:p>
        </w:tc>
        <w:tc>
          <w:tcPr>
            <w:tcW w:w="2052" w:type="dxa"/>
            <w:tcBorders>
              <w:bottom w:val="single" w:sz="2" w:space="0" w:color="71B1C8"/>
            </w:tcBorders>
            <w:tcMar>
              <w:bottom w:w="46" w:type="dxa"/>
            </w:tcMar>
            <w:vAlign w:val="center"/>
          </w:tcPr>
          <w:p>
            <w:pPr>
              <w:pStyle w:val="TableContents"/>
              <w:bidi w:val="0"/>
              <w:spacing w:before="0" w:after="0"/>
              <w:ind w:left="160" w:right="0" w:hanging="0"/>
              <w:jc w:val="left"/>
              <w:rPr/>
            </w:pPr>
            <w:r>
              <w:rPr>
                <w:spacing w:val="0"/>
              </w:rPr>
              <w:t>Consolidated</w:t>
            </w:r>
            <w:r>
              <w:rPr/>
              <w:t xml:space="preserve">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287.1</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315.5</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279.9</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252.5</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240.7</w:t>
            </w:r>
          </w:p>
        </w:tc>
        <w:tc>
          <w:tcPr>
            <w:tcW w:w="109" w:type="dxa"/>
            <w:tcBorders>
              <w:bottom w:val="single" w:sz="2" w:space="0" w:color="71B1C8"/>
            </w:tcBorders>
            <w:vAlign w:val="center"/>
          </w:tcPr>
          <w:p>
            <w:pPr>
              <w:pStyle w:val="TableContents"/>
              <w:bidi w:val="0"/>
              <w:spacing w:before="0" w:after="283"/>
              <w:jc w:val="left"/>
              <w:rPr/>
            </w:pPr>
            <w:r>
              <w:rPr/>
              <w:t>​</w:t>
            </w:r>
          </w:p>
        </w:tc>
        <w:tc>
          <w:tcPr>
            <w:tcW w:w="154" w:type="dxa"/>
            <w:tcBorders>
              <w:bottom w:val="single" w:sz="2" w:space="0" w:color="71B1C8"/>
            </w:tcBorders>
            <w:vAlign w:val="center"/>
          </w:tcPr>
          <w:p>
            <w:pPr>
              <w:pStyle w:val="TableContents"/>
              <w:bidi w:val="0"/>
              <w:spacing w:before="0" w:after="283"/>
              <w:jc w:val="left"/>
              <w:rPr/>
            </w:pPr>
            <w:r>
              <w:rPr/>
              <w:t>​</w:t>
            </w:r>
          </w:p>
        </w:tc>
      </w:tr>
      <w:tr>
        <w:trPr/>
        <w:tc>
          <w:tcPr>
            <w:tcW w:w="124" w:type="dxa"/>
            <w:tcBorders>
              <w:bottom w:val="single" w:sz="2" w:space="0" w:color="71B1C8"/>
            </w:tcBorders>
            <w:vAlign w:val="center"/>
          </w:tcPr>
          <w:p>
            <w:pPr>
              <w:pStyle w:val="TableContents"/>
              <w:bidi w:val="0"/>
              <w:spacing w:before="0" w:after="283"/>
              <w:jc w:val="left"/>
              <w:rPr/>
            </w:pPr>
            <w:r>
              <w:rPr/>
              <w:t>​</w:t>
            </w:r>
          </w:p>
        </w:tc>
        <w:tc>
          <w:tcPr>
            <w:tcW w:w="2052" w:type="dxa"/>
            <w:tcBorders>
              <w:bottom w:val="single" w:sz="2" w:space="0" w:color="71B1C8"/>
            </w:tcBorders>
            <w:tcMar>
              <w:bottom w:w="46" w:type="dxa"/>
            </w:tcMar>
            <w:vAlign w:val="center"/>
          </w:tcPr>
          <w:p>
            <w:pPr>
              <w:pStyle w:val="TableContents"/>
              <w:bidi w:val="0"/>
              <w:spacing w:before="0" w:after="0"/>
              <w:ind w:left="160" w:right="0" w:hanging="0"/>
              <w:jc w:val="left"/>
              <w:rPr>
                <w:spacing w:val="-1"/>
              </w:rPr>
            </w:pPr>
            <w:r>
              <w:rPr>
                <w:spacing w:val="-1"/>
              </w:rPr>
              <w:t xml:space="preserve">% of sales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 xml:space="preserve">13.9%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14.9%</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12.9%</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11.9%</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13.0%</w:t>
            </w:r>
          </w:p>
        </w:tc>
        <w:tc>
          <w:tcPr>
            <w:tcW w:w="109" w:type="dxa"/>
            <w:tcBorders>
              <w:bottom w:val="single" w:sz="2" w:space="0" w:color="71B1C8"/>
            </w:tcBorders>
            <w:vAlign w:val="center"/>
          </w:tcPr>
          <w:p>
            <w:pPr>
              <w:pStyle w:val="TableContents"/>
              <w:bidi w:val="0"/>
              <w:spacing w:before="0" w:after="283"/>
              <w:jc w:val="left"/>
              <w:rPr/>
            </w:pPr>
            <w:r>
              <w:rPr/>
              <w:t>​</w:t>
            </w:r>
          </w:p>
        </w:tc>
        <w:tc>
          <w:tcPr>
            <w:tcW w:w="154" w:type="dxa"/>
            <w:tcBorders>
              <w:bottom w:val="single" w:sz="2" w:space="0" w:color="71B1C8"/>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283"/>
              <w:jc w:val="left"/>
              <w:rPr>
                <w:spacing w:val="-1"/>
              </w:rPr>
            </w:pPr>
            <w:r>
              <w:rPr>
                <w:spacing w:val="-1"/>
              </w:rPr>
              <w:t xml:space="preserve">Segment Sales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right"/>
              <w:rPr/>
            </w:pPr>
            <w:r>
              <w:rPr/>
              <w:t>​</w:t>
            </w:r>
          </w:p>
        </w:tc>
        <w:tc>
          <w:tcPr>
            <w:tcW w:w="826" w:type="dxa"/>
            <w:tcBorders>
              <w:bottom w:val="single" w:sz="6" w:space="0" w:color="BFBFBF"/>
            </w:tcBorders>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Consumer &amp; Specialties segment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1,097.7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1,140.2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1,160.2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1,124.6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962.6</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Sales attributable to exited business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40.6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57.2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54.0</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Consumer &amp; Specialties segment on underlying basis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1,097.7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1,140.2</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1,119.6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1,067.4</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908.6</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052" w:type="dxa"/>
            <w:tcBorders>
              <w:bottom w:val="single" w:sz="6" w:space="0" w:color="002F56"/>
            </w:tcBorders>
            <w:tcMar>
              <w:bottom w:w="46" w:type="dxa"/>
            </w:tcMar>
            <w:vAlign w:val="center"/>
          </w:tcPr>
          <w:p>
            <w:pPr>
              <w:pStyle w:val="TableContents"/>
              <w:bidi w:val="0"/>
              <w:spacing w:before="0" w:after="0"/>
              <w:ind w:left="160" w:right="0" w:hanging="0"/>
              <w:jc w:val="left"/>
              <w:rPr>
                <w:spacing w:val="-1"/>
              </w:rPr>
            </w:pPr>
            <w:r>
              <w:rPr>
                <w:spacing w:val="-1"/>
              </w:rPr>
              <w:t xml:space="preserve">Engineered Solutions segment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974.9</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978.3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1,009.7</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1,000.9</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895.7</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2" w:space="0" w:color="71B1C8"/>
            </w:tcBorders>
            <w:vAlign w:val="center"/>
          </w:tcPr>
          <w:p>
            <w:pPr>
              <w:pStyle w:val="TableContents"/>
              <w:bidi w:val="0"/>
              <w:spacing w:before="0" w:after="283"/>
              <w:jc w:val="left"/>
              <w:rPr/>
            </w:pPr>
            <w:r>
              <w:rPr/>
              <w:t>​</w:t>
            </w:r>
          </w:p>
        </w:tc>
        <w:tc>
          <w:tcPr>
            <w:tcW w:w="2052" w:type="dxa"/>
            <w:tcBorders>
              <w:bottom w:val="single" w:sz="2" w:space="0" w:color="71B1C8"/>
            </w:tcBorders>
            <w:tcMar>
              <w:bottom w:w="46" w:type="dxa"/>
            </w:tcMar>
            <w:vAlign w:val="center"/>
          </w:tcPr>
          <w:p>
            <w:pPr>
              <w:pStyle w:val="TableContents"/>
              <w:bidi w:val="0"/>
              <w:spacing w:before="0" w:after="0"/>
              <w:ind w:left="160" w:right="0" w:hanging="0"/>
              <w:jc w:val="left"/>
              <w:rPr/>
            </w:pPr>
            <w:r>
              <w:rPr>
                <w:spacing w:val="0"/>
              </w:rPr>
              <w:t>Consolidated Sales on underlying basis</w:t>
            </w:r>
            <w:r>
              <w:rPr/>
              <w:t xml:space="preserve"> </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2,072.6</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2,118.5</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2,129.3</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2,068.3</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vAlign w:val="center"/>
          </w:tcPr>
          <w:p>
            <w:pPr>
              <w:pStyle w:val="TableContents"/>
              <w:bidi w:val="0"/>
              <w:spacing w:before="0" w:after="283"/>
              <w:jc w:val="left"/>
              <w:rPr/>
            </w:pPr>
            <w:r>
              <w:rPr/>
              <w:t>​</w:t>
            </w:r>
          </w:p>
        </w:tc>
        <w:tc>
          <w:tcPr>
            <w:tcW w:w="109" w:type="dxa"/>
            <w:tcBorders>
              <w:bottom w:val="single" w:sz="2" w:space="0" w:color="71B1C8"/>
            </w:tcBorders>
            <w:tcMar>
              <w:bottom w:w="46" w:type="dxa"/>
            </w:tcMar>
            <w:vAlign w:val="center"/>
          </w:tcPr>
          <w:p>
            <w:pPr>
              <w:pStyle w:val="TableContents"/>
              <w:bidi w:val="0"/>
              <w:spacing w:before="0" w:after="283"/>
              <w:jc w:val="right"/>
              <w:rPr/>
            </w:pPr>
            <w:r>
              <w:rPr/>
              <w:t>​</w:t>
            </w:r>
          </w:p>
        </w:tc>
        <w:tc>
          <w:tcPr>
            <w:tcW w:w="826" w:type="dxa"/>
            <w:tcBorders>
              <w:bottom w:val="single" w:sz="2" w:space="0" w:color="71B1C8"/>
            </w:tcBorders>
            <w:tcMar>
              <w:bottom w:w="46" w:type="dxa"/>
            </w:tcMar>
            <w:vAlign w:val="center"/>
          </w:tcPr>
          <w:p>
            <w:pPr>
              <w:pStyle w:val="TableContents"/>
              <w:bidi w:val="0"/>
              <w:spacing w:before="0" w:after="283"/>
              <w:jc w:val="right"/>
              <w:rPr/>
            </w:pPr>
            <w:r>
              <w:rPr/>
              <w:t>1,804.3</w:t>
            </w:r>
          </w:p>
        </w:tc>
        <w:tc>
          <w:tcPr>
            <w:tcW w:w="109" w:type="dxa"/>
            <w:tcBorders>
              <w:bottom w:val="single" w:sz="2" w:space="0" w:color="71B1C8"/>
            </w:tcBorders>
            <w:vAlign w:val="center"/>
          </w:tcPr>
          <w:p>
            <w:pPr>
              <w:pStyle w:val="TableContents"/>
              <w:bidi w:val="0"/>
              <w:spacing w:before="0" w:after="283"/>
              <w:jc w:val="left"/>
              <w:rPr/>
            </w:pPr>
            <w:r>
              <w:rPr/>
              <w:t>​</w:t>
            </w:r>
          </w:p>
        </w:tc>
        <w:tc>
          <w:tcPr>
            <w:tcW w:w="154" w:type="dxa"/>
            <w:tcBorders>
              <w:bottom w:val="single" w:sz="2" w:space="0" w:color="71B1C8"/>
            </w:tcBorders>
            <w:vAlign w:val="center"/>
          </w:tcPr>
          <w:p>
            <w:pPr>
              <w:pStyle w:val="TableContents"/>
              <w:bidi w:val="0"/>
              <w:spacing w:before="0" w:after="283"/>
              <w:jc w:val="left"/>
              <w:rPr/>
            </w:pPr>
            <w:r>
              <w:rPr/>
              <w:t>​</w:t>
            </w:r>
          </w:p>
        </w:tc>
      </w:tr>
      <w:tr>
        <w:trPr/>
        <w:tc>
          <w:tcPr>
            <w:tcW w:w="124" w:type="dxa"/>
            <w:tcBorders>
              <w:bottom w:val="single" w:sz="6" w:space="0" w:color="BFBFBF"/>
            </w:tcBorders>
            <w:vAlign w:val="center"/>
          </w:tcPr>
          <w:p>
            <w:pPr>
              <w:pStyle w:val="TableContents"/>
              <w:bidi w:val="0"/>
              <w:spacing w:before="0" w:after="283"/>
              <w:jc w:val="left"/>
              <w:rPr/>
            </w:pPr>
            <w:r>
              <w:rPr/>
              <w:t>​</w:t>
            </w:r>
          </w:p>
        </w:tc>
        <w:tc>
          <w:tcPr>
            <w:tcW w:w="2052" w:type="dxa"/>
            <w:tcBorders>
              <w:bottom w:val="single" w:sz="6" w:space="0" w:color="BFBFBF"/>
            </w:tcBorders>
            <w:tcMar>
              <w:bottom w:w="39" w:type="dxa"/>
            </w:tcMar>
            <w:vAlign w:val="center"/>
          </w:tcPr>
          <w:p>
            <w:pPr>
              <w:pStyle w:val="TableContents"/>
              <w:bidi w:val="0"/>
              <w:spacing w:before="0" w:after="0"/>
              <w:ind w:left="160" w:right="0" w:hanging="0"/>
              <w:jc w:val="left"/>
              <w:rPr>
                <w:spacing w:val="-1"/>
              </w:rPr>
            </w:pPr>
            <w:r>
              <w:rPr>
                <w:spacing w:val="-1"/>
              </w:rPr>
              <w:t xml:space="preserve">Cash flow from operations </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193.7</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236.4</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233.6</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105.9</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vAlign w:val="center"/>
          </w:tcPr>
          <w:p>
            <w:pPr>
              <w:pStyle w:val="TableContents"/>
              <w:bidi w:val="0"/>
              <w:spacing w:before="0" w:after="283"/>
              <w:jc w:val="left"/>
              <w:rPr/>
            </w:pPr>
            <w:r>
              <w:rPr/>
              <w:t>​</w:t>
            </w:r>
          </w:p>
        </w:tc>
        <w:tc>
          <w:tcPr>
            <w:tcW w:w="109" w:type="dxa"/>
            <w:tcBorders>
              <w:bottom w:val="single" w:sz="6" w:space="0" w:color="BFBFBF"/>
            </w:tcBorders>
            <w:tcMar>
              <w:bottom w:w="39" w:type="dxa"/>
            </w:tcMar>
            <w:vAlign w:val="center"/>
          </w:tcPr>
          <w:p>
            <w:pPr>
              <w:pStyle w:val="TableContents"/>
              <w:bidi w:val="0"/>
              <w:spacing w:before="0" w:after="283"/>
              <w:jc w:val="right"/>
              <w:rPr/>
            </w:pPr>
            <w:r>
              <w:rPr/>
              <w:t>​</w:t>
            </w:r>
          </w:p>
        </w:tc>
        <w:tc>
          <w:tcPr>
            <w:tcW w:w="826" w:type="dxa"/>
            <w:tcBorders>
              <w:bottom w:val="single" w:sz="6" w:space="0" w:color="BFBFBF"/>
            </w:tcBorders>
            <w:tcMar>
              <w:bottom w:w="39" w:type="dxa"/>
            </w:tcMar>
            <w:vAlign w:val="center"/>
          </w:tcPr>
          <w:p>
            <w:pPr>
              <w:pStyle w:val="TableContents"/>
              <w:bidi w:val="0"/>
              <w:spacing w:before="0" w:after="283"/>
              <w:jc w:val="right"/>
              <w:rPr/>
            </w:pPr>
            <w:r>
              <w:rPr/>
              <w:t>232.4</w:t>
            </w:r>
          </w:p>
        </w:tc>
        <w:tc>
          <w:tcPr>
            <w:tcW w:w="109" w:type="dxa"/>
            <w:tcBorders>
              <w:bottom w:val="single" w:sz="6" w:space="0" w:color="BFBFBF"/>
            </w:tcBorders>
            <w:vAlign w:val="center"/>
          </w:tcPr>
          <w:p>
            <w:pPr>
              <w:pStyle w:val="TableContents"/>
              <w:bidi w:val="0"/>
              <w:spacing w:before="0" w:after="283"/>
              <w:jc w:val="left"/>
              <w:rPr/>
            </w:pPr>
            <w:r>
              <w:rPr/>
              <w:t>​</w:t>
            </w:r>
          </w:p>
        </w:tc>
        <w:tc>
          <w:tcPr>
            <w:tcW w:w="154" w:type="dxa"/>
            <w:tcBorders>
              <w:bottom w:val="single" w:sz="6" w:space="0" w:color="BFBFBF"/>
            </w:tcBorders>
            <w:vAlign w:val="center"/>
          </w:tcPr>
          <w:p>
            <w:pPr>
              <w:pStyle w:val="TableContents"/>
              <w:bidi w:val="0"/>
              <w:spacing w:before="0" w:after="283"/>
              <w:jc w:val="left"/>
              <w:rPr/>
            </w:pPr>
            <w:r>
              <w:rPr/>
              <w:t>​</w:t>
            </w:r>
          </w:p>
        </w:tc>
      </w:tr>
      <w:tr>
        <w:trPr/>
        <w:tc>
          <w:tcPr>
            <w:tcW w:w="124" w:type="dxa"/>
            <w:tcBorders>
              <w:bottom w:val="single" w:sz="6" w:space="0" w:color="002F56"/>
            </w:tcBorders>
            <w:vAlign w:val="center"/>
          </w:tcPr>
          <w:p>
            <w:pPr>
              <w:pStyle w:val="TableContents"/>
              <w:bidi w:val="0"/>
              <w:spacing w:before="0" w:after="283"/>
              <w:jc w:val="left"/>
              <w:rPr/>
            </w:pPr>
            <w:r>
              <w:rPr/>
              <w:t>​</w:t>
            </w:r>
          </w:p>
        </w:tc>
        <w:tc>
          <w:tcPr>
            <w:tcW w:w="2052" w:type="dxa"/>
            <w:tcBorders>
              <w:bottom w:val="single" w:sz="6" w:space="0" w:color="002F56"/>
            </w:tcBorders>
            <w:tcMar>
              <w:bottom w:w="46" w:type="dxa"/>
            </w:tcMar>
            <w:vAlign w:val="center"/>
          </w:tcPr>
          <w:p>
            <w:pPr>
              <w:pStyle w:val="TableContents"/>
              <w:bidi w:val="0"/>
              <w:spacing w:before="0" w:after="0"/>
              <w:ind w:left="160" w:right="0" w:hanging="0"/>
              <w:jc w:val="left"/>
              <w:rPr>
                <w:spacing w:val="-1"/>
              </w:rPr>
            </w:pPr>
            <w:r>
              <w:rPr>
                <w:spacing w:val="-1"/>
              </w:rPr>
              <w:t xml:space="preserve">Capital expenditures </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107.1</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89.5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93.5</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82.3</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vAlign w:val="center"/>
          </w:tcPr>
          <w:p>
            <w:pPr>
              <w:pStyle w:val="TableContents"/>
              <w:bidi w:val="0"/>
              <w:spacing w:before="0" w:after="283"/>
              <w:jc w:val="left"/>
              <w:rPr/>
            </w:pPr>
            <w:r>
              <w:rPr/>
              <w:t>​</w:t>
            </w:r>
          </w:p>
        </w:tc>
        <w:tc>
          <w:tcPr>
            <w:tcW w:w="109" w:type="dxa"/>
            <w:tcBorders>
              <w:bottom w:val="single" w:sz="6" w:space="0" w:color="002F56"/>
            </w:tcBorders>
            <w:tcMar>
              <w:bottom w:w="46" w:type="dxa"/>
            </w:tcMar>
            <w:vAlign w:val="center"/>
          </w:tcPr>
          <w:p>
            <w:pPr>
              <w:pStyle w:val="TableContents"/>
              <w:bidi w:val="0"/>
              <w:spacing w:before="0" w:after="283"/>
              <w:jc w:val="right"/>
              <w:rPr/>
            </w:pPr>
            <w:r>
              <w:rPr/>
              <w:t>​</w:t>
            </w:r>
          </w:p>
        </w:tc>
        <w:tc>
          <w:tcPr>
            <w:tcW w:w="826" w:type="dxa"/>
            <w:tcBorders>
              <w:bottom w:val="single" w:sz="6" w:space="0" w:color="002F56"/>
            </w:tcBorders>
            <w:tcMar>
              <w:bottom w:w="46" w:type="dxa"/>
            </w:tcMar>
            <w:vAlign w:val="center"/>
          </w:tcPr>
          <w:p>
            <w:pPr>
              <w:pStyle w:val="TableContents"/>
              <w:bidi w:val="0"/>
              <w:spacing w:before="0" w:after="283"/>
              <w:jc w:val="right"/>
              <w:rPr/>
            </w:pPr>
            <w:r>
              <w:rPr/>
              <w:t>86.0</w:t>
            </w:r>
          </w:p>
        </w:tc>
        <w:tc>
          <w:tcPr>
            <w:tcW w:w="109" w:type="dxa"/>
            <w:tcBorders>
              <w:bottom w:val="single" w:sz="6" w:space="0" w:color="002F56"/>
            </w:tcBorders>
            <w:vAlign w:val="center"/>
          </w:tcPr>
          <w:p>
            <w:pPr>
              <w:pStyle w:val="TableContents"/>
              <w:bidi w:val="0"/>
              <w:spacing w:before="0" w:after="283"/>
              <w:jc w:val="left"/>
              <w:rPr/>
            </w:pPr>
            <w:r>
              <w:rPr/>
              <w:t>​</w:t>
            </w:r>
          </w:p>
        </w:tc>
        <w:tc>
          <w:tcPr>
            <w:tcW w:w="154" w:type="dxa"/>
            <w:tcBorders>
              <w:bottom w:val="single" w:sz="6" w:space="0" w:color="002F56"/>
            </w:tcBorders>
            <w:vAlign w:val="center"/>
          </w:tcPr>
          <w:p>
            <w:pPr>
              <w:pStyle w:val="TableContents"/>
              <w:bidi w:val="0"/>
              <w:spacing w:before="0" w:after="283"/>
              <w:jc w:val="left"/>
              <w:rPr/>
            </w:pPr>
            <w:r>
              <w:rPr/>
              <w:t>​</w:t>
            </w:r>
          </w:p>
        </w:tc>
      </w:tr>
      <w:tr>
        <w:trPr/>
        <w:tc>
          <w:tcPr>
            <w:tcW w:w="124" w:type="dxa"/>
            <w:tcBorders>
              <w:bottom w:val="single" w:sz="12" w:space="0" w:color="71B1C8"/>
            </w:tcBorders>
            <w:vAlign w:val="center"/>
          </w:tcPr>
          <w:p>
            <w:pPr>
              <w:pStyle w:val="TableContents"/>
              <w:bidi w:val="0"/>
              <w:spacing w:before="0" w:after="283"/>
              <w:jc w:val="left"/>
              <w:rPr/>
            </w:pPr>
            <w:r>
              <w:rPr/>
              <w:t>​</w:t>
            </w:r>
          </w:p>
        </w:tc>
        <w:tc>
          <w:tcPr>
            <w:tcW w:w="2052" w:type="dxa"/>
            <w:tcBorders>
              <w:bottom w:val="single" w:sz="12" w:space="0" w:color="71B1C8"/>
            </w:tcBorders>
            <w:vAlign w:val="center"/>
          </w:tcPr>
          <w:p>
            <w:pPr>
              <w:pStyle w:val="TableContents"/>
              <w:bidi w:val="0"/>
              <w:spacing w:before="0" w:after="0"/>
              <w:ind w:left="160" w:right="0" w:hanging="0"/>
              <w:jc w:val="left"/>
              <w:rPr/>
            </w:pPr>
            <w:r>
              <w:rPr>
                <w:spacing w:val="0"/>
              </w:rPr>
              <w:t>Free cash flow</w:t>
            </w:r>
            <w:r>
              <w:rPr/>
              <w:t xml:space="preserve"> </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826" w:type="dxa"/>
            <w:tcBorders>
              <w:bottom w:val="single" w:sz="12" w:space="0" w:color="71B1C8"/>
            </w:tcBorders>
            <w:vAlign w:val="center"/>
          </w:tcPr>
          <w:p>
            <w:pPr>
              <w:pStyle w:val="TableContents"/>
              <w:bidi w:val="0"/>
              <w:spacing w:before="0" w:after="283"/>
              <w:jc w:val="right"/>
              <w:rPr/>
            </w:pPr>
            <w:r>
              <w:rPr/>
              <w:t>86.6</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826" w:type="dxa"/>
            <w:tcBorders>
              <w:bottom w:val="single" w:sz="12" w:space="0" w:color="71B1C8"/>
            </w:tcBorders>
            <w:vAlign w:val="center"/>
          </w:tcPr>
          <w:p>
            <w:pPr>
              <w:pStyle w:val="TableContents"/>
              <w:bidi w:val="0"/>
              <w:spacing w:before="0" w:after="283"/>
              <w:jc w:val="right"/>
              <w:rPr/>
            </w:pPr>
            <w:r>
              <w:rPr/>
              <w:t>146.9</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826" w:type="dxa"/>
            <w:tcBorders>
              <w:bottom w:val="single" w:sz="12" w:space="0" w:color="71B1C8"/>
            </w:tcBorders>
            <w:vAlign w:val="center"/>
          </w:tcPr>
          <w:p>
            <w:pPr>
              <w:pStyle w:val="TableContents"/>
              <w:bidi w:val="0"/>
              <w:spacing w:before="0" w:after="283"/>
              <w:jc w:val="right"/>
              <w:rPr/>
            </w:pPr>
            <w:r>
              <w:rPr/>
              <w:t>140.1</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826" w:type="dxa"/>
            <w:tcBorders>
              <w:bottom w:val="single" w:sz="12" w:space="0" w:color="71B1C8"/>
            </w:tcBorders>
            <w:vAlign w:val="center"/>
          </w:tcPr>
          <w:p>
            <w:pPr>
              <w:pStyle w:val="TableContents"/>
              <w:bidi w:val="0"/>
              <w:spacing w:before="0" w:after="283"/>
              <w:jc w:val="right"/>
              <w:rPr/>
            </w:pPr>
            <w:r>
              <w:rPr/>
              <w:t>23.6</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left"/>
              <w:rPr/>
            </w:pPr>
            <w:r>
              <w:rPr/>
              <w:t>​</w:t>
            </w:r>
          </w:p>
        </w:tc>
        <w:tc>
          <w:tcPr>
            <w:tcW w:w="109" w:type="dxa"/>
            <w:tcBorders>
              <w:bottom w:val="single" w:sz="12" w:space="0" w:color="71B1C8"/>
            </w:tcBorders>
            <w:vAlign w:val="center"/>
          </w:tcPr>
          <w:p>
            <w:pPr>
              <w:pStyle w:val="TableContents"/>
              <w:bidi w:val="0"/>
              <w:spacing w:before="0" w:after="283"/>
              <w:jc w:val="right"/>
              <w:rPr/>
            </w:pPr>
            <w:r>
              <w:rPr/>
              <w:t>​</w:t>
            </w:r>
          </w:p>
        </w:tc>
        <w:tc>
          <w:tcPr>
            <w:tcW w:w="826" w:type="dxa"/>
            <w:tcBorders>
              <w:bottom w:val="single" w:sz="12" w:space="0" w:color="71B1C8"/>
            </w:tcBorders>
            <w:vAlign w:val="center"/>
          </w:tcPr>
          <w:p>
            <w:pPr>
              <w:pStyle w:val="TableContents"/>
              <w:bidi w:val="0"/>
              <w:spacing w:before="0" w:after="283"/>
              <w:jc w:val="right"/>
              <w:rPr/>
            </w:pPr>
            <w:r>
              <w:rPr/>
              <w:t>146.4</w:t>
            </w:r>
          </w:p>
        </w:tc>
        <w:tc>
          <w:tcPr>
            <w:tcW w:w="109" w:type="dxa"/>
            <w:tcBorders>
              <w:bottom w:val="single" w:sz="12" w:space="0" w:color="71B1C8"/>
            </w:tcBorders>
            <w:vAlign w:val="center"/>
          </w:tcPr>
          <w:p>
            <w:pPr>
              <w:pStyle w:val="TableContents"/>
              <w:bidi w:val="0"/>
              <w:spacing w:before="0" w:after="283"/>
              <w:jc w:val="left"/>
              <w:rPr/>
            </w:pPr>
            <w:r>
              <w:rPr/>
              <w:t>​</w:t>
            </w:r>
          </w:p>
        </w:tc>
        <w:tc>
          <w:tcPr>
            <w:tcW w:w="154" w:type="dxa"/>
            <w:tcBorders>
              <w:bottom w:val="single" w:sz="12" w:space="0" w:color="71B1C8"/>
            </w:tcBorders>
            <w:vAlign w:val="center"/>
          </w:tcPr>
          <w:p>
            <w:pPr>
              <w:pStyle w:val="TableContents"/>
              <w:bidi w:val="0"/>
              <w:spacing w:before="0" w:after="283"/>
              <w:jc w:val="left"/>
              <w:rPr/>
            </w:pPr>
            <w:r>
              <w:rPr/>
              <w:t>​</w:t>
            </w:r>
          </w:p>
        </w:tc>
      </w:tr>
    </w:tbl>
    <w:p>
      <w:pPr>
        <w:pStyle w:val="TextBody"/>
        <w:bidi w:val="0"/>
        <w:spacing w:lineRule="atLeast" w:line="210" w:before="60" w:after="283"/>
        <w:ind w:left="1020" w:right="0" w:hanging="0"/>
        <w:jc w:val="left"/>
        <w:rPr>
          <w:rFonts w:ascii="Arial;Helvetica;sans-serif" w:hAnsi="Arial;Helvetica;sans-serif"/>
          <w:b w:val="false"/>
          <w:i w:val="false"/>
          <w:caps w:val="false"/>
          <w:smallCaps w:val="false"/>
          <w:color w:val="595959"/>
          <w:sz w:val="17"/>
        </w:rPr>
      </w:pPr>
      <w:r>
        <w:rPr>
          <w:rFonts w:ascii="Arial;Helvetica;sans-serif" w:hAnsi="Arial;Helvetica;sans-serif"/>
          <w:b/>
          <w:i w:val="false"/>
          <w:caps w:val="false"/>
          <w:smallCaps w:val="false"/>
          <w:color w:val="DF0000"/>
          <w:spacing w:val="-10"/>
          <w:sz w:val="17"/>
        </w:rPr>
        <w:t>A-2</w:t>
      </w:r>
      <w:r>
        <w:rPr>
          <w:rFonts w:ascii="Arial;Helvetica;sans-serif" w:hAnsi="Arial;Helvetica;sans-serif"/>
          <w:b w:val="false"/>
          <w:i w:val="false"/>
          <w:caps w:val="false"/>
          <w:smallCaps w:val="false"/>
          <w:color w:val="000000"/>
          <w:spacing w:val="-1"/>
          <w:sz w:val="17"/>
        </w:rPr>
        <w:t>   </w:t>
      </w:r>
      <w:r>
        <w:rPr>
          <w:rFonts w:ascii="Arial;Helvetica;sans-serif" w:hAnsi="Arial;Helvetica;sans-serif"/>
          <w:b w:val="false"/>
          <w:i w:val="false"/>
          <w:caps w:val="false"/>
          <w:smallCaps w:val="false"/>
          <w:color w:val="595959"/>
          <w:spacing w:val="-1"/>
          <w:sz w:val="17"/>
        </w:rPr>
        <w:t>MINERALS TECHNOLOGIES INC.</w:t>
      </w:r>
      <w:r>
        <w:rPr>
          <w:rFonts w:ascii="Arial;Helvetica;sans-serif" w:hAnsi="Arial;Helvetica;sans-serif"/>
          <w:b w:val="false"/>
          <w:i w:val="false"/>
          <w:caps w:val="false"/>
          <w:smallCaps w:val="false"/>
          <w:color w:val="002F56"/>
          <w:spacing w:val="-1"/>
          <w:sz w:val="17"/>
        </w:rPr>
        <w:t> | </w:t>
      </w:r>
      <w:r>
        <w:rPr>
          <w:rFonts w:ascii="Arial;Helvetica;sans-serif" w:hAnsi="Arial;Helvetica;sans-serif"/>
          <w:b w:val="false"/>
          <w:i w:val="false"/>
          <w:caps w:val="false"/>
          <w:smallCaps w:val="false"/>
          <w:color w:val="595959"/>
          <w:spacing w:val="-1"/>
          <w:sz w:val="17"/>
        </w:rPr>
        <w:t>2026 PROXY STATEMENT</w:t>
      </w:r>
      <w:r>
        <w:rPr>
          <w:rFonts w:ascii="Arial;Helvetica;sans-serif" w:hAnsi="Arial;Helvetica;sans-serif"/>
          <w:b w:val="false"/>
          <w:i w:val="false"/>
          <w:caps w:val="false"/>
          <w:smallCaps w:val="false"/>
          <w:color w:val="595959"/>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772400" cy="10058400"/>
            <wp:effectExtent l="0" t="0" r="0" b="0"/>
            <wp:docPr id="921"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302" descr=""/>
                    <pic:cNvPicPr>
                      <a:picLocks noChangeAspect="1" noChangeArrowheads="1"/>
                    </pic:cNvPicPr>
                  </pic:nvPicPr>
                  <pic:blipFill>
                    <a:blip r:embed="rId315"/>
                    <a:stretch>
                      <a:fillRect/>
                    </a:stretch>
                  </pic:blipFill>
                  <pic:spPr bwMode="auto">
                    <a:xfrm>
                      <a:off x="0" y="0"/>
                      <a:ext cx="7772400" cy="10058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9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THIS PROXY CARD IS VALID ONLY WHEN SIGNED AND DATED. KEEP THIS PORTION FOR YOUR RECORDS DETACH AND RETURN THIS PORTION ONLY TO VOTE, MARK BLOCKS BELOW IN BLUE OR BLACK INK AS FOLLOWS: Signature [PLEASE SIGN WITHIN BOX] Date Signature (Joint Owners) Date SCAN TO VIEW MATERIALS &amp; VOTE 0 0 0 0 0 0 0 0 0 0 0 0 0000699613_1 R2.09.05.010 MINERALS TECHNOLOGIES INC. 622 THIRD AVENUE NEW YORK, NY 10017 VOTE BY INTERNET - www.proxyvote.com or scan the QR Barcode above Use the Internet to transmit your voting instructions and for electronic delivery of information. Vote by 11:59 P.M. ET on 05/19/2026 for shares held directly and by 11:59 P.M. ET on 05/17/2026 for shares held in a Plan. Have your proxy card in hand when you access the web site and follow the instructions to obtain your records and to create an electronic voting instruction form. During The Meeting - Go to www.virtualshareholdermeeting.com/MTX2026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ET on 05/19/2026 for shares held directly and by 11:59 P.M. ET on 05/17/2026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The Board of Directors recommends you vote FOR the following: 1. Election of two Directors Nominees For Against Abstain 1a. Joseph C. Breunig 1b. Kristina M. Johnson The Board of Directors recommends you vote FOR proposals 2 and 3. For Against Abstain 2. Ratify the appointment of KPMG LLP as the independent registered public accounting firm for the 2026 fiscal year. 3. Advisory vote to approve 2025 named executive officer compensation.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772400" cy="10058400"/>
            <wp:effectExtent l="0" t="0" r="0" b="0"/>
            <wp:docPr id="922"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Image303" descr=""/>
                    <pic:cNvPicPr>
                      <a:picLocks noChangeAspect="1" noChangeArrowheads="1"/>
                    </pic:cNvPicPr>
                  </pic:nvPicPr>
                  <pic:blipFill>
                    <a:blip r:embed="rId316"/>
                    <a:stretch>
                      <a:fillRect/>
                    </a:stretch>
                  </pic:blipFill>
                  <pic:spPr bwMode="auto">
                    <a:xfrm>
                      <a:off x="0" y="0"/>
                      <a:ext cx="7772400" cy="10058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9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0000699613_2 R2.09.05.010 Important Notice Regarding the Availability of Proxy Materials for the Annual Meeting: The Notice and Proxy Statement and Annual Report are available at www.proxyvote.com MINERALS TECHNOLOGIES INC. Annual Meeting of Shareholders May 20, 2026, 9:00 a.m. ET virtually at www.virtualshareholdermeeting.com/MTX2026 This proxy is solicited by the Board of Directors The undersigned hereby appoints Erik C. Aldag, Timothy J. Jordan and Alexander K. Sudnik, and each of them, with power to act without the other and with power of substitution, as proxies and attorneys-in-fact and hereby authorizes them to represent and vote, as provided on the other side, all the shares of Minerals Technologies Inc. Common Stock which the undersigned is entitled to vote and, in their discretion, to vote upon such other business as may properly come before the Annual Meeting of Shareholders of Minerals Technologies Inc. to be held May 20, 2026 or any adjournment thereof, with all powers which the undersigned would possess if present at the Meeting. THIS PROXY CARD, WHEN PROPERLY EXECUTED, WILL BE VOTED IN THE MANNER DIRECTED HEREIN BY THE UNDERSIGNED. IF NO DIRECTION IS MADE BUT THE CARD IS SIGNED, THIS PROXY CARD WILL BE VOTED FOR THE ELECTION OF THE NOMINEES UNDER PROPOSAL 1, FOR PROPOSAL 2, FOR PROPOSAL 3, AND IN THE DISCRETION OF THE PROXIES WITH RESPECT TO SUCH OTHER BUSINESS AS MAY PROPERLY COME BEFORE THE MEETING. Continued and to be signed on reverse side Dear Shareholder, Please take note of the important information enclosed with th is Proxy Ballot. Your vote counts and you are strongly encouraged to exercise your right to vote your shares. Please mark the boxes on the proxy card to indicate how your shares should be voted. Then sign the card, detach and return your proxy vote in the enclosed postage envelope. You may also vote your shares be telephone or via the Internet. If you choose to vote by telephone or via the Internet, you do not need to return the attached card. If you are a participant in the Minerals Technologies Inc. Savings and Investment Plan, you may direct the trustee of the Plan how to vote the shares allocated to your account under the Plan by casting your vote by May 17, 2026. If you do not direct the trustee, the trustee will vote any undirected shares in the same proportion as those for which it has received instructions. As a participant in the Plan, your vote remains confidential. Thank you in advance for your prompt consideration of these matters. Sincerely, Minerals Technologies Inc.</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3.jpeg"/><Relationship Id="rId9" Type="http://schemas.openxmlformats.org/officeDocument/2006/relationships/image" Target="media/image6.gif"/><Relationship Id="rId10" Type="http://schemas.openxmlformats.org/officeDocument/2006/relationships/image" Target="media/image7.gif"/><Relationship Id="rId11" Type="http://schemas.openxmlformats.org/officeDocument/2006/relationships/image" Target="media/image8.gif"/><Relationship Id="rId12" Type="http://schemas.openxmlformats.org/officeDocument/2006/relationships/image" Target="media/image9.gif"/><Relationship Id="rId13" Type="http://schemas.openxmlformats.org/officeDocument/2006/relationships/image" Target="media/image10.gif"/><Relationship Id="rId14" Type="http://schemas.openxmlformats.org/officeDocument/2006/relationships/image" Target="media/image11.gif"/><Relationship Id="rId15" Type="http://schemas.openxmlformats.org/officeDocument/2006/relationships/image" Target="media/image12.gif"/><Relationship Id="rId16" Type="http://schemas.openxmlformats.org/officeDocument/2006/relationships/image" Target="media/image9.gif"/><Relationship Id="rId17" Type="http://schemas.openxmlformats.org/officeDocument/2006/relationships/image" Target="media/image10.gif"/><Relationship Id="rId18" Type="http://schemas.openxmlformats.org/officeDocument/2006/relationships/image" Target="media/image11.gif"/><Relationship Id="rId19" Type="http://schemas.openxmlformats.org/officeDocument/2006/relationships/image" Target="media/image12.gif"/><Relationship Id="rId20" Type="http://schemas.openxmlformats.org/officeDocument/2006/relationships/image" Target="media/image13.jpeg"/><Relationship Id="rId21" Type="http://schemas.openxmlformats.org/officeDocument/2006/relationships/image" Target="media/image13.jpeg"/><Relationship Id="rId22" Type="http://schemas.openxmlformats.org/officeDocument/2006/relationships/image" Target="media/image13.jpeg"/><Relationship Id="rId23" Type="http://schemas.openxmlformats.org/officeDocument/2006/relationships/image" Target="media/image13.jpeg"/><Relationship Id="rId24" Type="http://schemas.openxmlformats.org/officeDocument/2006/relationships/image" Target="media/image13.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6.gif"/><Relationship Id="rId31" Type="http://schemas.openxmlformats.org/officeDocument/2006/relationships/image" Target="media/image7.gif"/><Relationship Id="rId32" Type="http://schemas.openxmlformats.org/officeDocument/2006/relationships/image" Target="media/image13.jpeg"/><Relationship Id="rId33" Type="http://schemas.openxmlformats.org/officeDocument/2006/relationships/image" Target="media/image13.jpeg"/><Relationship Id="rId34" Type="http://schemas.openxmlformats.org/officeDocument/2006/relationships/image" Target="media/image13.jpeg"/><Relationship Id="rId35" Type="http://schemas.openxmlformats.org/officeDocument/2006/relationships/image" Target="media/image16.jpeg"/><Relationship Id="rId36" Type="http://schemas.openxmlformats.org/officeDocument/2006/relationships/image" Target="media/image17.gif"/><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20.jpeg"/><Relationship Id="rId40" Type="http://schemas.openxmlformats.org/officeDocument/2006/relationships/image" Target="media/image21.jpeg"/><Relationship Id="rId41" Type="http://schemas.openxmlformats.org/officeDocument/2006/relationships/image" Target="media/image22.jpeg"/><Relationship Id="rId42" Type="http://schemas.openxmlformats.org/officeDocument/2006/relationships/image" Target="media/image13.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13.jpeg"/><Relationship Id="rId47" Type="http://schemas.openxmlformats.org/officeDocument/2006/relationships/image" Target="media/image23.jpeg"/><Relationship Id="rId48" Type="http://schemas.openxmlformats.org/officeDocument/2006/relationships/image" Target="media/image24.jpeg"/><Relationship Id="rId49" Type="http://schemas.openxmlformats.org/officeDocument/2006/relationships/image" Target="media/image26.jpeg"/><Relationship Id="rId50" Type="http://schemas.openxmlformats.org/officeDocument/2006/relationships/image" Target="media/image13.jpeg"/><Relationship Id="rId51" Type="http://schemas.openxmlformats.org/officeDocument/2006/relationships/image" Target="media/image27.jpeg"/><Relationship Id="rId52" Type="http://schemas.openxmlformats.org/officeDocument/2006/relationships/image" Target="media/image28.jpeg"/><Relationship Id="rId53" Type="http://schemas.openxmlformats.org/officeDocument/2006/relationships/image" Target="media/image13.jpeg"/><Relationship Id="rId54" Type="http://schemas.openxmlformats.org/officeDocument/2006/relationships/image" Target="media/image23.jpeg"/><Relationship Id="rId55" Type="http://schemas.openxmlformats.org/officeDocument/2006/relationships/image" Target="media/image23.jpe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13.jpeg"/><Relationship Id="rId59" Type="http://schemas.openxmlformats.org/officeDocument/2006/relationships/image" Target="media/image23.jpeg"/><Relationship Id="rId60" Type="http://schemas.openxmlformats.org/officeDocument/2006/relationships/image" Target="media/image31.jpeg"/><Relationship Id="rId61" Type="http://schemas.openxmlformats.org/officeDocument/2006/relationships/image" Target="media/image23.jpeg"/><Relationship Id="rId62" Type="http://schemas.openxmlformats.org/officeDocument/2006/relationships/image" Target="media/image32.jpeg"/><Relationship Id="rId63" Type="http://schemas.openxmlformats.org/officeDocument/2006/relationships/image" Target="media/image13.jpeg"/><Relationship Id="rId64" Type="http://schemas.openxmlformats.org/officeDocument/2006/relationships/image" Target="media/image23.jpeg"/><Relationship Id="rId65" Type="http://schemas.openxmlformats.org/officeDocument/2006/relationships/image" Target="media/image23.jpeg"/><Relationship Id="rId66" Type="http://schemas.openxmlformats.org/officeDocument/2006/relationships/image" Target="media/image33.jpeg"/><Relationship Id="rId67" Type="http://schemas.openxmlformats.org/officeDocument/2006/relationships/image" Target="media/image13.jpeg"/><Relationship Id="rId68" Type="http://schemas.openxmlformats.org/officeDocument/2006/relationships/image" Target="media/image23.jpeg"/><Relationship Id="rId69" Type="http://schemas.openxmlformats.org/officeDocument/2006/relationships/image" Target="media/image23.jpeg"/><Relationship Id="rId70" Type="http://schemas.openxmlformats.org/officeDocument/2006/relationships/image" Target="media/image34.jpeg"/><Relationship Id="rId71" Type="http://schemas.openxmlformats.org/officeDocument/2006/relationships/image" Target="media/image13.jpeg"/><Relationship Id="rId72" Type="http://schemas.openxmlformats.org/officeDocument/2006/relationships/image" Target="media/image23.jpeg"/><Relationship Id="rId73" Type="http://schemas.openxmlformats.org/officeDocument/2006/relationships/image" Target="media/image31.jpeg"/><Relationship Id="rId74" Type="http://schemas.openxmlformats.org/officeDocument/2006/relationships/image" Target="media/image23.jpeg"/><Relationship Id="rId75" Type="http://schemas.openxmlformats.org/officeDocument/2006/relationships/image" Target="media/image35.jpeg"/><Relationship Id="rId76" Type="http://schemas.openxmlformats.org/officeDocument/2006/relationships/image" Target="media/image13.jpeg"/><Relationship Id="rId77" Type="http://schemas.openxmlformats.org/officeDocument/2006/relationships/image" Target="media/image24.jpeg"/><Relationship Id="rId78" Type="http://schemas.openxmlformats.org/officeDocument/2006/relationships/image" Target="media/image23.jpeg"/><Relationship Id="rId79" Type="http://schemas.openxmlformats.org/officeDocument/2006/relationships/image" Target="media/image27.jpeg"/><Relationship Id="rId80" Type="http://schemas.openxmlformats.org/officeDocument/2006/relationships/image" Target="media/image24.jpeg"/><Relationship Id="rId81" Type="http://schemas.openxmlformats.org/officeDocument/2006/relationships/image" Target="media/image23.jpeg"/><Relationship Id="rId82" Type="http://schemas.openxmlformats.org/officeDocument/2006/relationships/image" Target="media/image31.jpeg"/><Relationship Id="rId83" Type="http://schemas.openxmlformats.org/officeDocument/2006/relationships/image" Target="media/image36.jpeg"/><Relationship Id="rId84" Type="http://schemas.openxmlformats.org/officeDocument/2006/relationships/image" Target="media/image37.jpeg"/><Relationship Id="rId85" Type="http://schemas.openxmlformats.org/officeDocument/2006/relationships/image" Target="media/image17.gif"/><Relationship Id="rId86" Type="http://schemas.openxmlformats.org/officeDocument/2006/relationships/image" Target="media/image38.gif"/><Relationship Id="rId87" Type="http://schemas.openxmlformats.org/officeDocument/2006/relationships/image" Target="media/image39.gif"/><Relationship Id="rId88" Type="http://schemas.openxmlformats.org/officeDocument/2006/relationships/image" Target="media/image40.gif"/><Relationship Id="rId89" Type="http://schemas.openxmlformats.org/officeDocument/2006/relationships/image" Target="media/image41.gif"/><Relationship Id="rId90" Type="http://schemas.openxmlformats.org/officeDocument/2006/relationships/image" Target="media/image42.jpeg"/><Relationship Id="rId91" Type="http://schemas.openxmlformats.org/officeDocument/2006/relationships/image" Target="media/image43.jpeg"/><Relationship Id="rId92" Type="http://schemas.openxmlformats.org/officeDocument/2006/relationships/image" Target="media/image44.gif"/><Relationship Id="rId93" Type="http://schemas.openxmlformats.org/officeDocument/2006/relationships/image" Target="media/image45.jpeg"/><Relationship Id="rId94" Type="http://schemas.openxmlformats.org/officeDocument/2006/relationships/image" Target="media/image45.jpeg"/><Relationship Id="rId95" Type="http://schemas.openxmlformats.org/officeDocument/2006/relationships/image" Target="media/image46.gif"/><Relationship Id="rId96" Type="http://schemas.openxmlformats.org/officeDocument/2006/relationships/image" Target="media/image45.jpeg"/><Relationship Id="rId97" Type="http://schemas.openxmlformats.org/officeDocument/2006/relationships/image" Target="media/image45.jpeg"/><Relationship Id="rId98" Type="http://schemas.openxmlformats.org/officeDocument/2006/relationships/image" Target="media/image47.gif"/><Relationship Id="rId99" Type="http://schemas.openxmlformats.org/officeDocument/2006/relationships/image" Target="media/image45.jpeg"/><Relationship Id="rId100" Type="http://schemas.openxmlformats.org/officeDocument/2006/relationships/image" Target="media/image17.gif"/><Relationship Id="rId101" Type="http://schemas.openxmlformats.org/officeDocument/2006/relationships/image" Target="media/image48.jpeg"/><Relationship Id="rId102" Type="http://schemas.openxmlformats.org/officeDocument/2006/relationships/image" Target="media/image49.jpeg"/><Relationship Id="rId103" Type="http://schemas.openxmlformats.org/officeDocument/2006/relationships/image" Target="media/image50.gif"/><Relationship Id="rId104" Type="http://schemas.openxmlformats.org/officeDocument/2006/relationships/image" Target="media/image51.gif"/><Relationship Id="rId105" Type="http://schemas.openxmlformats.org/officeDocument/2006/relationships/image" Target="media/image52.gif"/><Relationship Id="rId106" Type="http://schemas.openxmlformats.org/officeDocument/2006/relationships/image" Target="media/image53.gif"/><Relationship Id="rId107" Type="http://schemas.openxmlformats.org/officeDocument/2006/relationships/image" Target="media/image54.gif"/><Relationship Id="rId108" Type="http://schemas.openxmlformats.org/officeDocument/2006/relationships/image" Target="media/image55.gif"/><Relationship Id="rId109" Type="http://schemas.openxmlformats.org/officeDocument/2006/relationships/image" Target="media/image56.gif"/><Relationship Id="rId110" Type="http://schemas.openxmlformats.org/officeDocument/2006/relationships/image" Target="media/image57.gif"/><Relationship Id="rId111" Type="http://schemas.openxmlformats.org/officeDocument/2006/relationships/image" Target="media/image58.gif"/><Relationship Id="rId112" Type="http://schemas.openxmlformats.org/officeDocument/2006/relationships/image" Target="media/image59.gif"/><Relationship Id="rId113" Type="http://schemas.openxmlformats.org/officeDocument/2006/relationships/image" Target="media/image60.gif"/><Relationship Id="rId114" Type="http://schemas.openxmlformats.org/officeDocument/2006/relationships/image" Target="media/image51.gif"/><Relationship Id="rId115" Type="http://schemas.openxmlformats.org/officeDocument/2006/relationships/image" Target="media/image13.jpeg"/><Relationship Id="rId116" Type="http://schemas.openxmlformats.org/officeDocument/2006/relationships/image" Target="media/image13.jpeg"/><Relationship Id="rId117" Type="http://schemas.openxmlformats.org/officeDocument/2006/relationships/image" Target="media/image13.jpeg"/><Relationship Id="rId118" Type="http://schemas.openxmlformats.org/officeDocument/2006/relationships/image" Target="media/image13.jpeg"/><Relationship Id="rId119" Type="http://schemas.openxmlformats.org/officeDocument/2006/relationships/image" Target="media/image13.jpeg"/><Relationship Id="rId120" Type="http://schemas.openxmlformats.org/officeDocument/2006/relationships/image" Target="media/image13.jpeg"/><Relationship Id="rId121" Type="http://schemas.openxmlformats.org/officeDocument/2006/relationships/image" Target="media/image13.jpeg"/><Relationship Id="rId122" Type="http://schemas.openxmlformats.org/officeDocument/2006/relationships/image" Target="media/image13.jpeg"/><Relationship Id="rId123" Type="http://schemas.openxmlformats.org/officeDocument/2006/relationships/image" Target="media/image13.jpeg"/><Relationship Id="rId124" Type="http://schemas.openxmlformats.org/officeDocument/2006/relationships/image" Target="media/image13.jpeg"/><Relationship Id="rId125" Type="http://schemas.openxmlformats.org/officeDocument/2006/relationships/image" Target="media/image52.gif"/><Relationship Id="rId126" Type="http://schemas.openxmlformats.org/officeDocument/2006/relationships/image" Target="media/image13.jpeg"/><Relationship Id="rId127" Type="http://schemas.openxmlformats.org/officeDocument/2006/relationships/image" Target="media/image13.jpeg"/><Relationship Id="rId128" Type="http://schemas.openxmlformats.org/officeDocument/2006/relationships/image" Target="media/image13.jpeg"/><Relationship Id="rId129" Type="http://schemas.openxmlformats.org/officeDocument/2006/relationships/image" Target="media/image13.jpeg"/><Relationship Id="rId130" Type="http://schemas.openxmlformats.org/officeDocument/2006/relationships/image" Target="media/image13.jpeg"/><Relationship Id="rId131" Type="http://schemas.openxmlformats.org/officeDocument/2006/relationships/image" Target="media/image13.jpeg"/><Relationship Id="rId132" Type="http://schemas.openxmlformats.org/officeDocument/2006/relationships/image" Target="media/image13.jpeg"/><Relationship Id="rId133" Type="http://schemas.openxmlformats.org/officeDocument/2006/relationships/image" Target="media/image53.gif"/><Relationship Id="rId134" Type="http://schemas.openxmlformats.org/officeDocument/2006/relationships/image" Target="media/image13.jpeg"/><Relationship Id="rId135" Type="http://schemas.openxmlformats.org/officeDocument/2006/relationships/image" Target="media/image13.jpeg"/><Relationship Id="rId136" Type="http://schemas.openxmlformats.org/officeDocument/2006/relationships/image" Target="media/image13.jpeg"/><Relationship Id="rId137" Type="http://schemas.openxmlformats.org/officeDocument/2006/relationships/image" Target="media/image13.jpeg"/><Relationship Id="rId138" Type="http://schemas.openxmlformats.org/officeDocument/2006/relationships/image" Target="media/image13.jpeg"/><Relationship Id="rId139" Type="http://schemas.openxmlformats.org/officeDocument/2006/relationships/image" Target="media/image13.jpeg"/><Relationship Id="rId140" Type="http://schemas.openxmlformats.org/officeDocument/2006/relationships/image" Target="media/image13.jpeg"/><Relationship Id="rId141" Type="http://schemas.openxmlformats.org/officeDocument/2006/relationships/image" Target="media/image13.jpeg"/><Relationship Id="rId142" Type="http://schemas.openxmlformats.org/officeDocument/2006/relationships/image" Target="media/image13.jpeg"/><Relationship Id="rId143" Type="http://schemas.openxmlformats.org/officeDocument/2006/relationships/image" Target="media/image13.jpeg"/><Relationship Id="rId144" Type="http://schemas.openxmlformats.org/officeDocument/2006/relationships/image" Target="media/image54.gif"/><Relationship Id="rId145" Type="http://schemas.openxmlformats.org/officeDocument/2006/relationships/image" Target="media/image13.jpeg"/><Relationship Id="rId146" Type="http://schemas.openxmlformats.org/officeDocument/2006/relationships/image" Target="media/image13.jpeg"/><Relationship Id="rId147" Type="http://schemas.openxmlformats.org/officeDocument/2006/relationships/image" Target="media/image13.jpeg"/><Relationship Id="rId148" Type="http://schemas.openxmlformats.org/officeDocument/2006/relationships/image" Target="media/image13.jpeg"/><Relationship Id="rId149" Type="http://schemas.openxmlformats.org/officeDocument/2006/relationships/image" Target="media/image13.jpeg"/><Relationship Id="rId150" Type="http://schemas.openxmlformats.org/officeDocument/2006/relationships/image" Target="media/image13.jpeg"/><Relationship Id="rId151" Type="http://schemas.openxmlformats.org/officeDocument/2006/relationships/image" Target="media/image55.gif"/><Relationship Id="rId152" Type="http://schemas.openxmlformats.org/officeDocument/2006/relationships/image" Target="media/image13.jpeg"/><Relationship Id="rId153" Type="http://schemas.openxmlformats.org/officeDocument/2006/relationships/image" Target="media/image13.jpeg"/><Relationship Id="rId154" Type="http://schemas.openxmlformats.org/officeDocument/2006/relationships/image" Target="media/image13.jpeg"/><Relationship Id="rId155" Type="http://schemas.openxmlformats.org/officeDocument/2006/relationships/image" Target="media/image13.jpeg"/><Relationship Id="rId156" Type="http://schemas.openxmlformats.org/officeDocument/2006/relationships/image" Target="media/image13.jpeg"/><Relationship Id="rId157" Type="http://schemas.openxmlformats.org/officeDocument/2006/relationships/image" Target="media/image13.jpeg"/><Relationship Id="rId158" Type="http://schemas.openxmlformats.org/officeDocument/2006/relationships/image" Target="media/image56.gif"/><Relationship Id="rId159" Type="http://schemas.openxmlformats.org/officeDocument/2006/relationships/image" Target="media/image13.jpeg"/><Relationship Id="rId160" Type="http://schemas.openxmlformats.org/officeDocument/2006/relationships/image" Target="media/image13.jpeg"/><Relationship Id="rId161" Type="http://schemas.openxmlformats.org/officeDocument/2006/relationships/image" Target="media/image13.jpeg"/><Relationship Id="rId162" Type="http://schemas.openxmlformats.org/officeDocument/2006/relationships/image" Target="media/image13.jpeg"/><Relationship Id="rId163" Type="http://schemas.openxmlformats.org/officeDocument/2006/relationships/image" Target="media/image13.jpeg"/><Relationship Id="rId164" Type="http://schemas.openxmlformats.org/officeDocument/2006/relationships/image" Target="media/image13.jpeg"/><Relationship Id="rId165" Type="http://schemas.openxmlformats.org/officeDocument/2006/relationships/image" Target="media/image13.jpeg"/><Relationship Id="rId166" Type="http://schemas.openxmlformats.org/officeDocument/2006/relationships/image" Target="media/image13.jpeg"/><Relationship Id="rId167" Type="http://schemas.openxmlformats.org/officeDocument/2006/relationships/image" Target="media/image57.gif"/><Relationship Id="rId168" Type="http://schemas.openxmlformats.org/officeDocument/2006/relationships/image" Target="media/image13.jpeg"/><Relationship Id="rId169" Type="http://schemas.openxmlformats.org/officeDocument/2006/relationships/image" Target="media/image13.jpeg"/><Relationship Id="rId170" Type="http://schemas.openxmlformats.org/officeDocument/2006/relationships/image" Target="media/image13.jpeg"/><Relationship Id="rId171" Type="http://schemas.openxmlformats.org/officeDocument/2006/relationships/image" Target="media/image13.jpeg"/><Relationship Id="rId172" Type="http://schemas.openxmlformats.org/officeDocument/2006/relationships/image" Target="media/image13.jpeg"/><Relationship Id="rId173" Type="http://schemas.openxmlformats.org/officeDocument/2006/relationships/image" Target="media/image13.jpeg"/><Relationship Id="rId174" Type="http://schemas.openxmlformats.org/officeDocument/2006/relationships/image" Target="media/image13.jpeg"/><Relationship Id="rId175" Type="http://schemas.openxmlformats.org/officeDocument/2006/relationships/image" Target="media/image13.jpeg"/><Relationship Id="rId176" Type="http://schemas.openxmlformats.org/officeDocument/2006/relationships/image" Target="media/image13.jpeg"/><Relationship Id="rId177" Type="http://schemas.openxmlformats.org/officeDocument/2006/relationships/image" Target="media/image58.gif"/><Relationship Id="rId178" Type="http://schemas.openxmlformats.org/officeDocument/2006/relationships/image" Target="media/image13.jpeg"/><Relationship Id="rId179" Type="http://schemas.openxmlformats.org/officeDocument/2006/relationships/image" Target="media/image13.jpeg"/><Relationship Id="rId180" Type="http://schemas.openxmlformats.org/officeDocument/2006/relationships/image" Target="media/image13.jpeg"/><Relationship Id="rId181" Type="http://schemas.openxmlformats.org/officeDocument/2006/relationships/image" Target="media/image13.jpeg"/><Relationship Id="rId182" Type="http://schemas.openxmlformats.org/officeDocument/2006/relationships/image" Target="media/image13.jpeg"/><Relationship Id="rId183" Type="http://schemas.openxmlformats.org/officeDocument/2006/relationships/image" Target="media/image13.jpeg"/><Relationship Id="rId184" Type="http://schemas.openxmlformats.org/officeDocument/2006/relationships/image" Target="media/image13.jpeg"/><Relationship Id="rId185" Type="http://schemas.openxmlformats.org/officeDocument/2006/relationships/image" Target="media/image13.jpeg"/><Relationship Id="rId186" Type="http://schemas.openxmlformats.org/officeDocument/2006/relationships/image" Target="media/image13.jpeg"/><Relationship Id="rId187" Type="http://schemas.openxmlformats.org/officeDocument/2006/relationships/image" Target="media/image59.gif"/><Relationship Id="rId188" Type="http://schemas.openxmlformats.org/officeDocument/2006/relationships/image" Target="media/image13.jpeg"/><Relationship Id="rId189" Type="http://schemas.openxmlformats.org/officeDocument/2006/relationships/image" Target="media/image13.jpeg"/><Relationship Id="rId190" Type="http://schemas.openxmlformats.org/officeDocument/2006/relationships/image" Target="media/image13.jpeg"/><Relationship Id="rId191" Type="http://schemas.openxmlformats.org/officeDocument/2006/relationships/image" Target="media/image13.jpeg"/><Relationship Id="rId192" Type="http://schemas.openxmlformats.org/officeDocument/2006/relationships/image" Target="media/image13.jpeg"/><Relationship Id="rId193" Type="http://schemas.openxmlformats.org/officeDocument/2006/relationships/image" Target="media/image13.jpeg"/><Relationship Id="rId194" Type="http://schemas.openxmlformats.org/officeDocument/2006/relationships/image" Target="media/image13.jpeg"/><Relationship Id="rId195" Type="http://schemas.openxmlformats.org/officeDocument/2006/relationships/image" Target="media/image13.jpeg"/><Relationship Id="rId196" Type="http://schemas.openxmlformats.org/officeDocument/2006/relationships/image" Target="media/image13.jpeg"/><Relationship Id="rId197" Type="http://schemas.openxmlformats.org/officeDocument/2006/relationships/image" Target="media/image13.jpeg"/><Relationship Id="rId198" Type="http://schemas.openxmlformats.org/officeDocument/2006/relationships/image" Target="media/image60.gif"/><Relationship Id="rId199" Type="http://schemas.openxmlformats.org/officeDocument/2006/relationships/image" Target="media/image13.jpeg"/><Relationship Id="rId200" Type="http://schemas.openxmlformats.org/officeDocument/2006/relationships/image" Target="media/image13.jpeg"/><Relationship Id="rId201" Type="http://schemas.openxmlformats.org/officeDocument/2006/relationships/image" Target="media/image13.jpeg"/><Relationship Id="rId202" Type="http://schemas.openxmlformats.org/officeDocument/2006/relationships/image" Target="media/image13.jpeg"/><Relationship Id="rId203" Type="http://schemas.openxmlformats.org/officeDocument/2006/relationships/image" Target="media/image61.jpeg"/><Relationship Id="rId204" Type="http://schemas.openxmlformats.org/officeDocument/2006/relationships/image" Target="media/image62.jpeg"/><Relationship Id="rId205" Type="http://schemas.openxmlformats.org/officeDocument/2006/relationships/image" Target="media/image63.jpeg"/><Relationship Id="rId206" Type="http://schemas.openxmlformats.org/officeDocument/2006/relationships/image" Target="media/image64.jpeg"/><Relationship Id="rId207" Type="http://schemas.openxmlformats.org/officeDocument/2006/relationships/image" Target="media/image65.jpeg"/><Relationship Id="rId208" Type="http://schemas.openxmlformats.org/officeDocument/2006/relationships/image" Target="media/image66.jpeg"/><Relationship Id="rId209" Type="http://schemas.openxmlformats.org/officeDocument/2006/relationships/image" Target="media/image67.jpeg"/><Relationship Id="rId210" Type="http://schemas.openxmlformats.org/officeDocument/2006/relationships/image" Target="media/image68.jpeg"/><Relationship Id="rId211" Type="http://schemas.openxmlformats.org/officeDocument/2006/relationships/image" Target="media/image69.jpeg"/><Relationship Id="rId212" Type="http://schemas.openxmlformats.org/officeDocument/2006/relationships/image" Target="media/image70.jpeg"/><Relationship Id="rId213" Type="http://schemas.openxmlformats.org/officeDocument/2006/relationships/image" Target="media/image71.jpeg"/><Relationship Id="rId214" Type="http://schemas.openxmlformats.org/officeDocument/2006/relationships/image" Target="media/image72.jpeg"/><Relationship Id="rId215" Type="http://schemas.openxmlformats.org/officeDocument/2006/relationships/image" Target="media/image17.gif"/><Relationship Id="rId216" Type="http://schemas.openxmlformats.org/officeDocument/2006/relationships/image" Target="media/image17.gif"/><Relationship Id="rId217" Type="http://schemas.openxmlformats.org/officeDocument/2006/relationships/image" Target="media/image71.jpeg"/><Relationship Id="rId218" Type="http://schemas.openxmlformats.org/officeDocument/2006/relationships/image" Target="media/image73.gif"/><Relationship Id="rId219" Type="http://schemas.openxmlformats.org/officeDocument/2006/relationships/image" Target="media/image74.gif"/><Relationship Id="rId220" Type="http://schemas.openxmlformats.org/officeDocument/2006/relationships/image" Target="media/image75.gif"/><Relationship Id="rId221" Type="http://schemas.openxmlformats.org/officeDocument/2006/relationships/image" Target="media/image53.gif"/><Relationship Id="rId222" Type="http://schemas.openxmlformats.org/officeDocument/2006/relationships/image" Target="media/image46.gif"/><Relationship Id="rId223" Type="http://schemas.openxmlformats.org/officeDocument/2006/relationships/image" Target="media/image44.gif"/><Relationship Id="rId224" Type="http://schemas.openxmlformats.org/officeDocument/2006/relationships/image" Target="media/image76.jpeg"/><Relationship Id="rId225" Type="http://schemas.openxmlformats.org/officeDocument/2006/relationships/image" Target="media/image77.gif"/><Relationship Id="rId226" Type="http://schemas.openxmlformats.org/officeDocument/2006/relationships/image" Target="media/image78.gif"/><Relationship Id="rId227" Type="http://schemas.openxmlformats.org/officeDocument/2006/relationships/image" Target="media/image79.gif"/><Relationship Id="rId228" Type="http://schemas.openxmlformats.org/officeDocument/2006/relationships/image" Target="media/image80.gif"/><Relationship Id="rId229" Type="http://schemas.openxmlformats.org/officeDocument/2006/relationships/image" Target="media/image81.gif"/><Relationship Id="rId230" Type="http://schemas.openxmlformats.org/officeDocument/2006/relationships/image" Target="media/image82.jpeg"/><Relationship Id="rId231" Type="http://schemas.openxmlformats.org/officeDocument/2006/relationships/image" Target="media/image83.jpeg"/><Relationship Id="rId232" Type="http://schemas.openxmlformats.org/officeDocument/2006/relationships/image" Target="media/image84.jpeg"/><Relationship Id="rId233" Type="http://schemas.openxmlformats.org/officeDocument/2006/relationships/image" Target="media/image85.gif"/><Relationship Id="rId234" Type="http://schemas.openxmlformats.org/officeDocument/2006/relationships/image" Target="media/image86.gif"/><Relationship Id="rId235" Type="http://schemas.openxmlformats.org/officeDocument/2006/relationships/image" Target="media/image87.gif"/><Relationship Id="rId236" Type="http://schemas.openxmlformats.org/officeDocument/2006/relationships/image" Target="media/image88.gif"/><Relationship Id="rId237" Type="http://schemas.openxmlformats.org/officeDocument/2006/relationships/image" Target="media/image89.gif"/><Relationship Id="rId238" Type="http://schemas.openxmlformats.org/officeDocument/2006/relationships/image" Target="media/image90.gif"/><Relationship Id="rId239" Type="http://schemas.openxmlformats.org/officeDocument/2006/relationships/image" Target="media/image91.gif"/><Relationship Id="rId240" Type="http://schemas.openxmlformats.org/officeDocument/2006/relationships/image" Target="media/image92.gif"/><Relationship Id="rId241" Type="http://schemas.openxmlformats.org/officeDocument/2006/relationships/image" Target="media/image93.gif"/><Relationship Id="rId242" Type="http://schemas.openxmlformats.org/officeDocument/2006/relationships/image" Target="media/image71.jpeg"/><Relationship Id="rId243" Type="http://schemas.openxmlformats.org/officeDocument/2006/relationships/image" Target="media/image94.jpeg"/><Relationship Id="rId244" Type="http://schemas.openxmlformats.org/officeDocument/2006/relationships/image" Target="media/image94.jpeg"/><Relationship Id="rId245" Type="http://schemas.openxmlformats.org/officeDocument/2006/relationships/image" Target="media/image50.gif"/><Relationship Id="rId246" Type="http://schemas.openxmlformats.org/officeDocument/2006/relationships/image" Target="media/image50.gif"/><Relationship Id="rId247" Type="http://schemas.openxmlformats.org/officeDocument/2006/relationships/image" Target="media/image95.jpeg"/><Relationship Id="rId248" Type="http://schemas.openxmlformats.org/officeDocument/2006/relationships/image" Target="media/image96.jpeg"/><Relationship Id="rId249" Type="http://schemas.openxmlformats.org/officeDocument/2006/relationships/image" Target="media/image97.jpeg"/><Relationship Id="rId250" Type="http://schemas.openxmlformats.org/officeDocument/2006/relationships/image" Target="media/image98.jpeg"/><Relationship Id="rId251" Type="http://schemas.openxmlformats.org/officeDocument/2006/relationships/image" Target="media/image99.jpeg"/><Relationship Id="rId252" Type="http://schemas.openxmlformats.org/officeDocument/2006/relationships/image" Target="media/image100.jpeg"/><Relationship Id="rId253" Type="http://schemas.openxmlformats.org/officeDocument/2006/relationships/image" Target="media/image17.gif"/><Relationship Id="rId254" Type="http://schemas.openxmlformats.org/officeDocument/2006/relationships/image" Target="media/image17.gif"/><Relationship Id="rId255" Type="http://schemas.openxmlformats.org/officeDocument/2006/relationships/image" Target="media/image101.jpeg"/><Relationship Id="rId256" Type="http://schemas.openxmlformats.org/officeDocument/2006/relationships/image" Target="media/image85.gif"/><Relationship Id="rId257" Type="http://schemas.openxmlformats.org/officeDocument/2006/relationships/image" Target="media/image86.gif"/><Relationship Id="rId258" Type="http://schemas.openxmlformats.org/officeDocument/2006/relationships/image" Target="media/image87.gif"/><Relationship Id="rId259" Type="http://schemas.openxmlformats.org/officeDocument/2006/relationships/image" Target="media/image102.jpeg"/><Relationship Id="rId260" Type="http://schemas.openxmlformats.org/officeDocument/2006/relationships/image" Target="media/image103.jpeg"/><Relationship Id="rId261" Type="http://schemas.openxmlformats.org/officeDocument/2006/relationships/image" Target="media/image104.jpeg"/><Relationship Id="rId262" Type="http://schemas.openxmlformats.org/officeDocument/2006/relationships/image" Target="media/image105.jpeg"/><Relationship Id="rId263" Type="http://schemas.openxmlformats.org/officeDocument/2006/relationships/image" Target="media/image17.gif"/><Relationship Id="rId264" Type="http://schemas.openxmlformats.org/officeDocument/2006/relationships/image" Target="media/image106.gif"/><Relationship Id="rId265" Type="http://schemas.openxmlformats.org/officeDocument/2006/relationships/image" Target="media/image107.jpeg"/><Relationship Id="rId266" Type="http://schemas.openxmlformats.org/officeDocument/2006/relationships/image" Target="media/image108.gif"/><Relationship Id="rId267" Type="http://schemas.openxmlformats.org/officeDocument/2006/relationships/image" Target="media/image109.gif"/><Relationship Id="rId268" Type="http://schemas.openxmlformats.org/officeDocument/2006/relationships/image" Target="media/image109.gif"/><Relationship Id="rId269" Type="http://schemas.openxmlformats.org/officeDocument/2006/relationships/image" Target="media/image110.gif"/><Relationship Id="rId270" Type="http://schemas.openxmlformats.org/officeDocument/2006/relationships/image" Target="media/image111.gif"/><Relationship Id="rId271" Type="http://schemas.openxmlformats.org/officeDocument/2006/relationships/image" Target="media/image112.gif"/><Relationship Id="rId272" Type="http://schemas.openxmlformats.org/officeDocument/2006/relationships/image" Target="media/image113.gif"/><Relationship Id="rId273" Type="http://schemas.openxmlformats.org/officeDocument/2006/relationships/image" Target="media/image114.jpeg"/><Relationship Id="rId274" Type="http://schemas.openxmlformats.org/officeDocument/2006/relationships/image" Target="media/image115.jpeg"/><Relationship Id="rId275" Type="http://schemas.openxmlformats.org/officeDocument/2006/relationships/image" Target="media/image116.jpeg"/><Relationship Id="rId276" Type="http://schemas.openxmlformats.org/officeDocument/2006/relationships/image" Target="media/image117.jpeg"/><Relationship Id="rId277" Type="http://schemas.openxmlformats.org/officeDocument/2006/relationships/image" Target="media/image118.jpeg"/><Relationship Id="rId278" Type="http://schemas.openxmlformats.org/officeDocument/2006/relationships/image" Target="media/image119.gif"/><Relationship Id="rId279" Type="http://schemas.openxmlformats.org/officeDocument/2006/relationships/image" Target="media/image120.gif"/><Relationship Id="rId280" Type="http://schemas.openxmlformats.org/officeDocument/2006/relationships/image" Target="media/image121.gif"/><Relationship Id="rId281" Type="http://schemas.openxmlformats.org/officeDocument/2006/relationships/image" Target="media/image78.gif"/><Relationship Id="rId282" Type="http://schemas.openxmlformats.org/officeDocument/2006/relationships/image" Target="media/image122.gif"/><Relationship Id="rId283" Type="http://schemas.openxmlformats.org/officeDocument/2006/relationships/image" Target="media/image123.gif"/><Relationship Id="rId284" Type="http://schemas.openxmlformats.org/officeDocument/2006/relationships/image" Target="media/image122.gif"/><Relationship Id="rId285" Type="http://schemas.openxmlformats.org/officeDocument/2006/relationships/image" Target="media/image124.gif"/><Relationship Id="rId286" Type="http://schemas.openxmlformats.org/officeDocument/2006/relationships/image" Target="media/image125.jpeg"/><Relationship Id="rId287" Type="http://schemas.openxmlformats.org/officeDocument/2006/relationships/image" Target="media/image126.jpeg"/><Relationship Id="rId288" Type="http://schemas.openxmlformats.org/officeDocument/2006/relationships/image" Target="media/image127.jpeg"/><Relationship Id="rId289" Type="http://schemas.openxmlformats.org/officeDocument/2006/relationships/image" Target="media/image6.gif"/><Relationship Id="rId290" Type="http://schemas.openxmlformats.org/officeDocument/2006/relationships/image" Target="media/image7.gif"/><Relationship Id="rId291" Type="http://schemas.openxmlformats.org/officeDocument/2006/relationships/image" Target="media/image128.jpeg"/><Relationship Id="rId292" Type="http://schemas.openxmlformats.org/officeDocument/2006/relationships/image" Target="media/image129.jpeg"/><Relationship Id="rId293" Type="http://schemas.openxmlformats.org/officeDocument/2006/relationships/image" Target="media/image130.jpeg"/><Relationship Id="rId294" Type="http://schemas.openxmlformats.org/officeDocument/2006/relationships/image" Target="media/image131.jpeg"/><Relationship Id="rId295" Type="http://schemas.openxmlformats.org/officeDocument/2006/relationships/image" Target="media/image132.jpeg"/><Relationship Id="rId296" Type="http://schemas.openxmlformats.org/officeDocument/2006/relationships/image" Target="media/image50.gif"/><Relationship Id="rId297" Type="http://schemas.openxmlformats.org/officeDocument/2006/relationships/image" Target="media/image133.jpeg"/><Relationship Id="rId298" Type="http://schemas.openxmlformats.org/officeDocument/2006/relationships/image" Target="media/image134.jpeg"/><Relationship Id="rId299" Type="http://schemas.openxmlformats.org/officeDocument/2006/relationships/image" Target="media/image135.jpeg"/><Relationship Id="rId300" Type="http://schemas.openxmlformats.org/officeDocument/2006/relationships/image" Target="media/image136.jpeg"/><Relationship Id="rId301" Type="http://schemas.openxmlformats.org/officeDocument/2006/relationships/image" Target="media/image137.jpeg"/><Relationship Id="rId302" Type="http://schemas.openxmlformats.org/officeDocument/2006/relationships/image" Target="media/image138.jpeg"/><Relationship Id="rId303" Type="http://schemas.openxmlformats.org/officeDocument/2006/relationships/image" Target="media/image139.jpeg"/><Relationship Id="rId304" Type="http://schemas.openxmlformats.org/officeDocument/2006/relationships/image" Target="media/image140.jpeg"/><Relationship Id="rId305" Type="http://schemas.openxmlformats.org/officeDocument/2006/relationships/image" Target="media/image9.gif"/><Relationship Id="rId306" Type="http://schemas.openxmlformats.org/officeDocument/2006/relationships/image" Target="media/image10.gif"/><Relationship Id="rId307" Type="http://schemas.openxmlformats.org/officeDocument/2006/relationships/image" Target="media/image11.gif"/><Relationship Id="rId308" Type="http://schemas.openxmlformats.org/officeDocument/2006/relationships/image" Target="media/image12.gif"/><Relationship Id="rId309" Type="http://schemas.openxmlformats.org/officeDocument/2006/relationships/image" Target="media/image141.jpeg"/><Relationship Id="rId310" Type="http://schemas.openxmlformats.org/officeDocument/2006/relationships/image" Target="media/image142.jpeg"/><Relationship Id="rId311" Type="http://schemas.openxmlformats.org/officeDocument/2006/relationships/image" Target="media/image143.jpeg"/><Relationship Id="rId312" Type="http://schemas.openxmlformats.org/officeDocument/2006/relationships/image" Target="media/image144.jpeg"/><Relationship Id="rId313" Type="http://schemas.openxmlformats.org/officeDocument/2006/relationships/image" Target="media/image15.jpeg"/><Relationship Id="rId314" Type="http://schemas.openxmlformats.org/officeDocument/2006/relationships/image" Target="media/image15.jpeg"/><Relationship Id="rId315" Type="http://schemas.openxmlformats.org/officeDocument/2006/relationships/image" Target="media/image145.jpeg"/><Relationship Id="rId316" Type="http://schemas.openxmlformats.org/officeDocument/2006/relationships/image" Target="media/image146.jpeg"/><Relationship Id="rId317" Type="http://schemas.openxmlformats.org/officeDocument/2006/relationships/fontTable" Target="fontTable.xml"/><Relationship Id="rId3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42582</Words>
  <Characters>239167</Characters>
  <CharactersWithSpaces>296283</CharactersWithSpaces>
  <Paragraphs>17985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