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1"/>
          <w:szCs w:val="31"/>
          <w:b w:val="1"/>
          <w:bCs w:val="1"/>
          <w:color w:val="auto"/>
        </w:rPr>
        <w:t>SECURITIES AND EXCHANGE COMMISSION</w:t>
      </w: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24"/>
          <w:szCs w:val="24"/>
          <w:color w:val="auto"/>
        </w:rPr>
        <w:t>WASHINGTON, D.C. 20549</w:t>
      </w:r>
    </w:p>
    <w:p>
      <w:pPr>
        <w:spacing w:after="0" w:line="29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1200" w:hanging="283"/>
        <w:spacing w:after="0"/>
        <w:tabs>
          <w:tab w:leader="none" w:pos="12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00" w:lineRule="exact"/>
        <w:rPr>
          <w:rFonts w:ascii="Arial" w:cs="Arial" w:eastAsia="Arial" w:hAnsi="Arial"/>
          <w:sz w:val="16"/>
          <w:szCs w:val="16"/>
          <w:b w:val="1"/>
          <w:bCs w:val="1"/>
          <w:color w:val="auto"/>
        </w:rPr>
      </w:pPr>
    </w:p>
    <w:p>
      <w:pPr>
        <w:spacing w:after="0" w:line="379" w:lineRule="exact"/>
        <w:rPr>
          <w:rFonts w:ascii="Arial" w:cs="Arial" w:eastAsia="Arial" w:hAnsi="Arial"/>
          <w:sz w:val="16"/>
          <w:szCs w:val="16"/>
          <w:b w:val="1"/>
          <w:bCs w:val="1"/>
          <w:color w:val="auto"/>
        </w:rPr>
      </w:pPr>
    </w:p>
    <w:p>
      <w:pPr>
        <w:ind w:left="3680"/>
        <w:spacing w:after="0"/>
        <w:rPr>
          <w:rFonts w:ascii="Arial" w:cs="Arial" w:eastAsia="Arial" w:hAnsi="Arial"/>
          <w:sz w:val="16"/>
          <w:szCs w:val="16"/>
          <w:b w:val="1"/>
          <w:bCs w:val="1"/>
          <w:color w:val="auto"/>
        </w:rPr>
      </w:pPr>
      <w:r>
        <w:rPr>
          <w:rFonts w:ascii="Arial" w:cs="Arial" w:eastAsia="Arial" w:hAnsi="Arial"/>
          <w:sz w:val="17"/>
          <w:szCs w:val="17"/>
          <w:color w:val="auto"/>
        </w:rPr>
        <w:t>For the fiscal year ended December 31, 2000</w:t>
      </w:r>
    </w:p>
    <w:p>
      <w:pPr>
        <w:spacing w:after="0" w:line="200" w:lineRule="exact"/>
        <w:rPr>
          <w:sz w:val="24"/>
          <w:szCs w:val="24"/>
          <w:color w:val="auto"/>
        </w:rPr>
      </w:pPr>
    </w:p>
    <w:p>
      <w:pPr>
        <w:spacing w:after="0" w:line="36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Commission file number 1-3295</w:t>
      </w: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MINERALS TECHNOLOGIES INC.</w:t>
      </w: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0320"/>
          </w:cols>
          <w:pgMar w:left="740" w:top="203" w:right="8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ind w:left="320"/>
        <w:spacing w:after="0"/>
        <w:rPr>
          <w:sz w:val="20"/>
          <w:szCs w:val="20"/>
          <w:color w:val="auto"/>
        </w:rPr>
      </w:pPr>
      <w:r>
        <w:rPr>
          <w:rFonts w:ascii="Arial" w:cs="Arial" w:eastAsia="Arial" w:hAnsi="Arial"/>
          <w:sz w:val="17"/>
          <w:szCs w:val="17"/>
          <w:color w:val="auto"/>
        </w:rPr>
        <w:t>(State or other jurisdiction of</w:t>
      </w:r>
    </w:p>
    <w:p>
      <w:pPr>
        <w:spacing w:after="0" w:line="14" w:lineRule="exact"/>
        <w:rPr>
          <w:sz w:val="24"/>
          <w:szCs w:val="24"/>
          <w:color w:val="auto"/>
        </w:rPr>
      </w:pPr>
    </w:p>
    <w:p>
      <w:pPr>
        <w:ind w:left="320"/>
        <w:spacing w:after="0"/>
        <w:rPr>
          <w:sz w:val="20"/>
          <w:szCs w:val="20"/>
          <w:color w:val="auto"/>
        </w:rPr>
      </w:pPr>
      <w:r>
        <w:rPr>
          <w:rFonts w:ascii="Arial" w:cs="Arial" w:eastAsia="Arial" w:hAnsi="Arial"/>
          <w:sz w:val="17"/>
          <w:szCs w:val="17"/>
          <w:color w:val="auto"/>
        </w:rPr>
        <w:t>incorporation or organization)</w:t>
      </w:r>
    </w:p>
    <w:p>
      <w:pPr>
        <w:spacing w:after="0" w:line="14"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The Chrysler Building</w:t>
      </w:r>
    </w:p>
    <w:p>
      <w:pPr>
        <w:spacing w:after="0" w:line="14"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405 Lexington Avenue</w:t>
      </w:r>
    </w:p>
    <w:p>
      <w:pPr>
        <w:spacing w:after="0" w:line="14"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New York, New York</w:t>
      </w:r>
    </w:p>
    <w:p>
      <w:pPr>
        <w:spacing w:after="0" w:line="14" w:lineRule="exact"/>
        <w:rPr>
          <w:sz w:val="24"/>
          <w:szCs w:val="24"/>
          <w:color w:val="auto"/>
        </w:rPr>
      </w:pPr>
    </w:p>
    <w:p>
      <w:pPr>
        <w:ind w:left="320"/>
        <w:spacing w:after="0"/>
        <w:rPr>
          <w:sz w:val="20"/>
          <w:szCs w:val="20"/>
          <w:color w:val="auto"/>
        </w:rPr>
      </w:pPr>
      <w:r>
        <w:rPr>
          <w:rFonts w:ascii="Arial" w:cs="Arial" w:eastAsia="Arial" w:hAnsi="Arial"/>
          <w:sz w:val="15"/>
          <w:szCs w:val="15"/>
          <w:color w:val="auto"/>
        </w:rPr>
        <w:t>(address of principal executive office)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25-1190717</w:t>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Number)</w:t>
      </w:r>
    </w:p>
    <w:p>
      <w:pPr>
        <w:spacing w:after="0" w:line="39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10174-1901</w:t>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6440" w:space="720"/>
            <w:col w:w="3160"/>
          </w:cols>
          <w:pgMar w:left="740" w:top="203" w:right="839" w:bottom="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(212) 878-1800</w:t>
      </w: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21"/>
          <w:szCs w:val="21"/>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2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720" w:type="dxa"/>
            <w:vAlign w:val="bottom"/>
            <w:tcBorders>
              <w:top w:val="single" w:sz="8" w:color="auto"/>
              <w:bottom w:val="single" w:sz="8" w:color="auto"/>
            </w:tcBorders>
          </w:tcPr>
          <w:p>
            <w:pPr>
              <w:spacing w:after="0"/>
              <w:rPr>
                <w:sz w:val="3"/>
                <w:szCs w:val="3"/>
                <w:color w:val="auto"/>
              </w:rPr>
            </w:pPr>
          </w:p>
        </w:tc>
        <w:tc>
          <w:tcPr>
            <w:tcW w:w="5200" w:type="dxa"/>
            <w:vAlign w:val="bottom"/>
            <w:tcBorders>
              <w:top w:val="single" w:sz="8" w:color="auto"/>
              <w:bottom w:val="single" w:sz="8" w:color="auto"/>
            </w:tcBorders>
          </w:tcPr>
          <w:p>
            <w:pPr>
              <w:spacing w:after="0"/>
              <w:rPr>
                <w:sz w:val="3"/>
                <w:szCs w:val="3"/>
                <w:color w:val="auto"/>
              </w:rPr>
            </w:pPr>
          </w:p>
        </w:tc>
      </w:tr>
      <w:tr>
        <w:trPr>
          <w:trHeight w:val="111"/>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200" w:type="dxa"/>
            <w:vAlign w:val="bottom"/>
          </w:tcPr>
          <w:p>
            <w:pPr>
              <w:jc w:val="center"/>
              <w:ind w:left="2356"/>
              <w:spacing w:after="0" w:line="111" w:lineRule="exact"/>
              <w:rPr>
                <w:sz w:val="20"/>
                <w:szCs w:val="20"/>
                <w:color w:val="auto"/>
              </w:rPr>
            </w:pPr>
            <w:r>
              <w:rPr>
                <w:rFonts w:ascii="Arial" w:cs="Arial" w:eastAsia="Arial" w:hAnsi="Arial"/>
                <w:sz w:val="12"/>
                <w:szCs w:val="12"/>
                <w:b w:val="1"/>
                <w:bCs w:val="1"/>
                <w:color w:val="auto"/>
                <w:w w:val="95"/>
              </w:rPr>
              <w:t>Name of each exchange</w:t>
            </w:r>
          </w:p>
        </w:tc>
      </w:tr>
      <w:tr>
        <w:trPr>
          <w:trHeight w:val="176"/>
        </w:trPr>
        <w:tc>
          <w:tcPr>
            <w:tcW w:w="20" w:type="dxa"/>
            <w:vAlign w:val="bottom"/>
          </w:tcPr>
          <w:p>
            <w:pPr>
              <w:spacing w:after="0"/>
              <w:rPr>
                <w:sz w:val="15"/>
                <w:szCs w:val="15"/>
                <w:color w:val="auto"/>
              </w:rPr>
            </w:pP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Title of each class</w:t>
            </w:r>
          </w:p>
        </w:tc>
        <w:tc>
          <w:tcPr>
            <w:tcW w:w="5200" w:type="dxa"/>
            <w:vAlign w:val="bottom"/>
            <w:tcBorders>
              <w:bottom w:val="single" w:sz="8" w:color="auto"/>
            </w:tcBorders>
          </w:tcPr>
          <w:p>
            <w:pPr>
              <w:jc w:val="center"/>
              <w:ind w:left="2356"/>
              <w:spacing w:after="0"/>
              <w:rPr>
                <w:sz w:val="20"/>
                <w:szCs w:val="20"/>
                <w:color w:val="auto"/>
              </w:rPr>
            </w:pPr>
            <w:r>
              <w:rPr>
                <w:rFonts w:ascii="Arial" w:cs="Arial" w:eastAsia="Arial" w:hAnsi="Arial"/>
                <w:sz w:val="13"/>
                <w:szCs w:val="13"/>
                <w:b w:val="1"/>
                <w:bCs w:val="1"/>
                <w:color w:val="auto"/>
                <w:w w:val="89"/>
              </w:rPr>
              <w:t>on which registered</w:t>
            </w:r>
          </w:p>
        </w:tc>
      </w:tr>
      <w:tr>
        <w:trPr>
          <w:trHeight w:val="288"/>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Common Stock, $.10 par value</w:t>
            </w:r>
          </w:p>
        </w:tc>
        <w:tc>
          <w:tcPr>
            <w:tcW w:w="5200" w:type="dxa"/>
            <w:vAlign w:val="bottom"/>
            <w:tcBorders>
              <w:bottom w:val="single" w:sz="8" w:color="auto"/>
            </w:tcBorders>
          </w:tcPr>
          <w:p>
            <w:pPr>
              <w:jc w:val="center"/>
              <w:ind w:left="2356"/>
              <w:spacing w:after="0"/>
              <w:rPr>
                <w:sz w:val="20"/>
                <w:szCs w:val="20"/>
                <w:color w:val="auto"/>
              </w:rPr>
            </w:pPr>
            <w:r>
              <w:rPr>
                <w:rFonts w:ascii="Arial" w:cs="Arial" w:eastAsia="Arial" w:hAnsi="Arial"/>
                <w:sz w:val="13"/>
                <w:szCs w:val="13"/>
                <w:color w:val="auto"/>
                <w:w w:val="92"/>
              </w:rPr>
              <w:t>New York Stock Exchange</w:t>
            </w: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17"/>
          <w:szCs w:val="17"/>
          <w:u w:val="single" w:color="auto"/>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both"/>
        <w:ind w:left="20" w:right="60" w:firstLine="213"/>
        <w:spacing w:after="0" w:line="26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7" w:lineRule="exact"/>
        <w:rPr>
          <w:sz w:val="24"/>
          <w:szCs w:val="24"/>
          <w:color w:val="auto"/>
        </w:rPr>
      </w:pPr>
    </w:p>
    <w:p>
      <w:pPr>
        <w:ind w:left="3620"/>
        <w:spacing w:after="0"/>
        <w:rPr>
          <w:sz w:val="20"/>
          <w:szCs w:val="20"/>
          <w:color w:val="auto"/>
        </w:rPr>
      </w:pPr>
      <w:r>
        <w:rPr>
          <w:rFonts w:ascii="Arial" w:cs="Arial" w:eastAsia="Arial" w:hAnsi="Arial"/>
          <w:sz w:val="17"/>
          <w:szCs w:val="17"/>
          <w:color w:val="auto"/>
        </w:rPr>
        <w:t xml:space="preserve">Yes </w:t>
      </w:r>
      <w:r>
        <w:rPr>
          <w:rFonts w:ascii="Arial" w:cs="Arial" w:eastAsia="Arial" w:hAnsi="Arial"/>
          <w:sz w:val="17"/>
          <w:szCs w:val="17"/>
          <w:b w:val="1"/>
          <w:bCs w:val="1"/>
          <w:u w:val="single" w:color="auto"/>
          <w:color w:val="auto"/>
        </w:rPr>
        <w:t>X</w:t>
      </w:r>
      <w:r>
        <w:rPr>
          <w:rFonts w:ascii="Arial" w:cs="Arial" w:eastAsia="Arial" w:hAnsi="Arial"/>
          <w:sz w:val="17"/>
          <w:szCs w:val="17"/>
          <w:color w:val="auto"/>
        </w:rPr>
        <w:t xml:space="preserve"> No </w:t>
      </w:r>
      <w:r>
        <w:rPr>
          <w:rFonts w:ascii="Arial" w:cs="Arial" w:eastAsia="Arial" w:hAnsi="Arial"/>
          <w:sz w:val="17"/>
          <w:szCs w:val="17"/>
          <w:b w:val="1"/>
          <w:bCs w:val="1"/>
          <w:color w:val="auto"/>
        </w:rPr>
        <w:t>__</w:t>
      </w:r>
    </w:p>
    <w:p>
      <w:pPr>
        <w:spacing w:after="0" w:line="188" w:lineRule="exact"/>
        <w:rPr>
          <w:sz w:val="24"/>
          <w:szCs w:val="24"/>
          <w:color w:val="auto"/>
        </w:rPr>
      </w:pPr>
    </w:p>
    <w:p>
      <w:pPr>
        <w:jc w:val="both"/>
        <w:ind w:left="20" w:right="80" w:firstLine="213"/>
        <w:spacing w:after="0" w:line="269" w:lineRule="auto"/>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7"/>
          <w:szCs w:val="17"/>
          <w:b w:val="1"/>
          <w:bCs w:val="1"/>
          <w:u w:val="single" w:color="auto"/>
          <w:color w:val="auto"/>
        </w:rPr>
        <w:t>X</w:t>
      </w:r>
    </w:p>
    <w:p>
      <w:pPr>
        <w:spacing w:after="0" w:line="141" w:lineRule="exact"/>
        <w:rPr>
          <w:sz w:val="24"/>
          <w:szCs w:val="24"/>
          <w:color w:val="auto"/>
        </w:rPr>
      </w:pPr>
    </w:p>
    <w:p>
      <w:pPr>
        <w:jc w:val="both"/>
        <w:ind w:left="20" w:firstLine="210"/>
        <w:spacing w:after="0" w:line="265" w:lineRule="auto"/>
        <w:rPr>
          <w:sz w:val="20"/>
          <w:szCs w:val="20"/>
          <w:color w:val="auto"/>
        </w:rPr>
      </w:pPr>
      <w:r>
        <w:rPr>
          <w:rFonts w:ascii="Arial" w:cs="Arial" w:eastAsia="Arial" w:hAnsi="Arial"/>
          <w:sz w:val="17"/>
          <w:szCs w:val="17"/>
          <w:color w:val="auto"/>
        </w:rPr>
        <w:t>The aggregate market value of the voting stock held by non-affiliates of the Registrant, based upon the closing price at which the stock was sold as of February 1, 2001 was approximately $407.0 million.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45" w:lineRule="exact"/>
        <w:rPr>
          <w:sz w:val="24"/>
          <w:szCs w:val="24"/>
          <w:color w:val="auto"/>
        </w:rPr>
      </w:pPr>
    </w:p>
    <w:p>
      <w:pPr>
        <w:spacing w:after="0"/>
        <w:rPr>
          <w:sz w:val="20"/>
          <w:szCs w:val="20"/>
          <w:color w:val="auto"/>
        </w:rPr>
      </w:pPr>
      <w:r>
        <w:rPr>
          <w:rFonts w:ascii="Arial" w:cs="Arial" w:eastAsia="Arial" w:hAnsi="Arial"/>
          <w:sz w:val="17"/>
          <w:szCs w:val="17"/>
          <w:color w:val="auto"/>
        </w:rPr>
        <w:t>As of March 2, 2001, the Registrant had outstanding 19,717,595 shares of common stock, all of one class.</w:t>
      </w:r>
    </w:p>
    <w:p>
      <w:pPr>
        <w:sectPr>
          <w:pgSz w:w="11900" w:h="16838" w:orient="portrait"/>
          <w:cols w:equalWidth="0" w:num="1">
            <w:col w:w="10320"/>
          </w:cols>
          <w:pgMar w:left="740" w:top="203" w:right="8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188"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color w:val="auto"/>
        </w:rPr>
        <w:t>Proxy Statement dated March 30, 2001</w:t>
      </w:r>
      <w:r>
        <w:rPr>
          <w:sz w:val="20"/>
          <w:szCs w:val="20"/>
          <w:color w:val="auto"/>
        </w:rPr>
        <w:tab/>
      </w:r>
      <w:r>
        <w:rPr>
          <w:rFonts w:ascii="Arial" w:cs="Arial" w:eastAsia="Arial" w:hAnsi="Arial"/>
          <w:sz w:val="16"/>
          <w:szCs w:val="16"/>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1921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9215" cy="24765"/>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375920</wp:posOffset>
            </wp:positionV>
            <wp:extent cx="72758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6480" w:type="dxa"/>
            <w:vAlign w:val="bottom"/>
          </w:tcPr>
          <w:p>
            <w:pPr>
              <w:jc w:val="center"/>
              <w:ind w:left="655"/>
              <w:spacing w:after="0"/>
              <w:rPr>
                <w:sz w:val="20"/>
                <w:szCs w:val="20"/>
                <w:color w:val="auto"/>
              </w:rPr>
            </w:pPr>
            <w:r>
              <w:rPr>
                <w:rFonts w:ascii="Arial" w:cs="Arial" w:eastAsia="Arial" w:hAnsi="Arial"/>
                <w:sz w:val="17"/>
                <w:szCs w:val="17"/>
                <w:b w:val="1"/>
                <w:bCs w:val="1"/>
                <w:color w:val="auto"/>
              </w:rPr>
              <w:t>MINERALS TECHNOLOGIES INC.</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6480" w:type="dxa"/>
            <w:vAlign w:val="bottom"/>
          </w:tcPr>
          <w:p>
            <w:pPr>
              <w:jc w:val="center"/>
              <w:ind w:left="655"/>
              <w:spacing w:after="0"/>
              <w:rPr>
                <w:sz w:val="20"/>
                <w:szCs w:val="20"/>
                <w:color w:val="auto"/>
              </w:rPr>
            </w:pPr>
            <w:r>
              <w:rPr>
                <w:rFonts w:ascii="Arial" w:cs="Arial" w:eastAsia="Arial" w:hAnsi="Arial"/>
                <w:sz w:val="17"/>
                <w:szCs w:val="17"/>
                <w:b w:val="1"/>
                <w:bCs w:val="1"/>
                <w:color w:val="auto"/>
                <w:w w:val="98"/>
              </w:rPr>
              <w:t>2000 FORM 10-K ANNUAL REPORT</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1040" w:type="dxa"/>
            <w:vAlign w:val="bottom"/>
          </w:tcPr>
          <w:p>
            <w:pPr>
              <w:spacing w:after="0"/>
              <w:rPr>
                <w:sz w:val="19"/>
                <w:szCs w:val="19"/>
                <w:color w:val="auto"/>
              </w:rPr>
            </w:pPr>
          </w:p>
        </w:tc>
        <w:tc>
          <w:tcPr>
            <w:tcW w:w="6480" w:type="dxa"/>
            <w:vAlign w:val="bottom"/>
          </w:tcPr>
          <w:p>
            <w:pPr>
              <w:jc w:val="center"/>
              <w:ind w:left="675"/>
              <w:spacing w:after="0"/>
              <w:rPr>
                <w:sz w:val="20"/>
                <w:szCs w:val="20"/>
                <w:color w:val="auto"/>
              </w:rPr>
            </w:pPr>
            <w:r>
              <w:rPr>
                <w:rFonts w:ascii="Arial" w:cs="Arial" w:eastAsia="Arial" w:hAnsi="Arial"/>
                <w:sz w:val="17"/>
                <w:szCs w:val="17"/>
                <w:b w:val="1"/>
                <w:bCs w:val="1"/>
                <w:color w:val="auto"/>
                <w:w w:val="89"/>
              </w:rPr>
              <w:t>Table of Contents</w:t>
            </w: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631"/>
        </w:trPr>
        <w:tc>
          <w:tcPr>
            <w:tcW w:w="10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Page</w:t>
            </w:r>
          </w:p>
        </w:tc>
      </w:tr>
      <w:tr>
        <w:trPr>
          <w:trHeight w:val="331"/>
        </w:trPr>
        <w:tc>
          <w:tcPr>
            <w:tcW w:w="1040" w:type="dxa"/>
            <w:vAlign w:val="bottom"/>
          </w:tcPr>
          <w:p>
            <w:pPr>
              <w:spacing w:after="0"/>
              <w:rPr>
                <w:sz w:val="24"/>
                <w:szCs w:val="24"/>
                <w:color w:val="auto"/>
              </w:rPr>
            </w:pPr>
          </w:p>
        </w:tc>
        <w:tc>
          <w:tcPr>
            <w:tcW w:w="6480" w:type="dxa"/>
            <w:vAlign w:val="bottom"/>
          </w:tcPr>
          <w:p>
            <w:pPr>
              <w:ind w:left="3200"/>
              <w:spacing w:after="0"/>
              <w:rPr>
                <w:sz w:val="20"/>
                <w:szCs w:val="20"/>
                <w:color w:val="auto"/>
              </w:rPr>
            </w:pPr>
            <w:r>
              <w:rPr>
                <w:rFonts w:ascii="Arial" w:cs="Arial" w:eastAsia="Arial" w:hAnsi="Arial"/>
                <w:sz w:val="17"/>
                <w:szCs w:val="17"/>
                <w:b w:val="1"/>
                <w:bCs w:val="1"/>
                <w:color w:val="auto"/>
              </w:rPr>
              <w:t>PART I</w:t>
            </w:r>
          </w:p>
        </w:tc>
        <w:tc>
          <w:tcPr>
            <w:tcW w:w="14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629"/>
        </w:trPr>
        <w:tc>
          <w:tcPr>
            <w:tcW w:w="1040" w:type="dxa"/>
            <w:vAlign w:val="bottom"/>
          </w:tcPr>
          <w:p>
            <w:pPr>
              <w:spacing w:after="0"/>
              <w:rPr>
                <w:sz w:val="20"/>
                <w:szCs w:val="20"/>
                <w:color w:val="auto"/>
              </w:rPr>
            </w:pPr>
            <w:r>
              <w:rPr>
                <w:rFonts w:ascii="Arial" w:cs="Arial" w:eastAsia="Arial" w:hAnsi="Arial"/>
                <w:sz w:val="17"/>
                <w:szCs w:val="17"/>
                <w:color w:val="auto"/>
              </w:rPr>
              <w:t>Item 1.</w:t>
            </w:r>
          </w:p>
        </w:tc>
        <w:tc>
          <w:tcPr>
            <w:tcW w:w="6480" w:type="dxa"/>
            <w:vAlign w:val="bottom"/>
          </w:tcPr>
          <w:p>
            <w:pPr>
              <w:ind w:left="540"/>
              <w:spacing w:after="0"/>
              <w:rPr>
                <w:sz w:val="20"/>
                <w:szCs w:val="20"/>
                <w:color w:val="auto"/>
              </w:rPr>
            </w:pPr>
            <w:r>
              <w:rPr>
                <w:rFonts w:ascii="Arial" w:cs="Arial" w:eastAsia="Arial" w:hAnsi="Arial"/>
                <w:sz w:val="17"/>
                <w:szCs w:val="17"/>
                <w:color w:val="auto"/>
              </w:rPr>
              <w:t>Business</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589"/>
        </w:trPr>
        <w:tc>
          <w:tcPr>
            <w:tcW w:w="1040" w:type="dxa"/>
            <w:vAlign w:val="bottom"/>
          </w:tcPr>
          <w:p>
            <w:pPr>
              <w:spacing w:after="0"/>
              <w:rPr>
                <w:sz w:val="20"/>
                <w:szCs w:val="20"/>
                <w:color w:val="auto"/>
              </w:rPr>
            </w:pPr>
            <w:r>
              <w:rPr>
                <w:rFonts w:ascii="Arial" w:cs="Arial" w:eastAsia="Arial" w:hAnsi="Arial"/>
                <w:sz w:val="17"/>
                <w:szCs w:val="17"/>
                <w:color w:val="auto"/>
              </w:rPr>
              <w:t>Item 2.</w:t>
            </w:r>
          </w:p>
        </w:tc>
        <w:tc>
          <w:tcPr>
            <w:tcW w:w="6480" w:type="dxa"/>
            <w:vAlign w:val="bottom"/>
          </w:tcPr>
          <w:p>
            <w:pPr>
              <w:ind w:left="540"/>
              <w:spacing w:after="0"/>
              <w:rPr>
                <w:sz w:val="20"/>
                <w:szCs w:val="20"/>
                <w:color w:val="auto"/>
              </w:rPr>
            </w:pPr>
            <w:r>
              <w:rPr>
                <w:rFonts w:ascii="Arial" w:cs="Arial" w:eastAsia="Arial" w:hAnsi="Arial"/>
                <w:sz w:val="17"/>
                <w:szCs w:val="17"/>
                <w:color w:val="auto"/>
              </w:rPr>
              <w:t>Properties</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589"/>
        </w:trPr>
        <w:tc>
          <w:tcPr>
            <w:tcW w:w="1040" w:type="dxa"/>
            <w:vAlign w:val="bottom"/>
          </w:tcPr>
          <w:p>
            <w:pPr>
              <w:spacing w:after="0"/>
              <w:rPr>
                <w:sz w:val="20"/>
                <w:szCs w:val="20"/>
                <w:color w:val="auto"/>
              </w:rPr>
            </w:pPr>
            <w:r>
              <w:rPr>
                <w:rFonts w:ascii="Arial" w:cs="Arial" w:eastAsia="Arial" w:hAnsi="Arial"/>
                <w:sz w:val="17"/>
                <w:szCs w:val="17"/>
                <w:color w:val="auto"/>
              </w:rPr>
              <w:t>Item 3.</w:t>
            </w:r>
          </w:p>
        </w:tc>
        <w:tc>
          <w:tcPr>
            <w:tcW w:w="6480" w:type="dxa"/>
            <w:vAlign w:val="bottom"/>
          </w:tcPr>
          <w:p>
            <w:pPr>
              <w:ind w:left="540"/>
              <w:spacing w:after="0"/>
              <w:rPr>
                <w:sz w:val="20"/>
                <w:szCs w:val="20"/>
                <w:color w:val="auto"/>
              </w:rPr>
            </w:pPr>
            <w:r>
              <w:rPr>
                <w:rFonts w:ascii="Arial" w:cs="Arial" w:eastAsia="Arial" w:hAnsi="Arial"/>
                <w:sz w:val="17"/>
                <w:szCs w:val="17"/>
                <w:color w:val="auto"/>
              </w:rPr>
              <w:t>Legal Proceedings</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589"/>
        </w:trPr>
        <w:tc>
          <w:tcPr>
            <w:tcW w:w="1040" w:type="dxa"/>
            <w:vAlign w:val="bottom"/>
          </w:tcPr>
          <w:p>
            <w:pPr>
              <w:spacing w:after="0"/>
              <w:rPr>
                <w:sz w:val="20"/>
                <w:szCs w:val="20"/>
                <w:color w:val="auto"/>
              </w:rPr>
            </w:pPr>
            <w:r>
              <w:rPr>
                <w:rFonts w:ascii="Arial" w:cs="Arial" w:eastAsia="Arial" w:hAnsi="Arial"/>
                <w:sz w:val="17"/>
                <w:szCs w:val="17"/>
                <w:color w:val="auto"/>
              </w:rPr>
              <w:t>Item 4.</w:t>
            </w:r>
          </w:p>
        </w:tc>
        <w:tc>
          <w:tcPr>
            <w:tcW w:w="6480" w:type="dxa"/>
            <w:vAlign w:val="bottom"/>
          </w:tcPr>
          <w:p>
            <w:pPr>
              <w:ind w:left="540"/>
              <w:spacing w:after="0"/>
              <w:rPr>
                <w:sz w:val="20"/>
                <w:szCs w:val="20"/>
                <w:color w:val="auto"/>
              </w:rPr>
            </w:pPr>
            <w:r>
              <w:rPr>
                <w:rFonts w:ascii="Arial" w:cs="Arial" w:eastAsia="Arial" w:hAnsi="Arial"/>
                <w:sz w:val="17"/>
                <w:szCs w:val="17"/>
                <w:color w:val="auto"/>
              </w:rPr>
              <w:t>Submission of Matters to a Vote of Security Holders</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auto"/>
        </w:rPr>
        <w:t>PART II</w:t>
      </w:r>
    </w:p>
    <w:p>
      <w:pPr>
        <w:sectPr>
          <w:pgSz w:w="11900" w:h="16838" w:orient="portrait"/>
          <w:cols w:equalWidth="0" w:num="1">
            <w:col w:w="10100"/>
          </w:cols>
          <w:pgMar w:left="900" w:top="127" w:right="899" w:bottom="423" w:gutter="0" w:footer="0" w:header="0"/>
        </w:sectPr>
      </w:pPr>
    </w:p>
    <w:p>
      <w:pPr>
        <w:spacing w:after="0" w:line="200" w:lineRule="exact"/>
        <w:rPr>
          <w:sz w:val="20"/>
          <w:szCs w:val="20"/>
          <w:color w:val="auto"/>
        </w:rPr>
      </w:pPr>
    </w:p>
    <w:p>
      <w:pPr>
        <w:spacing w:after="0" w:line="237" w:lineRule="exact"/>
        <w:rPr>
          <w:sz w:val="20"/>
          <w:szCs w:val="20"/>
          <w:color w:val="auto"/>
        </w:rPr>
      </w:pPr>
    </w:p>
    <w:p>
      <w:pPr>
        <w:ind w:left="1980" w:right="3000" w:hanging="1584"/>
        <w:spacing w:after="0" w:line="282" w:lineRule="auto"/>
        <w:tabs>
          <w:tab w:leader="none" w:pos="1960" w:val="left"/>
        </w:tabs>
        <w:rPr>
          <w:sz w:val="20"/>
          <w:szCs w:val="20"/>
          <w:color w:val="auto"/>
        </w:rPr>
      </w:pPr>
      <w:r>
        <w:rPr>
          <w:rFonts w:ascii="Arial" w:cs="Arial" w:eastAsia="Arial" w:hAnsi="Arial"/>
          <w:sz w:val="17"/>
          <w:szCs w:val="17"/>
          <w:color w:val="auto"/>
        </w:rPr>
        <w:t>Item 5.</w:t>
      </w:r>
      <w:r>
        <w:rPr>
          <w:sz w:val="20"/>
          <w:szCs w:val="20"/>
          <w:color w:val="auto"/>
        </w:rPr>
        <w:tab/>
      </w:r>
      <w:r>
        <w:rPr>
          <w:rFonts w:ascii="Arial" w:cs="Arial" w:eastAsia="Arial" w:hAnsi="Arial"/>
          <w:sz w:val="17"/>
          <w:szCs w:val="17"/>
          <w:color w:val="auto"/>
        </w:rPr>
        <w:t>Market for the Registrant's Common Equity and Related Stockholder Matters</w:t>
      </w:r>
    </w:p>
    <w:p>
      <w:pPr>
        <w:spacing w:after="0" w:line="379" w:lineRule="exact"/>
        <w:rPr>
          <w:sz w:val="20"/>
          <w:szCs w:val="20"/>
          <w:color w:val="auto"/>
        </w:rPr>
      </w:pPr>
    </w:p>
    <w:p>
      <w:pPr>
        <w:ind w:left="400"/>
        <w:spacing w:after="0"/>
        <w:tabs>
          <w:tab w:leader="none" w:pos="1960" w:val="left"/>
        </w:tabs>
        <w:rPr>
          <w:sz w:val="20"/>
          <w:szCs w:val="20"/>
          <w:color w:val="auto"/>
        </w:rPr>
      </w:pPr>
      <w:r>
        <w:rPr>
          <w:rFonts w:ascii="Arial" w:cs="Arial" w:eastAsia="Arial" w:hAnsi="Arial"/>
          <w:sz w:val="17"/>
          <w:szCs w:val="17"/>
          <w:color w:val="auto"/>
        </w:rPr>
        <w:t>Item 6.</w:t>
      </w:r>
      <w:r>
        <w:rPr>
          <w:sz w:val="20"/>
          <w:szCs w:val="20"/>
          <w:color w:val="auto"/>
        </w:rPr>
        <w:tab/>
      </w:r>
      <w:r>
        <w:rPr>
          <w:rFonts w:ascii="Arial" w:cs="Arial" w:eastAsia="Arial" w:hAnsi="Arial"/>
          <w:sz w:val="15"/>
          <w:szCs w:val="15"/>
          <w:color w:val="auto"/>
        </w:rPr>
        <w:t>Selected Financial Data</w:t>
      </w:r>
    </w:p>
    <w:p>
      <w:pPr>
        <w:spacing w:after="0" w:line="394" w:lineRule="exact"/>
        <w:rPr>
          <w:sz w:val="20"/>
          <w:szCs w:val="20"/>
          <w:color w:val="auto"/>
        </w:rPr>
      </w:pPr>
    </w:p>
    <w:p>
      <w:pPr>
        <w:ind w:left="1980" w:right="2260" w:hanging="1584"/>
        <w:spacing w:after="0" w:line="282" w:lineRule="auto"/>
        <w:tabs>
          <w:tab w:leader="none" w:pos="1960" w:val="left"/>
        </w:tabs>
        <w:rPr>
          <w:sz w:val="20"/>
          <w:szCs w:val="20"/>
          <w:color w:val="auto"/>
        </w:rPr>
      </w:pPr>
      <w:r>
        <w:rPr>
          <w:rFonts w:ascii="Arial" w:cs="Arial" w:eastAsia="Arial" w:hAnsi="Arial"/>
          <w:sz w:val="17"/>
          <w:szCs w:val="17"/>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spacing w:after="0"/>
        <w:tabs>
          <w:tab w:leader="none" w:pos="1960" w:val="left"/>
        </w:tabs>
        <w:rPr>
          <w:sz w:val="20"/>
          <w:szCs w:val="20"/>
          <w:color w:val="auto"/>
        </w:rPr>
      </w:pPr>
      <w:r>
        <w:rPr>
          <w:rFonts w:ascii="Arial" w:cs="Arial" w:eastAsia="Arial" w:hAnsi="Arial"/>
          <w:sz w:val="17"/>
          <w:szCs w:val="17"/>
          <w:color w:val="auto"/>
        </w:rPr>
        <w:t>Item 7A.</w:t>
      </w:r>
      <w:r>
        <w:rPr>
          <w:sz w:val="20"/>
          <w:szCs w:val="20"/>
          <w:color w:val="auto"/>
        </w:rPr>
        <w:tab/>
      </w:r>
      <w:r>
        <w:rPr>
          <w:rFonts w:ascii="Arial" w:cs="Arial" w:eastAsia="Arial" w:hAnsi="Arial"/>
          <w:sz w:val="15"/>
          <w:szCs w:val="15"/>
          <w:color w:val="auto"/>
        </w:rPr>
        <w:t>Quantitative and Qualitative Disclosures About Market Risk</w:t>
      </w:r>
    </w:p>
    <w:p>
      <w:pPr>
        <w:spacing w:after="0" w:line="394" w:lineRule="exact"/>
        <w:rPr>
          <w:sz w:val="20"/>
          <w:szCs w:val="20"/>
          <w:color w:val="auto"/>
        </w:rPr>
      </w:pPr>
    </w:p>
    <w:p>
      <w:pPr>
        <w:ind w:left="400"/>
        <w:spacing w:after="0"/>
        <w:tabs>
          <w:tab w:leader="none" w:pos="1960" w:val="left"/>
        </w:tabs>
        <w:rPr>
          <w:sz w:val="20"/>
          <w:szCs w:val="20"/>
          <w:color w:val="auto"/>
        </w:rPr>
      </w:pPr>
      <w:r>
        <w:rPr>
          <w:rFonts w:ascii="Arial" w:cs="Arial" w:eastAsia="Arial" w:hAnsi="Arial"/>
          <w:sz w:val="17"/>
          <w:szCs w:val="17"/>
          <w:color w:val="auto"/>
        </w:rPr>
        <w:t>Item 8.</w:t>
      </w:r>
      <w:r>
        <w:rPr>
          <w:sz w:val="20"/>
          <w:szCs w:val="20"/>
          <w:color w:val="auto"/>
        </w:rPr>
        <w:tab/>
      </w:r>
      <w:r>
        <w:rPr>
          <w:rFonts w:ascii="Arial" w:cs="Arial" w:eastAsia="Arial" w:hAnsi="Arial"/>
          <w:sz w:val="15"/>
          <w:szCs w:val="15"/>
          <w:color w:val="auto"/>
        </w:rPr>
        <w:t>Financial Statements and Supplementary Data</w:t>
      </w:r>
    </w:p>
    <w:p>
      <w:pPr>
        <w:spacing w:after="0" w:line="394" w:lineRule="exact"/>
        <w:rPr>
          <w:sz w:val="20"/>
          <w:szCs w:val="20"/>
          <w:color w:val="auto"/>
        </w:rPr>
      </w:pPr>
    </w:p>
    <w:p>
      <w:pPr>
        <w:ind w:left="1980" w:right="2440" w:hanging="1584"/>
        <w:spacing w:after="0" w:line="282" w:lineRule="auto"/>
        <w:tabs>
          <w:tab w:leader="none" w:pos="1960" w:val="left"/>
        </w:tabs>
        <w:rPr>
          <w:sz w:val="20"/>
          <w:szCs w:val="20"/>
          <w:color w:val="auto"/>
        </w:rPr>
      </w:pPr>
      <w:r>
        <w:rPr>
          <w:rFonts w:ascii="Arial" w:cs="Arial" w:eastAsia="Arial" w:hAnsi="Arial"/>
          <w:sz w:val="17"/>
          <w:szCs w:val="17"/>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375" w:lineRule="exact"/>
        <w:rPr>
          <w:sz w:val="20"/>
          <w:szCs w:val="20"/>
          <w:color w:val="auto"/>
        </w:rPr>
      </w:pPr>
    </w:p>
    <w:p>
      <w:pPr>
        <w:jc w:val="center"/>
        <w:ind w:left="1020"/>
        <w:spacing w:after="0"/>
        <w:rPr>
          <w:sz w:val="20"/>
          <w:szCs w:val="20"/>
          <w:color w:val="auto"/>
        </w:rPr>
      </w:pPr>
      <w:r>
        <w:rPr>
          <w:rFonts w:ascii="Arial" w:cs="Arial" w:eastAsia="Arial" w:hAnsi="Arial"/>
          <w:sz w:val="17"/>
          <w:szCs w:val="17"/>
          <w:b w:val="1"/>
          <w:bCs w:val="1"/>
          <w:color w:val="auto"/>
        </w:rPr>
        <w:t>PART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754" w:lineRule="exact"/>
        <w:rPr>
          <w:sz w:val="20"/>
          <w:szCs w:val="20"/>
          <w:color w:val="auto"/>
        </w:rPr>
      </w:pPr>
    </w:p>
    <w:p>
      <w:pPr>
        <w:sectPr>
          <w:pgSz w:w="11900" w:h="16838" w:orient="portrait"/>
          <w:cols w:equalWidth="0" w:num="2">
            <w:col w:w="8820" w:space="720"/>
            <w:col w:w="560"/>
          </w:cols>
          <w:pgMar w:left="900" w:top="127" w:right="899" w:bottom="423" w:gutter="0" w:footer="0" w:header="0"/>
          <w:type w:val="continuous"/>
        </w:sectPr>
      </w:pPr>
    </w:p>
    <w:p>
      <w:pPr>
        <w:spacing w:after="0" w:line="237"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7"/>
                <w:szCs w:val="17"/>
                <w:color w:val="auto"/>
              </w:rPr>
              <w:t>Item 10.</w:t>
            </w:r>
          </w:p>
        </w:tc>
        <w:tc>
          <w:tcPr>
            <w:tcW w:w="6600" w:type="dxa"/>
            <w:vAlign w:val="bottom"/>
          </w:tcPr>
          <w:p>
            <w:pPr>
              <w:ind w:left="500"/>
              <w:spacing w:after="0"/>
              <w:rPr>
                <w:sz w:val="20"/>
                <w:szCs w:val="20"/>
                <w:color w:val="auto"/>
              </w:rPr>
            </w:pPr>
            <w:r>
              <w:rPr>
                <w:rFonts w:ascii="Arial" w:cs="Arial" w:eastAsia="Arial" w:hAnsi="Arial"/>
                <w:sz w:val="17"/>
                <w:szCs w:val="17"/>
                <w:color w:val="auto"/>
              </w:rPr>
              <w:t>Directors and Executive Officers of the Registrant</w:t>
            </w:r>
          </w:p>
        </w:tc>
        <w:tc>
          <w:tcPr>
            <w:tcW w:w="1620" w:type="dxa"/>
            <w:vAlign w:val="bottom"/>
            <w:vMerge w:val="restart"/>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65"/>
        </w:trPr>
        <w:tc>
          <w:tcPr>
            <w:tcW w:w="108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auto"/>
              </w:rPr>
              <w:t>Item 11.</w:t>
            </w:r>
          </w:p>
        </w:tc>
        <w:tc>
          <w:tcPr>
            <w:tcW w:w="6600" w:type="dxa"/>
            <w:vAlign w:val="bottom"/>
          </w:tcPr>
          <w:p>
            <w:pPr>
              <w:ind w:left="500"/>
              <w:spacing w:after="0"/>
              <w:rPr>
                <w:sz w:val="20"/>
                <w:szCs w:val="20"/>
                <w:color w:val="auto"/>
              </w:rPr>
            </w:pPr>
            <w:r>
              <w:rPr>
                <w:rFonts w:ascii="Arial" w:cs="Arial" w:eastAsia="Arial" w:hAnsi="Arial"/>
                <w:sz w:val="17"/>
                <w:szCs w:val="17"/>
                <w:color w:val="auto"/>
              </w:rPr>
              <w:t>Executive Compensation</w:t>
            </w:r>
          </w:p>
        </w:tc>
        <w:tc>
          <w:tcPr>
            <w:tcW w:w="1620" w:type="dxa"/>
            <w:vAlign w:val="bottom"/>
            <w:vMerge w:val="restart"/>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65"/>
        </w:trPr>
        <w:tc>
          <w:tcPr>
            <w:tcW w:w="108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4"/>
        </w:trPr>
        <w:tc>
          <w:tcPr>
            <w:tcW w:w="1080" w:type="dxa"/>
            <w:vAlign w:val="bottom"/>
          </w:tcPr>
          <w:p>
            <w:pPr>
              <w:spacing w:after="0"/>
              <w:rPr>
                <w:sz w:val="20"/>
                <w:szCs w:val="20"/>
                <w:color w:val="auto"/>
              </w:rPr>
            </w:pPr>
            <w:r>
              <w:rPr>
                <w:rFonts w:ascii="Arial" w:cs="Arial" w:eastAsia="Arial" w:hAnsi="Arial"/>
                <w:sz w:val="17"/>
                <w:szCs w:val="17"/>
                <w:color w:val="auto"/>
              </w:rPr>
              <w:t>Item 12.</w:t>
            </w:r>
          </w:p>
        </w:tc>
        <w:tc>
          <w:tcPr>
            <w:tcW w:w="6600" w:type="dxa"/>
            <w:vAlign w:val="bottom"/>
          </w:tcPr>
          <w:p>
            <w:pPr>
              <w:ind w:left="500"/>
              <w:spacing w:after="0"/>
              <w:rPr>
                <w:sz w:val="20"/>
                <w:szCs w:val="20"/>
                <w:color w:val="auto"/>
              </w:rPr>
            </w:pPr>
            <w:r>
              <w:rPr>
                <w:rFonts w:ascii="Arial" w:cs="Arial" w:eastAsia="Arial" w:hAnsi="Arial"/>
                <w:sz w:val="17"/>
                <w:szCs w:val="17"/>
                <w:color w:val="auto"/>
              </w:rPr>
              <w:t>Security Ownership of Certain Beneficial Owners and Management</w:t>
            </w:r>
          </w:p>
        </w:tc>
        <w:tc>
          <w:tcPr>
            <w:tcW w:w="16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838"/>
        </w:trPr>
        <w:tc>
          <w:tcPr>
            <w:tcW w:w="1080" w:type="dxa"/>
            <w:vAlign w:val="bottom"/>
          </w:tcPr>
          <w:p>
            <w:pPr>
              <w:spacing w:after="0"/>
              <w:rPr>
                <w:sz w:val="20"/>
                <w:szCs w:val="20"/>
                <w:color w:val="auto"/>
              </w:rPr>
            </w:pPr>
            <w:r>
              <w:rPr>
                <w:rFonts w:ascii="Arial" w:cs="Arial" w:eastAsia="Arial" w:hAnsi="Arial"/>
                <w:sz w:val="17"/>
                <w:szCs w:val="17"/>
                <w:color w:val="auto"/>
              </w:rPr>
              <w:t>Item 13.</w:t>
            </w:r>
          </w:p>
        </w:tc>
        <w:tc>
          <w:tcPr>
            <w:tcW w:w="6600" w:type="dxa"/>
            <w:vAlign w:val="bottom"/>
          </w:tcPr>
          <w:p>
            <w:pPr>
              <w:ind w:left="500"/>
              <w:spacing w:after="0"/>
              <w:rPr>
                <w:sz w:val="20"/>
                <w:szCs w:val="20"/>
                <w:color w:val="auto"/>
              </w:rPr>
            </w:pPr>
            <w:r>
              <w:rPr>
                <w:rFonts w:ascii="Arial" w:cs="Arial" w:eastAsia="Arial" w:hAnsi="Arial"/>
                <w:sz w:val="17"/>
                <w:szCs w:val="17"/>
                <w:color w:val="auto"/>
              </w:rPr>
              <w:t>Certain Relationships and Related Transactions</w:t>
            </w:r>
          </w:p>
        </w:tc>
        <w:tc>
          <w:tcPr>
            <w:tcW w:w="16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589"/>
        </w:trPr>
        <w:tc>
          <w:tcPr>
            <w:tcW w:w="1080" w:type="dxa"/>
            <w:vAlign w:val="bottom"/>
          </w:tcPr>
          <w:p>
            <w:pPr>
              <w:spacing w:after="0"/>
              <w:rPr>
                <w:sz w:val="24"/>
                <w:szCs w:val="24"/>
                <w:color w:val="auto"/>
              </w:rPr>
            </w:pPr>
          </w:p>
        </w:tc>
        <w:tc>
          <w:tcPr>
            <w:tcW w:w="6600" w:type="dxa"/>
            <w:vAlign w:val="bottom"/>
          </w:tcPr>
          <w:p>
            <w:pPr>
              <w:ind w:left="3100"/>
              <w:spacing w:after="0"/>
              <w:rPr>
                <w:sz w:val="20"/>
                <w:szCs w:val="20"/>
                <w:color w:val="auto"/>
              </w:rPr>
            </w:pPr>
            <w:r>
              <w:rPr>
                <w:rFonts w:ascii="Arial" w:cs="Arial" w:eastAsia="Arial" w:hAnsi="Arial"/>
                <w:sz w:val="17"/>
                <w:szCs w:val="17"/>
                <w:b w:val="1"/>
                <w:bCs w:val="1"/>
                <w:color w:val="auto"/>
              </w:rPr>
              <w:t>PART IV</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080" w:type="dxa"/>
            <w:vAlign w:val="bottom"/>
          </w:tcPr>
          <w:p>
            <w:pPr>
              <w:spacing w:after="0"/>
              <w:rPr>
                <w:sz w:val="20"/>
                <w:szCs w:val="20"/>
                <w:color w:val="auto"/>
              </w:rPr>
            </w:pPr>
            <w:r>
              <w:rPr>
                <w:rFonts w:ascii="Arial" w:cs="Arial" w:eastAsia="Arial" w:hAnsi="Arial"/>
                <w:sz w:val="17"/>
                <w:szCs w:val="17"/>
                <w:color w:val="auto"/>
              </w:rPr>
              <w:t>Item 14.</w:t>
            </w:r>
          </w:p>
        </w:tc>
        <w:tc>
          <w:tcPr>
            <w:tcW w:w="6600" w:type="dxa"/>
            <w:vAlign w:val="bottom"/>
          </w:tcPr>
          <w:p>
            <w:pPr>
              <w:ind w:left="500"/>
              <w:spacing w:after="0"/>
              <w:rPr>
                <w:sz w:val="20"/>
                <w:szCs w:val="20"/>
                <w:color w:val="auto"/>
              </w:rPr>
            </w:pPr>
            <w:r>
              <w:rPr>
                <w:rFonts w:ascii="Arial" w:cs="Arial" w:eastAsia="Arial" w:hAnsi="Arial"/>
                <w:sz w:val="17"/>
                <w:szCs w:val="17"/>
                <w:color w:val="auto"/>
              </w:rPr>
              <w:t>Exhibits, Financial Statement Schedule and Reports on Form 8-K</w:t>
            </w:r>
          </w:p>
        </w:tc>
        <w:tc>
          <w:tcPr>
            <w:tcW w:w="16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bl>
    <w:p>
      <w:pPr>
        <w:sectPr>
          <w:pgSz w:w="11900" w:h="16838" w:orient="portrait"/>
          <w:cols w:equalWidth="0" w:num="1">
            <w:col w:w="10100"/>
          </w:cols>
          <w:pgMar w:left="900" w:top="127" w:right="899" w:bottom="423" w:gutter="0" w:footer="0" w:header="0"/>
          <w:type w:val="continuous"/>
        </w:sectPr>
      </w:pPr>
    </w:p>
    <w:bookmarkStart w:id="2" w:name="page3"/>
    <w:bookmarkEnd w:id="2"/>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Arial" w:cs="Arial" w:eastAsia="Arial" w:hAnsi="Arial"/>
                <w:sz w:val="17"/>
                <w:szCs w:val="17"/>
                <w:color w:val="auto"/>
              </w:rPr>
              <w:t>Signatures</w:t>
            </w:r>
          </w:p>
        </w:tc>
        <w:tc>
          <w:tcPr>
            <w:tcW w:w="438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753745</wp:posOffset>
            </wp:positionV>
            <wp:extent cx="72758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88" w:lineRule="exact"/>
        <w:rPr>
          <w:sz w:val="20"/>
          <w:szCs w:val="20"/>
          <w:color w:val="auto"/>
        </w:rPr>
      </w:pPr>
    </w:p>
    <w:p>
      <w:pPr>
        <w:ind w:right="100" w:firstLine="213"/>
        <w:spacing w:after="0" w:line="279" w:lineRule="auto"/>
        <w:rPr>
          <w:sz w:val="20"/>
          <w:szCs w:val="20"/>
          <w:color w:val="auto"/>
        </w:rPr>
      </w:pPr>
      <w:r>
        <w:rPr>
          <w:rFonts w:ascii="Arial" w:cs="Arial" w:eastAsia="Arial" w:hAnsi="Arial"/>
          <w:sz w:val="16"/>
          <w:szCs w:val="16"/>
          <w:color w:val="auto"/>
        </w:rPr>
        <w:t>Minerals Technologies Inc. (the "Company") is a resource- and technology-based company that develops, produces and markets worldwide a broad range of specialty mineral, mineral-based and synthetic mineral products. The Company has two operating segments: Specialty Minerals and Refractories. The Specialty Minerals segment produces and sells precipitated calcium carbonate ("PCC") and lime, and mines, processes and sells the natural mineral products limestone and talc. This segment's products are used principally in the paper, building materials, paints and coatings, glass, ceramic, polymers, food and pharmaceutical industries. The Refractories segment produces and markets monolithic and shaped refractory materials and services used primarily by the steel, cement and glass industries. The Company emphasizes research and development. The level of the Company's research and development spending as well as its history of developing and introducing technologically advanced new products have enabled the Company to anticipate and satisfy changing customer requirements and create market opportunities through new product development and product application innovations.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Specialty Minerals Segment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PCC Products and Markets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PCC Products</w:t>
      </w:r>
    </w:p>
    <w:p>
      <w:pPr>
        <w:spacing w:after="0" w:line="184" w:lineRule="exact"/>
        <w:rPr>
          <w:sz w:val="20"/>
          <w:szCs w:val="20"/>
          <w:color w:val="auto"/>
        </w:rPr>
      </w:pPr>
    </w:p>
    <w:p>
      <w:pPr>
        <w:ind w:right="20" w:firstLine="213"/>
        <w:spacing w:after="0" w:line="277" w:lineRule="auto"/>
        <w:rPr>
          <w:sz w:val="20"/>
          <w:szCs w:val="20"/>
          <w:color w:val="auto"/>
        </w:rPr>
      </w:pPr>
      <w:r>
        <w:rPr>
          <w:rFonts w:ascii="Arial" w:cs="Arial" w:eastAsia="Arial" w:hAnsi="Arial"/>
          <w:sz w:val="16"/>
          <w:szCs w:val="16"/>
          <w:color w:val="auto"/>
        </w:rPr>
        <w:t>Paper can be produced under either acid or alkaline conditions. Historically in North America, paper was produced primarily using acid technologies. In the mid-1980's, North American producers of uncoated wood-free paper encountered significant increases in the cost of wood fiber and other materials, such as titanium dioxide, which are necessary in greater quantities in the acid process. In response, these paper producers sought to convert their paper production to lower-cost alkaline technologies that permit mineral fillers such as PCC to be substituted for more expensive wood fiber and pigments used to increase brightness, resulting in significant cost savings. As a result of these conditions, the Company believed that a significant opportunity existed to provide paper producers with a high performance filler product that could facilitate the transition to the alkaline papermaking process. The Company constructed the first commercial satellite PCC plant at the Wisconsin Rapids paper mill of Consolidated Papers, Inc. (now Stora Enso Oy) in 1986. A satellite plant is located within the paper mill itself, thereby eliminating transportation costs. The Company believes the competitive advantages offered by the improved economics and superior optical characteristics of the paper produced using the PCC products manufactured by the Company's satellite PCC plants resulted in the rapid growth in the number of the Company's satellite PCC plants since 1986. In addition, the Company has constructed satellites to produce PCC for paper coating, and more recently, satellites for the use of PCC in groundwood (wood-containing) paper like newsprint, magazine and catalogue papers. For information with respect to the locations of the Company's satellite PCC plants at December 31, 2000, see Item 2, "Properties" below.</w:t>
      </w:r>
    </w:p>
    <w:p>
      <w:pPr>
        <w:spacing w:after="0" w:line="136" w:lineRule="exact"/>
        <w:rPr>
          <w:sz w:val="20"/>
          <w:szCs w:val="20"/>
          <w:color w:val="auto"/>
        </w:rPr>
      </w:pPr>
    </w:p>
    <w:p>
      <w:pPr>
        <w:ind w:right="80" w:firstLine="210"/>
        <w:spacing w:after="0" w:line="265" w:lineRule="auto"/>
        <w:rPr>
          <w:sz w:val="20"/>
          <w:szCs w:val="20"/>
          <w:color w:val="auto"/>
        </w:rPr>
      </w:pPr>
      <w:r>
        <w:rPr>
          <w:rFonts w:ascii="Arial" w:cs="Arial" w:eastAsia="Arial" w:hAnsi="Arial"/>
          <w:sz w:val="17"/>
          <w:szCs w:val="17"/>
          <w:color w:val="auto"/>
        </w:rPr>
        <w:t>The Company owns, staffs, operates and maintains all of its satellite PCC plants, including the related technology. The Company and its paper mill customers enter into long-term agreements, generally ten years in length, pursuant to which the Company supplies substantially all of the customer's precipitated calcium carbonate filler requirements. The Company is generally permitted to sell to third parties PCC produced at a satellite plant in excess of the host paper mill's requirements. The Company's satellite PCC plants and customers are listed in Item 2, "Properties."</w:t>
      </w:r>
    </w:p>
    <w:p>
      <w:pPr>
        <w:spacing w:after="0" w:line="145" w:lineRule="exact"/>
        <w:rPr>
          <w:sz w:val="20"/>
          <w:szCs w:val="20"/>
          <w:color w:val="auto"/>
        </w:rPr>
      </w:pPr>
    </w:p>
    <w:p>
      <w:pPr>
        <w:ind w:right="20" w:firstLine="210"/>
        <w:spacing w:after="0" w:line="262" w:lineRule="auto"/>
        <w:rPr>
          <w:sz w:val="20"/>
          <w:szCs w:val="20"/>
          <w:color w:val="auto"/>
        </w:rPr>
      </w:pPr>
      <w:r>
        <w:rPr>
          <w:rFonts w:ascii="Arial" w:cs="Arial" w:eastAsia="Arial" w:hAnsi="Arial"/>
          <w:sz w:val="17"/>
          <w:szCs w:val="17"/>
          <w:color w:val="auto"/>
        </w:rPr>
        <w:t>The Company currently manufactures several customized PCC product forms using proprietary processes at its satellite PCC plants, each designed to provide optimum brightness, opacity, bulking, paper strength or improved printing properties. The Company's research and development and technical service staffs focus on expanding sales at its existing satellite PCC plants as well as developing new technologies. These include acid-tolerant PCC, which allowed PCC to be introduced to the large wood-containing segment of the printing and writing papers market, and PCC crystal morphologies for coating paper. The Company expects that research and development in coating technology will open up a large market for PCC that will build slowly as paper companies begin to include PCC in their proprietary coating formulations.</w:t>
      </w:r>
    </w:p>
    <w:p>
      <w:pPr>
        <w:spacing w:after="0" w:line="147" w:lineRule="exact"/>
        <w:rPr>
          <w:sz w:val="20"/>
          <w:szCs w:val="20"/>
          <w:color w:val="auto"/>
        </w:rPr>
      </w:pPr>
    </w:p>
    <w:p>
      <w:pPr>
        <w:ind w:firstLine="210"/>
        <w:spacing w:after="0" w:line="306" w:lineRule="auto"/>
        <w:rPr>
          <w:sz w:val="20"/>
          <w:szCs w:val="20"/>
          <w:color w:val="auto"/>
        </w:rPr>
      </w:pPr>
      <w:r>
        <w:rPr>
          <w:rFonts w:ascii="Arial" w:cs="Arial" w:eastAsia="Arial" w:hAnsi="Arial"/>
          <w:sz w:val="15"/>
          <w:szCs w:val="15"/>
          <w:color w:val="auto"/>
        </w:rPr>
        <w:t>The Company's full range of slurry and dry PCC products are also sold on a merchant basis. In the paper industry, the Company's merchant PCC is used as a coating pigment and as a filler in the production of coated and uncoated wood-free printing and writing papers. The Company sells surface-treated and untreated grades of PCC to the polymers industry for use in rigid polyvinyl chloride products (pipe and profiles), thermoset polyesters (automotive body parts), sealants (automotive and construction applications), adhesives, printing inks and coatings. The Company's PCC is used by the food and pharmaceutical industries as a source of bio-available calcium in tablets and foodstuffs, as a buffering agent in tablets, and as a mild abrasive in toothpaste. The Company also sells PCC to the paints and coatings industry.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80" w:firstLine="210"/>
        <w:spacing w:after="0" w:line="293" w:lineRule="auto"/>
        <w:rPr>
          <w:sz w:val="20"/>
          <w:szCs w:val="20"/>
          <w:color w:val="auto"/>
        </w:rPr>
      </w:pPr>
      <w:r>
        <w:rPr>
          <w:rFonts w:ascii="Arial" w:cs="Arial" w:eastAsia="Arial" w:hAnsi="Arial"/>
          <w:sz w:val="16"/>
          <w:szCs w:val="16"/>
          <w:color w:val="auto"/>
        </w:rPr>
        <w:t>The Company's PCC product line net sales were $399.2 million, $391.9 million, and $355.5 million for the years ended December 31, 2000, 1999 and 1998, respectively. Sales to International Paper Company represented approximately 13% and 10% of consolidated net sales in 2000 and 1999, respectively, and less than 10% in 1998. See Item 7,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Key Markets</w:t>
      </w:r>
    </w:p>
    <w:p>
      <w:pPr>
        <w:spacing w:after="0" w:line="184" w:lineRule="exact"/>
        <w:rPr>
          <w:sz w:val="20"/>
          <w:szCs w:val="20"/>
          <w:color w:val="auto"/>
        </w:rPr>
      </w:pPr>
    </w:p>
    <w:p>
      <w:pPr>
        <w:ind w:right="60" w:firstLine="210"/>
        <w:spacing w:after="0" w:line="282" w:lineRule="auto"/>
        <w:rPr>
          <w:sz w:val="20"/>
          <w:szCs w:val="20"/>
          <w:color w:val="auto"/>
        </w:rPr>
      </w:pPr>
      <w:r>
        <w:rPr>
          <w:rFonts w:ascii="Arial" w:cs="Arial" w:eastAsia="Arial" w:hAnsi="Arial"/>
          <w:sz w:val="17"/>
          <w:szCs w:val="17"/>
          <w:color w:val="auto"/>
        </w:rPr>
        <w:t>The principal market for the Company's satellite PCC products is the paper industry. The Company also produces PCC on a merchant basis for sale to companies in the polymers, food and pharmaceutical and paints and coatings industries.</w:t>
      </w:r>
    </w:p>
    <w:p>
      <w:pPr>
        <w:spacing w:after="0" w:line="130" w:lineRule="exact"/>
        <w:rPr>
          <w:sz w:val="20"/>
          <w:szCs w:val="20"/>
          <w:color w:val="auto"/>
        </w:rPr>
      </w:pPr>
    </w:p>
    <w:p>
      <w:pPr>
        <w:ind w:right="180" w:firstLine="213"/>
        <w:spacing w:after="0" w:line="269" w:lineRule="auto"/>
        <w:rPr>
          <w:sz w:val="20"/>
          <w:szCs w:val="20"/>
          <w:color w:val="auto"/>
        </w:rPr>
      </w:pPr>
      <w:r>
        <w:rPr>
          <w:rFonts w:ascii="Arial" w:cs="Arial" w:eastAsia="Arial" w:hAnsi="Arial"/>
          <w:sz w:val="17"/>
          <w:szCs w:val="17"/>
          <w:color w:val="auto"/>
        </w:rPr>
        <w:t>Sales of PCC to the paper industry have accounted for a steadily increasing percentage of the Company's total sales in the past five years. The Company's sales of PCC have been and are expected to continue to be made primarily to the printing and writing papers segment of the paper industry. The Company's products are currently used primarily by paper mills producing uncoated wood-free paper.</w:t>
      </w:r>
    </w:p>
    <w:p>
      <w:pPr>
        <w:sectPr>
          <w:pgSz w:w="11900" w:h="16838" w:orient="portrait"/>
          <w:cols w:equalWidth="0" w:num="1">
            <w:col w:w="11420"/>
          </w:cols>
          <w:pgMar w:left="240" w:top="367" w:right="239" w:bottom="0" w:gutter="0" w:footer="0" w:header="0"/>
        </w:sectPr>
      </w:pPr>
    </w:p>
    <w:bookmarkStart w:id="3" w:name="page4"/>
    <w:bookmarkEnd w:id="3"/>
    <w:p>
      <w:pPr>
        <w:spacing w:after="0" w:line="66" w:lineRule="exact"/>
        <w:rPr>
          <w:sz w:val="20"/>
          <w:szCs w:val="20"/>
          <w:color w:val="auto"/>
        </w:rPr>
      </w:pPr>
    </w:p>
    <w:p>
      <w:pPr>
        <w:ind w:right="60" w:firstLine="170"/>
        <w:spacing w:after="0" w:line="265" w:lineRule="auto"/>
        <w:rPr>
          <w:sz w:val="20"/>
          <w:szCs w:val="20"/>
          <w:color w:val="auto"/>
        </w:rPr>
      </w:pPr>
      <w:r>
        <w:rPr>
          <w:rFonts w:ascii="Arial" w:cs="Arial" w:eastAsia="Arial" w:hAnsi="Arial"/>
          <w:sz w:val="17"/>
          <w:szCs w:val="17"/>
          <w:i w:val="1"/>
          <w:iCs w:val="1"/>
          <w:color w:val="auto"/>
        </w:rPr>
        <w:t xml:space="preserve">Worldwide Wood-Free Printing and Writing Papers. </w:t>
      </w:r>
      <w:r>
        <w:rPr>
          <w:rFonts w:ascii="Arial" w:cs="Arial" w:eastAsia="Arial" w:hAnsi="Arial"/>
          <w:sz w:val="17"/>
          <w:szCs w:val="17"/>
          <w:color w:val="auto"/>
        </w:rPr>
        <w:t>In the mid-1980's, North American producers of uncoated wood-free paper encountered significant increases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costs of wood fiber and other materials. In response, these paper producers sought to convert their paper production to lower-cost alkaline-based technologies. Ground chalk has historically been used by European alkaline-based paper producers as a low-cost substitute for wood fiber. In North America, however, there is no naturally occurring chalk.</w:t>
      </w:r>
    </w:p>
    <w:p>
      <w:pPr>
        <w:spacing w:after="0" w:line="184" w:lineRule="exact"/>
        <w:rPr>
          <w:sz w:val="20"/>
          <w:szCs w:val="20"/>
          <w:color w:val="auto"/>
        </w:rPr>
      </w:pPr>
    </w:p>
    <w:p>
      <w:pPr>
        <w:ind w:right="140" w:firstLine="213"/>
        <w:spacing w:after="0" w:line="263" w:lineRule="auto"/>
        <w:rPr>
          <w:sz w:val="20"/>
          <w:szCs w:val="20"/>
          <w:color w:val="auto"/>
        </w:rPr>
      </w:pPr>
      <w:r>
        <w:rPr>
          <w:rFonts w:ascii="Arial" w:cs="Arial" w:eastAsia="Arial" w:hAnsi="Arial"/>
          <w:sz w:val="17"/>
          <w:szCs w:val="17"/>
          <w:color w:val="auto"/>
        </w:rPr>
        <w:t>PCC must compete with other fillers, such as ground limestone and clay. PCC costs more to produce than ground limestone or clay since the production process is inherently more complex. Limestone is mined, crushed and ground; clay is mined, ground and perhaps calcined. PCC is manufactured by a chemical process that dissolves lime (which itself is produced by calcining a mined product, limestone), combines it with carbon dioxide and separates the final product. Drying and transportation can add significantly to the product cost. If shipped wet, additional freight costs are incurred. In many cases this added cost makes PCC from merchant plants uncompetitive with other fillers.</w:t>
      </w:r>
    </w:p>
    <w:p>
      <w:pPr>
        <w:spacing w:after="0" w:line="147" w:lineRule="exact"/>
        <w:rPr>
          <w:sz w:val="20"/>
          <w:szCs w:val="20"/>
          <w:color w:val="auto"/>
        </w:rPr>
      </w:pPr>
    </w:p>
    <w:p>
      <w:pPr>
        <w:ind w:right="200" w:firstLine="213"/>
        <w:spacing w:after="0" w:line="265" w:lineRule="auto"/>
        <w:rPr>
          <w:sz w:val="20"/>
          <w:szCs w:val="20"/>
          <w:color w:val="auto"/>
        </w:rPr>
      </w:pPr>
      <w:r>
        <w:rPr>
          <w:rFonts w:ascii="Arial" w:cs="Arial" w:eastAsia="Arial" w:hAnsi="Arial"/>
          <w:sz w:val="17"/>
          <w:szCs w:val="17"/>
          <w:color w:val="auto"/>
        </w:rPr>
        <w:t>In response to these conditions and as a result of a concentrated research and development effort, the Company developed the satellite PCC plant concept. The Company's satellite PCC plants have facilitated the conversion of a substantial percentage of the North American uncoated wood-free printing and writing paper producers to alkaline papermaking. The Company estimates that during 2000, more than 90% of North American wood-free paper was produced employing alkaline technology.</w:t>
      </w:r>
    </w:p>
    <w:p>
      <w:pPr>
        <w:spacing w:after="0" w:line="145" w:lineRule="exact"/>
        <w:rPr>
          <w:sz w:val="20"/>
          <w:szCs w:val="20"/>
          <w:color w:val="auto"/>
        </w:rPr>
      </w:pPr>
    </w:p>
    <w:p>
      <w:pPr>
        <w:jc w:val="both"/>
        <w:ind w:right="120" w:firstLine="213"/>
        <w:spacing w:after="0" w:line="293" w:lineRule="auto"/>
        <w:rPr>
          <w:sz w:val="20"/>
          <w:szCs w:val="20"/>
          <w:color w:val="auto"/>
        </w:rPr>
      </w:pPr>
      <w:r>
        <w:rPr>
          <w:rFonts w:ascii="Arial" w:cs="Arial" w:eastAsia="Arial" w:hAnsi="Arial"/>
          <w:sz w:val="16"/>
          <w:szCs w:val="16"/>
          <w:color w:val="auto"/>
        </w:rPr>
        <w:t>Presently, the Company owns and operates 34 commercial satellite PCC plants located at paper mills that produce wood-free printing and writing papers in North America. Based upon its experience, the Company anticipates that the aggregate volume of PCC used by these paper mills will increase. The Company also estimates that a few additional North American paper mills producing wood-free paper are large enough to support a satellite PCC plant.</w:t>
      </w:r>
    </w:p>
    <w:p>
      <w:pPr>
        <w:spacing w:after="0" w:line="125" w:lineRule="exact"/>
        <w:rPr>
          <w:sz w:val="20"/>
          <w:szCs w:val="20"/>
          <w:color w:val="auto"/>
        </w:rPr>
      </w:pPr>
    </w:p>
    <w:p>
      <w:pPr>
        <w:jc w:val="both"/>
        <w:ind w:firstLine="210"/>
        <w:spacing w:after="0" w:line="321" w:lineRule="auto"/>
        <w:rPr>
          <w:sz w:val="20"/>
          <w:szCs w:val="20"/>
          <w:color w:val="auto"/>
        </w:rPr>
      </w:pPr>
      <w:r>
        <w:rPr>
          <w:rFonts w:ascii="Arial" w:cs="Arial" w:eastAsia="Arial" w:hAnsi="Arial"/>
          <w:sz w:val="15"/>
          <w:szCs w:val="15"/>
          <w:color w:val="auto"/>
        </w:rPr>
        <w:t>The Company is also placing increased emphasis on the use of PCC to coat paper. PCC increases gloss and printability of the sheet while decreasing paper's cost per ton. The coating paper market is large and the Company believes it will continue to grow at a higher average growth rate than the uncoated paper market, and therefore provides a substantial market opportunity for the Company. PCC coating products are produced at approximately eleven of the Company's satellite PCC plants.</w:t>
      </w:r>
    </w:p>
    <w:p>
      <w:pPr>
        <w:spacing w:after="0" w:line="107" w:lineRule="exact"/>
        <w:rPr>
          <w:sz w:val="20"/>
          <w:szCs w:val="20"/>
          <w:color w:val="auto"/>
        </w:rPr>
      </w:pPr>
    </w:p>
    <w:p>
      <w:pPr>
        <w:ind w:right="180" w:firstLine="210"/>
        <w:spacing w:after="0" w:line="263" w:lineRule="auto"/>
        <w:rPr>
          <w:sz w:val="20"/>
          <w:szCs w:val="20"/>
          <w:color w:val="auto"/>
        </w:rPr>
      </w:pPr>
      <w:r>
        <w:rPr>
          <w:rFonts w:ascii="Arial" w:cs="Arial" w:eastAsia="Arial" w:hAnsi="Arial"/>
          <w:sz w:val="17"/>
          <w:szCs w:val="17"/>
          <w:color w:val="auto"/>
        </w:rPr>
        <w:t>The Company estimates the amount of uncoated wood-free printing and writing papers produced outside of North America that can be served by its satellite PCC operations is approximately the same size (measured in tons of paper produced) as the North American uncoated wood-free paper market currently served by the Company. The Company believes that the superior brightness, opacity and bulking characteristics offered by its PCC products allow it to compete with suppliers of ground limestone and other filler products outside of North America. Presently, the Company owns and operates 19 commercial satellite PCC plants located at paper mills that produce wood-free printing and writing papers outside of North America.</w:t>
      </w:r>
    </w:p>
    <w:p>
      <w:pPr>
        <w:spacing w:after="0" w:line="186" w:lineRule="exact"/>
        <w:rPr>
          <w:sz w:val="20"/>
          <w:szCs w:val="20"/>
          <w:color w:val="auto"/>
        </w:rPr>
      </w:pPr>
    </w:p>
    <w:p>
      <w:pPr>
        <w:ind w:right="20" w:firstLine="213"/>
        <w:spacing w:after="0" w:line="280" w:lineRule="auto"/>
        <w:rPr>
          <w:sz w:val="20"/>
          <w:szCs w:val="20"/>
          <w:color w:val="auto"/>
        </w:rPr>
      </w:pPr>
      <w:r>
        <w:rPr>
          <w:rFonts w:ascii="Arial" w:cs="Arial" w:eastAsia="Arial" w:hAnsi="Arial"/>
          <w:sz w:val="16"/>
          <w:szCs w:val="16"/>
          <w:i w:val="1"/>
          <w:iCs w:val="1"/>
          <w:color w:val="auto"/>
        </w:rPr>
        <w:t>Worldwide Wood-Containing Printing and Writing Papers</w:t>
      </w:r>
      <w:r>
        <w:rPr>
          <w:rFonts w:ascii="Arial" w:cs="Arial" w:eastAsia="Arial" w:hAnsi="Arial"/>
          <w:sz w:val="16"/>
          <w:szCs w:val="16"/>
          <w:color w:val="auto"/>
        </w:rPr>
        <w:t>. The groundwood paper market represents nearly half of worldwide paper production. Paper mills</w:t>
      </w:r>
      <w:r>
        <w:rPr>
          <w:rFonts w:ascii="Arial" w:cs="Arial" w:eastAsia="Arial" w:hAnsi="Arial"/>
          <w:sz w:val="16"/>
          <w:szCs w:val="16"/>
          <w:i w:val="1"/>
          <w:iCs w:val="1"/>
          <w:color w:val="auto"/>
        </w:rPr>
        <w:t xml:space="preserve"> </w:t>
      </w:r>
      <w:r>
        <w:rPr>
          <w:rFonts w:ascii="Arial" w:cs="Arial" w:eastAsia="Arial" w:hAnsi="Arial"/>
          <w:sz w:val="16"/>
          <w:szCs w:val="16"/>
          <w:color w:val="auto"/>
        </w:rPr>
        <w:t>producing wood-containing paper still generally employ acid papermaking technology. The conversion to alkaline technology by these mills has been hampered by the tendency of wood-containing papers to darken in an alkaline environment. In an attempt to introduce PCC to the wood-containing segments of the paper industry, the Company has developed and patented a process for the manufacture of an acid-tolerant form of PCC (AT™ PCC) that will facilitate production of high-brightness, high-quality groundwood paper in an acid environment. Furthermore, as groundwood or wood-containing paper mills use larger quantities of recycled fiber, there is a trend towards the use of neutral paper making technology in this segment for which the Company presently supplies traditional PCC morphologies. The Company now supplies PCC to approximately 24 paper machines at 14 groundwood paper mills around the world.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Processed Mineral Products and Markets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mines and processes the natural mineral products limestone and talc, and manufactures lime, a mineral-based product.</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Lime is used as a raw material for the manufacture of PCC at the Company's Adams, Massachusetts facility, and sold commercially to various chemical industries.</w:t>
      </w:r>
    </w:p>
    <w:p>
      <w:pPr>
        <w:spacing w:after="0" w:line="207" w:lineRule="exact"/>
        <w:rPr>
          <w:sz w:val="20"/>
          <w:szCs w:val="20"/>
          <w:color w:val="auto"/>
        </w:rPr>
      </w:pPr>
    </w:p>
    <w:p>
      <w:pPr>
        <w:jc w:val="both"/>
        <w:ind w:right="60" w:firstLine="213"/>
        <w:spacing w:after="0" w:line="269" w:lineRule="auto"/>
        <w:rPr>
          <w:sz w:val="20"/>
          <w:szCs w:val="20"/>
          <w:color w:val="auto"/>
        </w:rPr>
      </w:pPr>
      <w:r>
        <w:rPr>
          <w:rFonts w:ascii="Arial" w:cs="Arial" w:eastAsia="Arial" w:hAnsi="Arial"/>
          <w:sz w:val="17"/>
          <w:szCs w:val="17"/>
          <w:color w:val="auto"/>
        </w:rPr>
        <w:t>In April 1998, the Company divested its Midwest limestone business in Port Inland, Michigan. Net sales from this facility in 1998 prior to the divestiture were $1.8 million. This was the Company's only business unit competing for sales of limestone aggregate, a commodity business. References to ongoing operations exclude the results from this facility.</w:t>
      </w:r>
    </w:p>
    <w:p>
      <w:pPr>
        <w:spacing w:after="0" w:line="141" w:lineRule="exact"/>
        <w:rPr>
          <w:sz w:val="20"/>
          <w:szCs w:val="20"/>
          <w:color w:val="auto"/>
        </w:rPr>
      </w:pPr>
    </w:p>
    <w:p>
      <w:pPr>
        <w:ind w:right="120" w:firstLine="210"/>
        <w:spacing w:after="0" w:line="269" w:lineRule="auto"/>
        <w:rPr>
          <w:sz w:val="20"/>
          <w:szCs w:val="20"/>
          <w:color w:val="auto"/>
        </w:rPr>
      </w:pPr>
      <w:r>
        <w:rPr>
          <w:rFonts w:ascii="Arial" w:cs="Arial" w:eastAsia="Arial" w:hAnsi="Arial"/>
          <w:sz w:val="17"/>
          <w:szCs w:val="17"/>
          <w:color w:val="auto"/>
        </w:rPr>
        <w:t>The Company mines, beneficiates and processes talc at its Barretts site, located near Dillon, Montana, and is sold worldwide in finely ground form for paints and coatings, ceramics and polymers applications. Because of the exceptional chemical purity of the Barretts ore, a majority of the automotive catalytic converter ceramic substrates manufactured in the United States, Japan and Western Europe utilize the Company's Barretts talc.</w:t>
      </w:r>
    </w:p>
    <w:p>
      <w:pPr>
        <w:spacing w:after="0" w:line="141" w:lineRule="exact"/>
        <w:rPr>
          <w:sz w:val="20"/>
          <w:szCs w:val="20"/>
          <w:color w:val="auto"/>
        </w:rPr>
      </w:pPr>
    </w:p>
    <w:p>
      <w:pPr>
        <w:ind w:right="740" w:firstLine="210"/>
        <w:spacing w:after="0" w:line="351" w:lineRule="auto"/>
        <w:rPr>
          <w:sz w:val="20"/>
          <w:szCs w:val="20"/>
          <w:color w:val="auto"/>
        </w:rPr>
      </w:pPr>
      <w:r>
        <w:rPr>
          <w:rFonts w:ascii="Arial" w:cs="Arial" w:eastAsia="Arial" w:hAnsi="Arial"/>
          <w:sz w:val="15"/>
          <w:szCs w:val="15"/>
          <w:color w:val="auto"/>
        </w:rPr>
        <w:t>The Company's net sales of processed mineral products from ongoing operations were $87.1 million, $87.5 million, and $87.0 million for the years ended December 31, 2000, 1999 and 1998, respectively. See Item 7, "Management's Discussion and Analysis of Financial Condition and Results of Operations."</w:t>
      </w:r>
    </w:p>
    <w:p>
      <w:pPr>
        <w:spacing w:after="0" w:line="85" w:lineRule="exact"/>
        <w:rPr>
          <w:sz w:val="20"/>
          <w:szCs w:val="20"/>
          <w:color w:val="auto"/>
        </w:rPr>
      </w:pPr>
    </w:p>
    <w:p>
      <w:pPr>
        <w:ind w:right="20" w:firstLine="210"/>
        <w:spacing w:after="0" w:line="269" w:lineRule="auto"/>
        <w:rPr>
          <w:sz w:val="20"/>
          <w:szCs w:val="20"/>
          <w:color w:val="auto"/>
        </w:rPr>
      </w:pPr>
      <w:r>
        <w:rPr>
          <w:rFonts w:ascii="Arial" w:cs="Arial" w:eastAsia="Arial" w:hAnsi="Arial"/>
          <w:sz w:val="17"/>
          <w:szCs w:val="17"/>
          <w:color w:val="auto"/>
        </w:rPr>
        <w:t>The Company's natural mineral products are supported by the Company's limestone reserves located in the western and eastern parts of the United States, and talc reserves located in Montana. The Company estimates these reserves, at current usage levels, to be in excess of 30 years at both its limestone production facilities and at its talc production facility.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Refractories Segment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Refractory Products and Markets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Refractory Products</w:t>
      </w:r>
    </w:p>
    <w:p>
      <w:pPr>
        <w:spacing w:after="0" w:line="184" w:lineRule="exact"/>
        <w:rPr>
          <w:sz w:val="20"/>
          <w:szCs w:val="20"/>
          <w:color w:val="auto"/>
        </w:rPr>
      </w:pPr>
    </w:p>
    <w:p>
      <w:pPr>
        <w:ind w:right="20" w:firstLine="210"/>
        <w:spacing w:after="0" w:line="277" w:lineRule="auto"/>
        <w:rPr>
          <w:sz w:val="20"/>
          <w:szCs w:val="20"/>
          <w:color w:val="auto"/>
        </w:rPr>
      </w:pPr>
      <w:r>
        <w:rPr>
          <w:rFonts w:ascii="Arial" w:cs="Arial" w:eastAsia="Arial" w:hAnsi="Arial"/>
          <w:sz w:val="16"/>
          <w:szCs w:val="16"/>
          <w:color w:val="auto"/>
        </w:rPr>
        <w:t>The Company offers a broad range of monolithic refractory products as well as pre-cast refractory shapes. Product sales are usually combined with Company-supplied proprietary applications equipment and on-site technical service support. The Company's proprietary applications equipment is used to apply refractory materials to the walls of steel-making furnaces and other high temperature vessels to maintain and extend their lives. Robotic-type shooters, including the Company's proprietary SEQUAD® sprayer, allow for remote-controlled applications in steel-making furnaces, as well as in steel ladles and blast furnaces. Since the steel-making industry is characterized by intense price competition, which results in a continuing emphasis by steel mills on increased productivity, the SEQUAD® sprayer and the related technologically-advanced blast furnace maintenance materials developed in the Company's research laboratories have been well accepted by the Company's customers. These products allow steel makers to improve their performance through, among other things, the application of monolithic refractories to furnace linings while the furnace is at operating temperature, thereby eliminating the need for furnace cool-down periods and steel-production interruption. This also results in a lower overall refractory cost to steel makers per ton of steel produced. The Company's experienced technical service staff and advanced applications equipment provide greater assurance that the desired productivity objectives of customers are achieved. In addition, laser measurement of refractory wear is conducted by the Company's technicians in certain plants to improve maintenance performance. The Company believes that these services, together with its refractory product offerings, provide the Company with a strategic marketing advantage.</w:t>
      </w:r>
    </w:p>
    <w:p>
      <w:pPr>
        <w:sectPr>
          <w:pgSz w:w="11900" w:h="16904" w:orient="portrait"/>
          <w:cols w:equalWidth="0" w:num="1">
            <w:col w:w="11420"/>
          </w:cols>
          <w:pgMar w:left="240" w:top="131" w:right="239" w:bottom="0" w:gutter="0" w:footer="0" w:header="0"/>
        </w:sectPr>
      </w:pPr>
    </w:p>
    <w:bookmarkStart w:id="4" w:name="page5"/>
    <w:bookmarkEnd w:id="4"/>
    <w:p>
      <w:pPr>
        <w:ind w:right="200" w:firstLine="213"/>
        <w:spacing w:after="0" w:line="282" w:lineRule="auto"/>
        <w:rPr>
          <w:sz w:val="20"/>
          <w:szCs w:val="20"/>
          <w:color w:val="auto"/>
        </w:rPr>
      </w:pPr>
      <w:r>
        <w:rPr>
          <w:rFonts w:ascii="Arial" w:cs="Arial" w:eastAsia="Arial" w:hAnsi="Arial"/>
          <w:sz w:val="17"/>
          <w:szCs w:val="17"/>
          <w:color w:val="auto"/>
        </w:rPr>
        <w:t>In the past five years, more than 75% of the Company's refractory product sales have come from new products. In addition to new products, delivery systems and services, the Company has focused on controlling costs and expenses.</w:t>
      </w:r>
    </w:p>
    <w:p>
      <w:pPr>
        <w:spacing w:after="0" w:line="130" w:lineRule="exact"/>
        <w:rPr>
          <w:sz w:val="20"/>
          <w:szCs w:val="20"/>
          <w:color w:val="auto"/>
        </w:rPr>
      </w:pPr>
    </w:p>
    <w:p>
      <w:pPr>
        <w:ind w:right="20" w:firstLine="213"/>
        <w:spacing w:after="0" w:line="263" w:lineRule="auto"/>
        <w:rPr>
          <w:sz w:val="20"/>
          <w:szCs w:val="20"/>
          <w:color w:val="auto"/>
        </w:rPr>
      </w:pPr>
      <w:r>
        <w:rPr>
          <w:rFonts w:ascii="Arial" w:cs="Arial" w:eastAsia="Arial" w:hAnsi="Arial"/>
          <w:sz w:val="17"/>
          <w:szCs w:val="17"/>
          <w:color w:val="auto"/>
        </w:rPr>
        <w:t>Some of the new refractory products the Company has introduced in the past few years include the MAG-O-STAR® spray coating, MINSCAN application systems and SHOTCRETE castable material. MAG-O-STAR® spray coating is an advanced technique for applying refractory material to the slag line, or at the top of red-hot steel ladles. MINSCAN is a fully automated application system for applying refractory materials to electric arc furnaces. SHOTCRETE is a dense castable material used in a variety of steel-making vessels to improve productivity. The Company has also developed a new product called OPTISHOT™ refractory products, which can completely replace brick in iron and steel ladles.</w:t>
      </w:r>
    </w:p>
    <w:p>
      <w:pPr>
        <w:spacing w:after="0" w:line="147" w:lineRule="exact"/>
        <w:rPr>
          <w:sz w:val="20"/>
          <w:szCs w:val="20"/>
          <w:color w:val="auto"/>
        </w:rPr>
      </w:pPr>
    </w:p>
    <w:p>
      <w:pPr>
        <w:ind w:right="220" w:firstLine="213"/>
        <w:spacing w:after="0" w:line="282" w:lineRule="auto"/>
        <w:rPr>
          <w:sz w:val="20"/>
          <w:szCs w:val="20"/>
          <w:color w:val="auto"/>
        </w:rPr>
      </w:pPr>
      <w:r>
        <w:rPr>
          <w:rFonts w:ascii="Arial" w:cs="Arial" w:eastAsia="Arial" w:hAnsi="Arial"/>
          <w:sz w:val="17"/>
          <w:szCs w:val="17"/>
          <w:color w:val="auto"/>
        </w:rPr>
        <w:t>In April 2000, the Company acquired Ferrotron Elektronic GmbH, a manufacturer of advanced laser scanner devices, sensors and other instrumentation specially designed for the steel industry.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refractory products are sold in the following three product groups:</w:t>
      </w:r>
    </w:p>
    <w:p>
      <w:pPr>
        <w:spacing w:after="0" w:line="184" w:lineRule="exact"/>
        <w:rPr>
          <w:sz w:val="20"/>
          <w:szCs w:val="20"/>
          <w:color w:val="auto"/>
        </w:rPr>
      </w:pPr>
    </w:p>
    <w:p>
      <w:pPr>
        <w:ind w:right="160" w:firstLine="213"/>
        <w:spacing w:after="0" w:line="282" w:lineRule="auto"/>
        <w:rPr>
          <w:sz w:val="20"/>
          <w:szCs w:val="20"/>
          <w:color w:val="auto"/>
        </w:rPr>
      </w:pPr>
      <w:r>
        <w:rPr>
          <w:rFonts w:ascii="Arial" w:cs="Arial" w:eastAsia="Arial" w:hAnsi="Arial"/>
          <w:sz w:val="17"/>
          <w:szCs w:val="17"/>
          <w:i w:val="1"/>
          <w:iCs w:val="1"/>
          <w:color w:val="auto"/>
        </w:rPr>
        <w:t>Steel Furnace Refractories</w:t>
      </w:r>
      <w:r>
        <w:rPr>
          <w:rFonts w:ascii="Arial" w:cs="Arial" w:eastAsia="Arial" w:hAnsi="Arial"/>
          <w:sz w:val="17"/>
          <w:szCs w:val="17"/>
          <w:color w:val="auto"/>
        </w:rPr>
        <w:t>. The Company sells gunnable monolithic refractory products to users of basic oxygen furnaces and electric furnaces for application on</w:t>
      </w:r>
      <w:r>
        <w:rPr>
          <w:rFonts w:ascii="Arial" w:cs="Arial" w:eastAsia="Arial" w:hAnsi="Arial"/>
          <w:sz w:val="17"/>
          <w:szCs w:val="17"/>
          <w:i w:val="1"/>
          <w:iCs w:val="1"/>
          <w:color w:val="auto"/>
        </w:rPr>
        <w:t xml:space="preserve"> </w:t>
      </w:r>
      <w:r>
        <w:rPr>
          <w:rFonts w:ascii="Arial" w:cs="Arial" w:eastAsia="Arial" w:hAnsi="Arial"/>
          <w:sz w:val="17"/>
          <w:szCs w:val="17"/>
          <w:color w:val="auto"/>
        </w:rPr>
        <w:t>furnace walls to prolong the life of furnace linings.</w:t>
      </w:r>
    </w:p>
    <w:p>
      <w:pPr>
        <w:spacing w:after="0" w:line="130" w:lineRule="exact"/>
        <w:rPr>
          <w:sz w:val="20"/>
          <w:szCs w:val="20"/>
          <w:color w:val="auto"/>
        </w:rPr>
      </w:pPr>
    </w:p>
    <w:p>
      <w:pPr>
        <w:jc w:val="both"/>
        <w:ind w:right="40" w:firstLine="213"/>
        <w:spacing w:after="0" w:line="321" w:lineRule="auto"/>
        <w:rPr>
          <w:sz w:val="20"/>
          <w:szCs w:val="20"/>
          <w:color w:val="auto"/>
        </w:rPr>
      </w:pPr>
      <w:r>
        <w:rPr>
          <w:rFonts w:ascii="Arial" w:cs="Arial" w:eastAsia="Arial" w:hAnsi="Arial"/>
          <w:sz w:val="15"/>
          <w:szCs w:val="15"/>
          <w:i w:val="1"/>
          <w:iCs w:val="1"/>
          <w:color w:val="auto"/>
        </w:rPr>
        <w:t>Specialty Products for Iron and Steel</w:t>
      </w:r>
      <w:r>
        <w:rPr>
          <w:rFonts w:ascii="Arial" w:cs="Arial" w:eastAsia="Arial" w:hAnsi="Arial"/>
          <w:sz w:val="15"/>
          <w:szCs w:val="15"/>
          <w:color w:val="auto"/>
        </w:rPr>
        <w:t>. The Company sells monolithic refractory materials and pre-cast refractory shapes for iron and steel ladles, vacuum degassers,</w:t>
      </w:r>
      <w:r>
        <w:rPr>
          <w:rFonts w:ascii="Arial" w:cs="Arial" w:eastAsia="Arial" w:hAnsi="Arial"/>
          <w:sz w:val="15"/>
          <w:szCs w:val="15"/>
          <w:i w:val="1"/>
          <w:iCs w:val="1"/>
          <w:color w:val="auto"/>
        </w:rPr>
        <w:t xml:space="preserve"> </w:t>
      </w:r>
      <w:r>
        <w:rPr>
          <w:rFonts w:ascii="Arial" w:cs="Arial" w:eastAsia="Arial" w:hAnsi="Arial"/>
          <w:sz w:val="15"/>
          <w:szCs w:val="15"/>
          <w:color w:val="auto"/>
        </w:rPr>
        <w:t>continuous casting tundishes, blast furnaces and reheating furnaces. The Company is one of the few monolithic refractory companies offering a full line of materials to satisfy all continuous casting refractory applications. This full line consists of gunnable materials, as well as refractory shapes and permanent linings.</w:t>
      </w:r>
    </w:p>
    <w:p>
      <w:pPr>
        <w:spacing w:after="0" w:line="107" w:lineRule="exact"/>
        <w:rPr>
          <w:sz w:val="20"/>
          <w:szCs w:val="20"/>
          <w:color w:val="auto"/>
        </w:rPr>
      </w:pPr>
    </w:p>
    <w:p>
      <w:pPr>
        <w:ind w:right="40" w:firstLine="210"/>
        <w:spacing w:after="0" w:line="283" w:lineRule="auto"/>
        <w:rPr>
          <w:sz w:val="20"/>
          <w:szCs w:val="20"/>
          <w:color w:val="auto"/>
        </w:rPr>
      </w:pPr>
      <w:r>
        <w:rPr>
          <w:rFonts w:ascii="Arial" w:cs="Arial" w:eastAsia="Arial" w:hAnsi="Arial"/>
          <w:sz w:val="16"/>
          <w:szCs w:val="16"/>
          <w:color w:val="auto"/>
        </w:rPr>
        <w:t>The Company uses proprietary processes to produce a number of other technologically enhanced products for the steel industry. These include calcium metal, metallurgical wire and a number of metal treatment specialties. The Company manufactures calcium metal at its Canaan, Connecticut facility and purchases calcium in international markets. Calcium metal is used in the manufacture of batteries and magnets. The Company sells metallurgical wires and fluxes for use in the production of steel. The Company's metallurgical wires are injected into molten steel to reduce imperfections. The steel produced is used for high-pressure pipeline and other premium-grade steel applications. The Company's fluxes are mineral products used to help purify steel.</w:t>
      </w:r>
    </w:p>
    <w:p>
      <w:pPr>
        <w:spacing w:after="0" w:line="133" w:lineRule="exact"/>
        <w:rPr>
          <w:sz w:val="20"/>
          <w:szCs w:val="20"/>
          <w:color w:val="auto"/>
        </w:rPr>
      </w:pPr>
    </w:p>
    <w:p>
      <w:pPr>
        <w:ind w:right="440" w:firstLine="213"/>
        <w:spacing w:after="0" w:line="282" w:lineRule="auto"/>
        <w:rPr>
          <w:sz w:val="20"/>
          <w:szCs w:val="20"/>
          <w:color w:val="auto"/>
        </w:rPr>
      </w:pPr>
      <w:r>
        <w:rPr>
          <w:rFonts w:ascii="Arial" w:cs="Arial" w:eastAsia="Arial" w:hAnsi="Arial"/>
          <w:sz w:val="17"/>
          <w:szCs w:val="17"/>
          <w:i w:val="1"/>
          <w:iCs w:val="1"/>
          <w:color w:val="auto"/>
        </w:rPr>
        <w:t>Non-Steel Refractory Products</w:t>
      </w:r>
      <w:r>
        <w:rPr>
          <w:rFonts w:ascii="Arial" w:cs="Arial" w:eastAsia="Arial" w:hAnsi="Arial"/>
          <w:sz w:val="17"/>
          <w:szCs w:val="17"/>
          <w:color w:val="auto"/>
        </w:rPr>
        <w:t>. This product line encompasses refractory shapes and linings and pyrolytic graphite products that are sold to the glass, cement,</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petrochemical and other non-steel industries.</w:t>
      </w:r>
    </w:p>
    <w:p>
      <w:pPr>
        <w:spacing w:after="0" w:line="130" w:lineRule="exact"/>
        <w:rPr>
          <w:sz w:val="20"/>
          <w:szCs w:val="20"/>
          <w:color w:val="auto"/>
        </w:rPr>
      </w:pPr>
    </w:p>
    <w:p>
      <w:pPr>
        <w:ind w:right="160" w:firstLine="210"/>
        <w:spacing w:after="0" w:line="282" w:lineRule="auto"/>
        <w:rPr>
          <w:sz w:val="20"/>
          <w:szCs w:val="20"/>
          <w:color w:val="auto"/>
        </w:rPr>
      </w:pPr>
      <w:r>
        <w:rPr>
          <w:rFonts w:ascii="Arial" w:cs="Arial" w:eastAsia="Arial" w:hAnsi="Arial"/>
          <w:sz w:val="17"/>
          <w:szCs w:val="17"/>
          <w:color w:val="auto"/>
        </w:rPr>
        <w:t>The Company's refractory net sales were $184.6 million, $183.1 million, and $187.3 million for the years ended December 31, 2000, 1999 and 1998, respectively. See Item 7, "Management's Discussion and Analysis of Financial Condition and Results of Operations."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Key Markets</w:t>
      </w:r>
    </w:p>
    <w:p>
      <w:pPr>
        <w:spacing w:after="0" w:line="184" w:lineRule="exact"/>
        <w:rPr>
          <w:sz w:val="20"/>
          <w:szCs w:val="20"/>
          <w:color w:val="auto"/>
        </w:rPr>
      </w:pPr>
    </w:p>
    <w:p>
      <w:pPr>
        <w:ind w:right="180" w:firstLine="210"/>
        <w:spacing w:after="0" w:line="265" w:lineRule="auto"/>
        <w:rPr>
          <w:sz w:val="20"/>
          <w:szCs w:val="20"/>
          <w:color w:val="auto"/>
        </w:rPr>
      </w:pPr>
      <w:r>
        <w:rPr>
          <w:rFonts w:ascii="Arial" w:cs="Arial" w:eastAsia="Arial" w:hAnsi="Arial"/>
          <w:sz w:val="17"/>
          <w:szCs w:val="17"/>
          <w:color w:val="auto"/>
        </w:rPr>
        <w:t>The principal market for the Company's refractory products is the steel industry. Raw steel production on a worldwide basis has shown only modest growth in the past ten years. However, management believes that certain trends in the steel-making industry will continue to provide growth opportunities for the Company. These trends include the development of improved manufacturing processes such as continuous casting, the need of steel producers for increased productivity and higher grade refractories, as well as a modest shift toward electric steel making.</w:t>
      </w:r>
    </w:p>
    <w:p>
      <w:pPr>
        <w:spacing w:after="0" w:line="145" w:lineRule="exact"/>
        <w:rPr>
          <w:sz w:val="20"/>
          <w:szCs w:val="20"/>
          <w:color w:val="auto"/>
        </w:rPr>
      </w:pPr>
    </w:p>
    <w:p>
      <w:pPr>
        <w:ind w:firstLine="210"/>
        <w:spacing w:after="0" w:line="283" w:lineRule="auto"/>
        <w:rPr>
          <w:sz w:val="20"/>
          <w:szCs w:val="20"/>
          <w:color w:val="auto"/>
        </w:rPr>
      </w:pPr>
      <w:r>
        <w:rPr>
          <w:rFonts w:ascii="Arial" w:cs="Arial" w:eastAsia="Arial" w:hAnsi="Arial"/>
          <w:sz w:val="16"/>
          <w:szCs w:val="16"/>
          <w:color w:val="auto"/>
        </w:rPr>
        <w:t>The use of the continuous casting method, measured in tons of steel cast on a worldwide basis, has more than doubled in the past ten years. The need for high quality refractory products for this process has generated new market opportunities for the Company's refractory products. Product offerings for continuous casting include advanced maintenance coatings and original linings for tundishes and robotic applications equipment. The Company believes that the trend toward electric steel-making mini-mills and away from integrated steel mills has facilitated the acceptance of new refractory products and technologies. Mini-mills require a broad line of refractory products and certain metallurgical products that are also produced by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188" w:lineRule="exact"/>
        <w:rPr>
          <w:sz w:val="20"/>
          <w:szCs w:val="20"/>
          <w:color w:val="auto"/>
        </w:rPr>
      </w:pPr>
    </w:p>
    <w:p>
      <w:pPr>
        <w:ind w:right="80" w:firstLine="210"/>
        <w:spacing w:after="0" w:line="303" w:lineRule="auto"/>
        <w:rPr>
          <w:sz w:val="20"/>
          <w:szCs w:val="20"/>
          <w:color w:val="auto"/>
        </w:rPr>
      </w:pPr>
      <w:r>
        <w:rPr>
          <w:rFonts w:ascii="Arial" w:cs="Arial" w:eastAsia="Arial" w:hAnsi="Arial"/>
          <w:sz w:val="15"/>
          <w:szCs w:val="15"/>
          <w:color w:val="auto"/>
        </w:rPr>
        <w:t>The Company principally relies on its worldwide direct sales force to market its products. The direct sales force is augmented by technical service teams that are familiar with the industries to which the Company markets its products, and by several regional distributors. The Company's sales force works closely with the Company's technical service staff to solve technical and other issues faced by the Company's customers. The Company's technical service staff assists paper producers in their conversion to alkaline papermaking and provides post-conversion assistance to customers. In addition, the Company's technical service personnel advise with respect to the use of monolithic refractory materials and, in many cases, apply the refractory materials to the customers' furnaces and other vessels pursuant to service agreements. Continued use of skilled technical service teams is an important component of the Company's business strategy.</w:t>
      </w:r>
    </w:p>
    <w:p>
      <w:pPr>
        <w:spacing w:after="0" w:line="121" w:lineRule="exact"/>
        <w:rPr>
          <w:sz w:val="20"/>
          <w:szCs w:val="20"/>
          <w:color w:val="auto"/>
        </w:rPr>
      </w:pPr>
    </w:p>
    <w:p>
      <w:pPr>
        <w:ind w:right="60" w:firstLine="210"/>
        <w:spacing w:after="0" w:line="306" w:lineRule="auto"/>
        <w:rPr>
          <w:sz w:val="20"/>
          <w:szCs w:val="20"/>
          <w:color w:val="auto"/>
        </w:rPr>
      </w:pPr>
      <w:r>
        <w:rPr>
          <w:rFonts w:ascii="Arial" w:cs="Arial" w:eastAsia="Arial" w:hAnsi="Arial"/>
          <w:sz w:val="15"/>
          <w:szCs w:val="15"/>
          <w:color w:val="auto"/>
        </w:rPr>
        <w:t>The Company works closely with its customers to ensure that the customers' requirements are satisfied and often trains and supports customer personnel in the use of the Company's products. The Company conducts domestic marketing and sales from its headquarters in New York and from regional sales offices in the eastern and western United States. The Company's international marketing effort is directed from Brussels, Belgium; Tokyo, Japan; Sao Paulo, Brazil; and Singapore. The Company believes its refractory manufacturing facilities are strategically located to satisfy the stringent delivery requirements of the steel industry. The Company also believes that its worldwide network of sales personnel and manufacturing sites facilitates the international expansion of its satellite PCC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591820</wp:posOffset>
            </wp:positionV>
            <wp:extent cx="72758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188" w:lineRule="exact"/>
        <w:rPr>
          <w:sz w:val="20"/>
          <w:szCs w:val="20"/>
          <w:color w:val="auto"/>
        </w:rPr>
      </w:pPr>
    </w:p>
    <w:p>
      <w:pPr>
        <w:jc w:val="both"/>
        <w:ind w:right="120" w:firstLine="210"/>
        <w:spacing w:after="0" w:line="321" w:lineRule="auto"/>
        <w:rPr>
          <w:sz w:val="20"/>
          <w:szCs w:val="20"/>
          <w:color w:val="auto"/>
        </w:rPr>
      </w:pPr>
      <w:r>
        <w:rPr>
          <w:rFonts w:ascii="Arial" w:cs="Arial" w:eastAsia="Arial" w:hAnsi="Arial"/>
          <w:sz w:val="15"/>
          <w:szCs w:val="15"/>
          <w:color w:val="auto"/>
        </w:rPr>
        <w:t>The Company uses lime in the production of PCC, and is a significant purchaser of lime worldwide. Generally, lime is purchased under long-term supply contracts from unaffiliated suppliers located in close geographic proximity to the Company's satellite PCC plants. If there were to be an interruption in the supply of lime from any particular lime supplier to the Company, the Company believes that alternative sources of lime would be available at effectively the same cost to the Company.</w:t>
      </w:r>
    </w:p>
    <w:p>
      <w:pPr>
        <w:sectPr>
          <w:pgSz w:w="11900" w:h="16838" w:orient="portrait"/>
          <w:cols w:equalWidth="0" w:num="1">
            <w:col w:w="11420"/>
          </w:cols>
          <w:pgMar w:left="240" w:top="131" w:right="239" w:bottom="0" w:gutter="0" w:footer="0" w:header="0"/>
        </w:sectPr>
      </w:pPr>
    </w:p>
    <w:bookmarkStart w:id="5" w:name="page6"/>
    <w:bookmarkEnd w:id="5"/>
    <w:p>
      <w:pPr>
        <w:spacing w:after="0" w:line="91" w:lineRule="exact"/>
        <w:rPr>
          <w:sz w:val="20"/>
          <w:szCs w:val="20"/>
          <w:color w:val="auto"/>
        </w:rPr>
      </w:pPr>
    </w:p>
    <w:p>
      <w:pPr>
        <w:ind w:right="20" w:firstLine="210"/>
        <w:spacing w:after="0" w:line="263" w:lineRule="auto"/>
        <w:rPr>
          <w:sz w:val="20"/>
          <w:szCs w:val="20"/>
          <w:color w:val="auto"/>
        </w:rPr>
      </w:pPr>
      <w:r>
        <w:rPr>
          <w:rFonts w:ascii="Arial" w:cs="Arial" w:eastAsia="Arial" w:hAnsi="Arial"/>
          <w:sz w:val="17"/>
          <w:szCs w:val="17"/>
          <w:color w:val="auto"/>
        </w:rPr>
        <w:t>The principal raw materials used in the Company's monolithic refractory products are refractory-grade magnesia and various forms of aluminosilicates. The Company also purchases calcium metal, calcium silicide, graphite, calcium carbide and various alloys for use in the production of metallurgical wires and uses lime and aluminum in the production of calcium metal. The Company purchases a significant portion of its magnesite requirements from sources in the People's Republic of China. The Company believes that it could obtain adequate supplies from alternate sources in the event of supply interruptions of its refractory raw material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8" w:lineRule="exact"/>
        <w:rPr>
          <w:sz w:val="20"/>
          <w:szCs w:val="20"/>
          <w:color w:val="auto"/>
        </w:rPr>
      </w:pPr>
    </w:p>
    <w:p>
      <w:pPr>
        <w:ind w:right="700" w:firstLine="210"/>
        <w:spacing w:after="0" w:line="282" w:lineRule="auto"/>
        <w:rPr>
          <w:sz w:val="20"/>
          <w:szCs w:val="20"/>
          <w:color w:val="auto"/>
        </w:rPr>
      </w:pPr>
      <w:r>
        <w:rPr>
          <w:rFonts w:ascii="Arial" w:cs="Arial" w:eastAsia="Arial" w:hAnsi="Arial"/>
          <w:sz w:val="17"/>
          <w:szCs w:val="17"/>
          <w:color w:val="auto"/>
        </w:rPr>
        <w:t>The Company is continually engaged in efforts to develop new products and technologies and refine existing products and technologies in order to remain competitive and, in certain circumstances, to position itself as a market leader.</w:t>
      </w:r>
    </w:p>
    <w:p>
      <w:pPr>
        <w:spacing w:after="0" w:line="130" w:lineRule="exact"/>
        <w:rPr>
          <w:sz w:val="20"/>
          <w:szCs w:val="20"/>
          <w:color w:val="auto"/>
        </w:rPr>
      </w:pPr>
    </w:p>
    <w:p>
      <w:pPr>
        <w:ind w:right="60" w:firstLine="210"/>
        <w:spacing w:after="0" w:line="306" w:lineRule="auto"/>
        <w:rPr>
          <w:sz w:val="20"/>
          <w:szCs w:val="20"/>
          <w:color w:val="auto"/>
        </w:rPr>
      </w:pPr>
      <w:r>
        <w:rPr>
          <w:rFonts w:ascii="Arial" w:cs="Arial" w:eastAsia="Arial" w:hAnsi="Arial"/>
          <w:sz w:val="15"/>
          <w:szCs w:val="15"/>
          <w:color w:val="auto"/>
        </w:rPr>
        <w:t>With respect to its PCC products, the Company competes for sales to the paper industry based in large part upon technological know-how, patents and processes that allow the Company to deliver PCC that the Company believes imparts superior brightness, opacity and other properties to paper on an economical basis. The Company is the leading manufacturer and supplier of PCC to the North American paper industry. It competes with certain companies both in North America and abroad that sell PCC or offer alternative products for use in paper filling and coating applications. Competition with respect to the Company's PCC sales is based upon availability of materials, price, optical characteristics such as brightness, opacity and paper strength, and the availability of technical support.</w:t>
      </w:r>
    </w:p>
    <w:p>
      <w:pPr>
        <w:spacing w:after="0" w:line="118" w:lineRule="exact"/>
        <w:rPr>
          <w:sz w:val="20"/>
          <w:szCs w:val="20"/>
          <w:color w:val="auto"/>
        </w:rPr>
      </w:pPr>
    </w:p>
    <w:p>
      <w:pPr>
        <w:jc w:val="both"/>
        <w:ind w:right="40" w:firstLine="210"/>
        <w:spacing w:after="0" w:line="269" w:lineRule="auto"/>
        <w:rPr>
          <w:sz w:val="20"/>
          <w:szCs w:val="20"/>
          <w:color w:val="auto"/>
        </w:rPr>
      </w:pPr>
      <w:r>
        <w:rPr>
          <w:rFonts w:ascii="Arial" w:cs="Arial" w:eastAsia="Arial" w:hAnsi="Arial"/>
          <w:sz w:val="17"/>
          <w:szCs w:val="17"/>
          <w:color w:val="auto"/>
        </w:rPr>
        <w:t>With respect to the Company's refractory products, competitive conditions vary by geographic region. Competition is based upon the performance characteristics of the product (including strength, quality and consistency and ease of application), price, and the availability of technical support. The Company competes with different companies in different geographic areas and in separate aspects of its product line.</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competes in sales of its limestone and talc based primarily upon product quality, price, and geographic location.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88" w:lineRule="exact"/>
        <w:rPr>
          <w:sz w:val="20"/>
          <w:szCs w:val="20"/>
          <w:color w:val="auto"/>
        </w:rPr>
      </w:pPr>
    </w:p>
    <w:p>
      <w:pPr>
        <w:ind w:right="240" w:firstLine="213"/>
        <w:spacing w:after="0" w:line="265" w:lineRule="auto"/>
        <w:rPr>
          <w:sz w:val="20"/>
          <w:szCs w:val="20"/>
          <w:color w:val="auto"/>
        </w:rPr>
      </w:pPr>
      <w:r>
        <w:rPr>
          <w:rFonts w:ascii="Arial" w:cs="Arial" w:eastAsia="Arial" w:hAnsi="Arial"/>
          <w:sz w:val="17"/>
          <w:szCs w:val="17"/>
          <w:color w:val="auto"/>
        </w:rPr>
        <w:t>Many of the Company's product lines are technology-based. The Company's business strategy for continued growth in sales and profitability depends to a large extent on the continued success of its research and development activities. Among the significant achievements of the Company's research and development effort have been the satellite PCC plant concept, acid-tolerant PCC, PCC crystal morphologies for coating paper, the SEQUAD® sprayer, MAG-O-STAR® spray coating, MINSCAN application systems and SHOTCRETE castable material.</w:t>
      </w:r>
    </w:p>
    <w:p>
      <w:pPr>
        <w:spacing w:after="0" w:line="145" w:lineRule="exact"/>
        <w:rPr>
          <w:sz w:val="20"/>
          <w:szCs w:val="20"/>
          <w:color w:val="auto"/>
        </w:rPr>
      </w:pPr>
    </w:p>
    <w:p>
      <w:pPr>
        <w:ind w:right="340" w:firstLine="210"/>
        <w:spacing w:after="0" w:line="293" w:lineRule="auto"/>
        <w:rPr>
          <w:sz w:val="20"/>
          <w:szCs w:val="20"/>
          <w:color w:val="auto"/>
        </w:rPr>
      </w:pPr>
      <w:r>
        <w:rPr>
          <w:rFonts w:ascii="Arial" w:cs="Arial" w:eastAsia="Arial" w:hAnsi="Arial"/>
          <w:sz w:val="16"/>
          <w:szCs w:val="16"/>
          <w:color w:val="auto"/>
        </w:rPr>
        <w:t>The Company maintains its primary research facilities in Bethlehem and Easton, Pennsylvania, where more than 170 employees are engaged in research and development. It also has smaller research and development facilities in Finland, Ireland and Japan. Expertise in inorganic chemistry, crystallography and structural analysis, fine particle technology and other aspects of materials science applies to and supports all of the Company's product lines.</w:t>
      </w:r>
    </w:p>
    <w:p>
      <w:pPr>
        <w:spacing w:after="0" w:line="125" w:lineRule="exact"/>
        <w:rPr>
          <w:sz w:val="20"/>
          <w:szCs w:val="20"/>
          <w:color w:val="auto"/>
        </w:rPr>
      </w:pPr>
    </w:p>
    <w:p>
      <w:pPr>
        <w:ind w:right="60" w:firstLine="213"/>
        <w:spacing w:after="0" w:line="265" w:lineRule="auto"/>
        <w:rPr>
          <w:sz w:val="20"/>
          <w:szCs w:val="20"/>
          <w:color w:val="auto"/>
        </w:rPr>
      </w:pPr>
      <w:r>
        <w:rPr>
          <w:rFonts w:ascii="Arial" w:cs="Arial" w:eastAsia="Arial" w:hAnsi="Arial"/>
          <w:sz w:val="17"/>
          <w:szCs w:val="17"/>
          <w:color w:val="auto"/>
        </w:rPr>
        <w:t>For the years ended December 31, 2000, 1999 and 1998, the Company expended approximately $26.3 million, $24.8 million, and $21.0 million, respectively, on research and development. The Company believes, based upon its review of publicly available information regarding the reported research and development spending of certain of its competitors, that its investment in research and development as a percentage of net sales exceeds comparable industry norms. The Company's research and development spending for 2000 approximated 3.9% of net sales.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Trademarks</w:t>
      </w:r>
    </w:p>
    <w:p>
      <w:pPr>
        <w:spacing w:after="0" w:line="188" w:lineRule="exact"/>
        <w:rPr>
          <w:sz w:val="20"/>
          <w:szCs w:val="20"/>
          <w:color w:val="auto"/>
        </w:rPr>
      </w:pPr>
    </w:p>
    <w:p>
      <w:pPr>
        <w:ind w:right="80" w:firstLine="210"/>
        <w:spacing w:after="0" w:line="269" w:lineRule="auto"/>
        <w:rPr>
          <w:sz w:val="20"/>
          <w:szCs w:val="20"/>
          <w:color w:val="auto"/>
        </w:rPr>
      </w:pPr>
      <w:r>
        <w:rPr>
          <w:rFonts w:ascii="Arial" w:cs="Arial" w:eastAsia="Arial" w:hAnsi="Arial"/>
          <w:sz w:val="17"/>
          <w:szCs w:val="17"/>
          <w:color w:val="auto"/>
        </w:rPr>
        <w:t>The Company owns or has the right to use approximately 303 patents and approximately 731 trademarks related to its business. The Company believes that its rights under its existing patents, patent applications and trademarks are of value to its operations, but no one patent, application or trademark is material to the conduct of the Company's business as a whole.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188" w:lineRule="exact"/>
        <w:rPr>
          <w:sz w:val="20"/>
          <w:szCs w:val="20"/>
          <w:color w:val="auto"/>
        </w:rPr>
      </w:pPr>
    </w:p>
    <w:p>
      <w:pPr>
        <w:ind w:firstLine="210"/>
        <w:spacing w:after="0" w:line="287" w:lineRule="auto"/>
        <w:rPr>
          <w:sz w:val="20"/>
          <w:szCs w:val="20"/>
          <w:color w:val="auto"/>
        </w:rPr>
      </w:pPr>
      <w:r>
        <w:rPr>
          <w:rFonts w:ascii="Arial" w:cs="Arial" w:eastAsia="Arial" w:hAnsi="Arial"/>
          <w:sz w:val="16"/>
          <w:szCs w:val="16"/>
          <w:color w:val="auto"/>
        </w:rPr>
        <w:t>The Company maintains liability and property insurance and insurance for business interruption in the event of damage to its production facilities and certain other insurance covering risks associated with its business. The Company believes such insurance is adequate for the operation of its business. From time to time various types of insurance for companies in the specialty minerals business have been very expensive or, in some cases, unavailable. There is no assurance that in the future the Company will be able to maintain the coverage initially obtained or that the premiums therefor will not increase substantially.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88" w:lineRule="exact"/>
        <w:rPr>
          <w:sz w:val="20"/>
          <w:szCs w:val="20"/>
          <w:color w:val="auto"/>
        </w:rPr>
      </w:pPr>
    </w:p>
    <w:p>
      <w:pPr>
        <w:ind w:right="180" w:firstLine="203"/>
        <w:spacing w:after="0" w:line="282" w:lineRule="auto"/>
        <w:rPr>
          <w:sz w:val="20"/>
          <w:szCs w:val="20"/>
          <w:color w:val="auto"/>
        </w:rPr>
      </w:pPr>
      <w:r>
        <w:rPr>
          <w:rFonts w:ascii="Arial" w:cs="Arial" w:eastAsia="Arial" w:hAnsi="Arial"/>
          <w:sz w:val="17"/>
          <w:szCs w:val="17"/>
          <w:color w:val="auto"/>
        </w:rPr>
        <w:t>At December 31, 2000, the Company employed approximately 2,200 persons, of whom approximately 700 were employed by the Company outside of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Health and Safety Matters</w:t>
      </w:r>
    </w:p>
    <w:p>
      <w:pPr>
        <w:spacing w:after="0" w:line="188" w:lineRule="exact"/>
        <w:rPr>
          <w:sz w:val="20"/>
          <w:szCs w:val="20"/>
          <w:color w:val="auto"/>
        </w:rPr>
      </w:pPr>
    </w:p>
    <w:p>
      <w:pPr>
        <w:ind w:firstLine="210"/>
        <w:spacing w:after="0" w:line="277" w:lineRule="auto"/>
        <w:rPr>
          <w:sz w:val="20"/>
          <w:szCs w:val="20"/>
          <w:color w:val="auto"/>
        </w:rPr>
      </w:pPr>
      <w:r>
        <w:rPr>
          <w:rFonts w:ascii="Arial" w:cs="Arial" w:eastAsia="Arial" w:hAnsi="Arial"/>
          <w:sz w:val="16"/>
          <w:szCs w:val="16"/>
          <w:color w:val="auto"/>
        </w:rPr>
        <w:t>The Company's operations are subject to federal, state, local and foreign laws and regulations relating to the environment and health and safety. Certain of the Company's operations involve and have involved the use and release of substances that are classified as toxic or hazardous substances within the meaning of these laws and regulations. Environmental operating permits are, or may be, required for certain of the Company's operations and such permits are subject to modification, renewal and revocation. The Company regularly monitors and reviews its operations, procedures and policies for compliance with these laws and regulations. The Company believes its operations are in substantial compliance with these laws and regulations and that there are no violations that would have a material effect on the Company. Despite these compliance efforts, some risk of environmental and other damage is inherent in the Company's operations, as it is with other companies engaged in similar businesses, and there can be no assurance that material damage will not occur in the future. The cost of compliance with these laws and regulations is not expected to have a material adverse effect on the Company. However, future events, such as changes in or modifications of interpretations of existing laws and regulations or enforcement policies or further investigation or evaluation of the potential health hazards of certain products may give rise to additional compliance and other costs that could have a material adverse effect on the Company. The Company has a right of indemnification for certain potential environmental, health and safety liabilities under agreements entered into between the Company and Pfizer Inc ("Pfizer") or Quigley Company, Inc. ("Quigley"), a wholly-owned subsidiary of Pfizer, in connection with the reorganization. See "Certain Relationships and Related Transactions" in Item 13.</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Factors That May Affect Future Results</w:t>
      </w:r>
    </w:p>
    <w:p>
      <w:pPr>
        <w:spacing w:after="0" w:line="188" w:lineRule="exact"/>
        <w:rPr>
          <w:sz w:val="20"/>
          <w:szCs w:val="20"/>
          <w:color w:val="auto"/>
        </w:rPr>
      </w:pPr>
    </w:p>
    <w:p>
      <w:pPr>
        <w:ind w:right="60" w:firstLine="210"/>
        <w:spacing w:after="0" w:line="351" w:lineRule="auto"/>
        <w:rPr>
          <w:sz w:val="20"/>
          <w:szCs w:val="20"/>
          <w:color w:val="auto"/>
        </w:rPr>
      </w:pPr>
      <w:r>
        <w:rPr>
          <w:rFonts w:ascii="Arial" w:cs="Arial" w:eastAsia="Arial" w:hAnsi="Arial"/>
          <w:sz w:val="15"/>
          <w:szCs w:val="15"/>
          <w:color w:val="auto"/>
        </w:rPr>
        <w:t>The disclosure and analysis set forth in this report contains certain forward-looking statements, particularly statements relating to future actions, performance or results of current and anticipated products, sales efforts, expenditures, and financial results. From time to time, the Company also provides forward-looking statements</w:t>
      </w:r>
    </w:p>
    <w:p>
      <w:pPr>
        <w:sectPr>
          <w:pgSz w:w="11900" w:h="16929" w:orient="portrait"/>
          <w:cols w:equalWidth="0" w:num="1">
            <w:col w:w="11420"/>
          </w:cols>
          <w:pgMar w:left="240" w:top="131" w:right="239" w:bottom="0" w:gutter="0" w:footer="0" w:header="0"/>
        </w:sectPr>
      </w:pPr>
    </w:p>
    <w:bookmarkStart w:id="6" w:name="page7"/>
    <w:bookmarkEnd w:id="6"/>
    <w:p>
      <w:pPr>
        <w:spacing w:after="0" w:line="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other publicly-released materials, both written and oral. Forward-looking statements provide current expectations and forecasts of future events such as new products, revenues and financial performance, and are not limited to describing historical or current facts. They can be identified by the use of words such as "expects," "plans," "anticipates," "will" and other words and phrases of similar meaning.</w:t>
      </w:r>
    </w:p>
    <w:p>
      <w:pPr>
        <w:spacing w:after="0" w:line="141" w:lineRule="exact"/>
        <w:rPr>
          <w:sz w:val="20"/>
          <w:szCs w:val="20"/>
          <w:color w:val="auto"/>
        </w:rPr>
      </w:pPr>
    </w:p>
    <w:p>
      <w:pPr>
        <w:ind w:right="100" w:firstLine="213"/>
        <w:spacing w:after="0" w:line="293" w:lineRule="auto"/>
        <w:rPr>
          <w:sz w:val="20"/>
          <w:szCs w:val="20"/>
          <w:color w:val="auto"/>
        </w:rPr>
      </w:pPr>
      <w:r>
        <w:rPr>
          <w:rFonts w:ascii="Arial" w:cs="Arial" w:eastAsia="Arial" w:hAnsi="Arial"/>
          <w:sz w:val="16"/>
          <w:szCs w:val="16"/>
          <w:color w:val="auto"/>
        </w:rPr>
        <w:t>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Consequently, no forward-looking statement can be guaranteed. Actual future results may vary materially.</w:t>
      </w:r>
    </w:p>
    <w:p>
      <w:pPr>
        <w:spacing w:after="0" w:line="125" w:lineRule="exact"/>
        <w:rPr>
          <w:sz w:val="20"/>
          <w:szCs w:val="20"/>
          <w:color w:val="auto"/>
        </w:rPr>
      </w:pPr>
    </w:p>
    <w:p>
      <w:pPr>
        <w:ind w:right="160" w:firstLine="210"/>
        <w:spacing w:after="0" w:line="282" w:lineRule="auto"/>
        <w:rPr>
          <w:sz w:val="20"/>
          <w:szCs w:val="20"/>
          <w:color w:val="auto"/>
        </w:rPr>
      </w:pPr>
      <w:r>
        <w:rPr>
          <w:rFonts w:ascii="Arial" w:cs="Arial" w:eastAsia="Arial" w:hAnsi="Arial"/>
          <w:sz w:val="17"/>
          <w:szCs w:val="17"/>
          <w:color w:val="auto"/>
        </w:rPr>
        <w:t>The Company undertakes no obligation to update any forward-looking statements. Investors should refer to the Company's subsequent filings under the Securities Exchange Act of 1934 for further disclosures.</w:t>
      </w:r>
    </w:p>
    <w:p>
      <w:pPr>
        <w:spacing w:after="0" w:line="130" w:lineRule="exact"/>
        <w:rPr>
          <w:sz w:val="20"/>
          <w:szCs w:val="20"/>
          <w:color w:val="auto"/>
        </w:rPr>
      </w:pPr>
    </w:p>
    <w:p>
      <w:pPr>
        <w:jc w:val="both"/>
        <w:ind w:right="220" w:firstLine="203"/>
        <w:spacing w:after="0" w:line="269" w:lineRule="auto"/>
        <w:rPr>
          <w:sz w:val="20"/>
          <w:szCs w:val="20"/>
          <w:color w:val="auto"/>
        </w:rPr>
      </w:pPr>
      <w:r>
        <w:rPr>
          <w:rFonts w:ascii="Arial" w:cs="Arial" w:eastAsia="Arial" w:hAnsi="Arial"/>
          <w:sz w:val="17"/>
          <w:szCs w:val="17"/>
          <w:color w:val="auto"/>
        </w:rPr>
        <w:t>As permitted by the Private Securities Litigation Reform Act of 1995, the Company is providing the following cautionary statements, which identify factors that could cause the Company's actual results to differ materially from historical and expected results. It is not possible to foresee or identify all such factors. You should not consider this list an exhaustive statement of all potential risks, uncertainties and inaccurate assumptions.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04" w:lineRule="exact"/>
        <w:rPr>
          <w:sz w:val="20"/>
          <w:szCs w:val="20"/>
          <w:color w:val="auto"/>
        </w:rPr>
      </w:pPr>
    </w:p>
    <w:p>
      <w:pPr>
        <w:ind w:left="520" w:right="740"/>
        <w:spacing w:after="0" w:line="283" w:lineRule="auto"/>
        <w:rPr>
          <w:sz w:val="20"/>
          <w:szCs w:val="20"/>
          <w:color w:val="auto"/>
        </w:rPr>
      </w:pPr>
      <w:r>
        <w:rPr>
          <w:rFonts w:ascii="Arial" w:cs="Arial" w:eastAsia="Arial" w:hAnsi="Arial"/>
          <w:sz w:val="16"/>
          <w:szCs w:val="16"/>
          <w:color w:val="auto"/>
        </w:rPr>
        <w:t>Continuance of the historical growth rate of the Company depends upon a number of uncertain events, including the outcome of the Company's strategies of increasing its penetration into geographical markets such as Asia and Europe; increasing its penetration into product markets such as the market for paper coating pigments and the market for groundwood paper pigments; increasing sales to existing PCC customers by increasing the amount of PCC used per ton of paper produced; and developing, introducing and selling new products. Difficulties, delays or failures of any of these strategies could cause the future growth rate of the Company to differ materially from its historical growth rate.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109855</wp:posOffset>
            </wp:positionV>
            <wp:extent cx="661098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098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Contract Renewals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4" w:lineRule="exact"/>
        <w:rPr>
          <w:sz w:val="20"/>
          <w:szCs w:val="20"/>
          <w:color w:val="auto"/>
        </w:rPr>
      </w:pPr>
    </w:p>
    <w:p>
      <w:pPr>
        <w:ind w:left="520" w:right="760"/>
        <w:spacing w:after="0" w:line="263" w:lineRule="auto"/>
        <w:rPr>
          <w:sz w:val="20"/>
          <w:szCs w:val="20"/>
          <w:color w:val="auto"/>
        </w:rPr>
      </w:pPr>
      <w:r>
        <w:rPr>
          <w:rFonts w:ascii="Arial" w:cs="Arial" w:eastAsia="Arial" w:hAnsi="Arial"/>
          <w:sz w:val="17"/>
          <w:szCs w:val="17"/>
          <w:color w:val="auto"/>
        </w:rPr>
        <w:t>The Company's sales of PCC are predominantly pursuant to long-term agreements, generally ten years in length, with paper mills at which the Company operates satellite PCC plants. The terms of many of these agreements have been extended, often in connection with an expansion of the satellite PCC plant. Failure of a number of the Company's customers to renew existing agreements on terms as favorable to the Company as those currently in effect could cause the future growth rate of the Company to differ materially from its historical growth rate, and could have a substantial adverse effect on the Company's results of operations.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Consolidation in Paper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04" w:lineRule="exact"/>
        <w:rPr>
          <w:sz w:val="20"/>
          <w:szCs w:val="20"/>
          <w:color w:val="auto"/>
        </w:rPr>
      </w:pPr>
    </w:p>
    <w:p>
      <w:pPr>
        <w:ind w:left="520" w:right="660"/>
        <w:spacing w:after="0" w:line="306" w:lineRule="auto"/>
        <w:rPr>
          <w:sz w:val="20"/>
          <w:szCs w:val="20"/>
          <w:color w:val="auto"/>
        </w:rPr>
      </w:pPr>
      <w:r>
        <w:rPr>
          <w:rFonts w:ascii="Arial" w:cs="Arial" w:eastAsia="Arial" w:hAnsi="Arial"/>
          <w:sz w:val="15"/>
          <w:szCs w:val="15"/>
          <w:color w:val="auto"/>
        </w:rPr>
        <w:t>Several acquisitions in the paper industry have taken place in the last two years. Such acquisitions could result in partial or total closure of some paper mills at which MTI operates PCC satellites. Such closures would reduce MTI's sales of PCC, except to the extent that they resulted in shifting paper production and associated purchases of PCC to another location served by MTI. There can be no assurance, however, that this will occur. In addition, such acquisitions concentrate purchasing power in the hands of a smaller number of papermakers, enabling them to increase competitive pressure on their suppliers, such as MTI. Such increased pressure could have an adverse effect on MTI's results of operations in the future.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Litigation; Environmental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04" w:lineRule="exact"/>
        <w:rPr>
          <w:sz w:val="20"/>
          <w:szCs w:val="20"/>
          <w:color w:val="auto"/>
        </w:rPr>
      </w:pPr>
    </w:p>
    <w:p>
      <w:pPr>
        <w:ind w:left="520" w:right="520"/>
        <w:spacing w:after="0" w:line="263" w:lineRule="auto"/>
        <w:rPr>
          <w:sz w:val="20"/>
          <w:szCs w:val="20"/>
          <w:color w:val="auto"/>
        </w:rPr>
      </w:pPr>
      <w:r>
        <w:rPr>
          <w:rFonts w:ascii="Arial" w:cs="Arial" w:eastAsia="Arial" w:hAnsi="Arial"/>
          <w:sz w:val="17"/>
          <w:szCs w:val="17"/>
          <w:color w:val="auto"/>
        </w:rPr>
        <w:t>The Company's operations are subject to international, federal, state and local environmental, tax and other laws and regulations, and potentially to claims for various legal, environmental and tax matters. The Company is currently a party to various litigation matters. While the Company carries liability insurance which it believes to be appropriate to its businesses, and has provided reserves for such matters which it believes to be adequate, an unanticipated liability arising out of such a litigation matter or a tax or environmental proceeding could have a material adverse effect on the Company's financial condition or results of operations.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4" w:lineRule="exact"/>
        <w:rPr>
          <w:sz w:val="20"/>
          <w:szCs w:val="20"/>
          <w:color w:val="auto"/>
        </w:rPr>
      </w:pPr>
    </w:p>
    <w:p>
      <w:pPr>
        <w:ind w:left="520" w:right="720"/>
        <w:spacing w:after="0" w:line="269" w:lineRule="auto"/>
        <w:rPr>
          <w:sz w:val="20"/>
          <w:szCs w:val="20"/>
          <w:color w:val="auto"/>
        </w:rPr>
      </w:pPr>
      <w:r>
        <w:rPr>
          <w:rFonts w:ascii="Arial" w:cs="Arial" w:eastAsia="Arial" w:hAnsi="Arial"/>
          <w:sz w:val="17"/>
          <w:szCs w:val="17"/>
          <w:color w:val="auto"/>
        </w:rPr>
        <w:t>The Company is engaged in a continuous effort to develop new products and processes in all of its product lines. Difficulties, delays or failures in the development, testing, production, marketing or sale of such new products could cause actual results of operations to differ materially from expected results.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Competition; Protection of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4" w:lineRule="exact"/>
        <w:rPr>
          <w:sz w:val="20"/>
          <w:szCs w:val="20"/>
          <w:color w:val="auto"/>
        </w:rPr>
      </w:pPr>
    </w:p>
    <w:p>
      <w:pPr>
        <w:ind w:left="520" w:right="660"/>
        <w:spacing w:after="0" w:line="263" w:lineRule="auto"/>
        <w:rPr>
          <w:sz w:val="20"/>
          <w:szCs w:val="20"/>
          <w:color w:val="auto"/>
        </w:rPr>
      </w:pPr>
      <w:r>
        <w:rPr>
          <w:rFonts w:ascii="Arial" w:cs="Arial" w:eastAsia="Arial" w:hAnsi="Arial"/>
          <w:sz w:val="17"/>
          <w:szCs w:val="17"/>
          <w:color w:val="auto"/>
        </w:rPr>
        <w:t>Particularly in its PCC and Refractory product lines, the Company's ability to compete is based in part upon proprietary knowledge, both patented and unpatented. The Company's ability to achieve anticipated results depends in part on its ability to defend its intellectual property against inappropriate disclosure as well as against infringement. In addition, development by the Company's competitors of new products or technologies that are more effective or less expensive than those the Company offers could have a material adverse effect on the Company's financial condition or results of operations.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Risks of Doing Business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04" w:lineRule="exact"/>
        <w:rPr>
          <w:sz w:val="20"/>
          <w:szCs w:val="20"/>
          <w:color w:val="auto"/>
        </w:rPr>
      </w:pPr>
    </w:p>
    <w:p>
      <w:pPr>
        <w:ind w:left="520" w:right="640"/>
        <w:spacing w:after="0" w:line="265" w:lineRule="auto"/>
        <w:rPr>
          <w:sz w:val="20"/>
          <w:szCs w:val="20"/>
          <w:color w:val="auto"/>
        </w:rPr>
      </w:pPr>
      <w:r>
        <w:rPr>
          <w:rFonts w:ascii="Arial" w:cs="Arial" w:eastAsia="Arial" w:hAnsi="Arial"/>
          <w:sz w:val="17"/>
          <w:szCs w:val="17"/>
          <w:color w:val="auto"/>
        </w:rPr>
        <w:t>As the Company expands its operations overseas, it faces the increased risks of doing business abroad, including inflation, fluctuations in interest rates and currency exchange rates, changes in applicable laws and regulatory requirements, export and import restrictions, tariffs, nationalization, expropriation, limits on repatriation of funds, unstable governments and legal systems, and other factors. Adverse developments in any of these areas could cause actual results to differ materially from historical and expected results.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Availability of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04" w:lineRule="exact"/>
        <w:rPr>
          <w:sz w:val="20"/>
          <w:szCs w:val="20"/>
          <w:color w:val="auto"/>
        </w:rPr>
      </w:pPr>
    </w:p>
    <w:p>
      <w:pPr>
        <w:ind w:left="520" w:right="540"/>
        <w:spacing w:after="0" w:line="265" w:lineRule="auto"/>
        <w:rPr>
          <w:sz w:val="20"/>
          <w:szCs w:val="20"/>
          <w:color w:val="auto"/>
        </w:rPr>
      </w:pPr>
      <w:r>
        <w:rPr>
          <w:rFonts w:ascii="Arial" w:cs="Arial" w:eastAsia="Arial" w:hAnsi="Arial"/>
          <w:sz w:val="17"/>
          <w:szCs w:val="17"/>
          <w:color w:val="auto"/>
        </w:rPr>
        <w:t>The Company's ability to achieve anticipated results depends in part on having an adequate supply of raw materials for its manufacturing operations, particularly lime and carbon dioxide for PCC operations and magnesia for refractory operations, and on having adequate access to the ore reserves at its mining operations. Unanticipated changes in the costs or availability of such raw materials, or in the Company's ability to have access to its ore reserves, could adversely affect the Company's results of operations.</w:t>
      </w:r>
    </w:p>
    <w:p>
      <w:pPr>
        <w:sectPr>
          <w:pgSz w:w="11900" w:h="16843" w:orient="portrait"/>
          <w:cols w:equalWidth="0" w:num="1">
            <w:col w:w="11420"/>
          </w:cols>
          <w:pgMar w:left="240" w:top="131" w:right="239" w:bottom="0" w:gutter="0" w:footer="0" w:header="0"/>
        </w:sectPr>
      </w:pPr>
    </w:p>
    <w:bookmarkStart w:id="7" w:name="page8"/>
    <w:bookmarkEnd w:id="7"/>
    <w:p>
      <w:pPr>
        <w:spacing w:after="0" w:line="1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Cyclical Nature of Customers'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4" w:lineRule="exact"/>
        <w:rPr>
          <w:sz w:val="20"/>
          <w:szCs w:val="20"/>
          <w:color w:val="auto"/>
        </w:rPr>
      </w:pPr>
    </w:p>
    <w:p>
      <w:pPr>
        <w:ind w:left="520" w:right="600"/>
        <w:spacing w:after="0" w:line="260" w:lineRule="auto"/>
        <w:rPr>
          <w:sz w:val="20"/>
          <w:szCs w:val="20"/>
          <w:color w:val="auto"/>
        </w:rPr>
      </w:pPr>
      <w:r>
        <w:rPr>
          <w:rFonts w:ascii="Arial" w:cs="Arial" w:eastAsia="Arial" w:hAnsi="Arial"/>
          <w:sz w:val="17"/>
          <w:szCs w:val="17"/>
          <w:color w:val="auto"/>
        </w:rPr>
        <w:t>The bulk of the Company's sales are to customers in two industries, paper manufacturing and steel manufacturing, which have historically been cyclical. The Company's exposure to variations in its customers' businesses has been reduced in recent years by the growth in the number of plants it operates; by the diversification of its portfolio of products and services; and by its geographic expansion. Also, the Company has structured some of its long-term satellite PCC contracts to provide a degree of protection against declines in the quantity of product purchased, since the price per ton of PCC rises as the number of tons purchased declines. In addition, many of the Company's product lines lower its customers' costs of production or increase their productivity, which should encourage them to use its products. However, a sustained economic downturn in one or more of the industries or geographic regions that the Company serves, or in the worldwide economy, could cause actual results of operations to differ materially from historical and expected results.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Adoption of a Common European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58420" cy="584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4" w:lineRule="exact"/>
        <w:rPr>
          <w:sz w:val="20"/>
          <w:szCs w:val="20"/>
          <w:color w:val="auto"/>
        </w:rPr>
      </w:pPr>
    </w:p>
    <w:p>
      <w:pPr>
        <w:jc w:val="both"/>
        <w:ind w:left="520" w:right="820"/>
        <w:spacing w:after="0" w:line="269" w:lineRule="auto"/>
        <w:rPr>
          <w:sz w:val="20"/>
          <w:szCs w:val="20"/>
          <w:color w:val="auto"/>
        </w:rPr>
      </w:pPr>
      <w:r>
        <w:rPr>
          <w:rFonts w:ascii="Arial" w:cs="Arial" w:eastAsia="Arial" w:hAnsi="Arial"/>
          <w:sz w:val="17"/>
          <w:szCs w:val="17"/>
          <w:color w:val="auto"/>
        </w:rPr>
        <w:t>On January 1, 1999, eleven European countries adopted the euro as their common currency. Adoption of a single currency and a common monetary policy by the countries adopting the euro can be expected to have effects on competition in Europe and on the overall economy of the region, which could adversely affect the Company's financial position or results of operations.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88" w:lineRule="exact"/>
        <w:rPr>
          <w:sz w:val="20"/>
          <w:szCs w:val="20"/>
          <w:color w:val="auto"/>
        </w:rPr>
      </w:pPr>
    </w:p>
    <w:p>
      <w:pPr>
        <w:jc w:val="both"/>
        <w:ind w:firstLine="213"/>
        <w:spacing w:after="0" w:line="269" w:lineRule="auto"/>
        <w:rPr>
          <w:sz w:val="20"/>
          <w:szCs w:val="20"/>
          <w:color w:val="auto"/>
        </w:rPr>
      </w:pPr>
      <w:r>
        <w:rPr>
          <w:rFonts w:ascii="Arial" w:cs="Arial" w:eastAsia="Arial" w:hAnsi="Arial"/>
          <w:sz w:val="17"/>
          <w:szCs w:val="17"/>
          <w:color w:val="auto"/>
        </w:rPr>
        <w:t>Set forth below is the location of, and the main customer served by, each of the Company's satellite PCC plants at December 31, 2000. Generally, the land on which each satellite PCC plant is located is leased at a nominal amount by the Company from the host paper mill pursuant to a lease, the term of which runs concurrently with the term of the PCC production and sale agreement between the Company and the host paper mill.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520" w:type="dxa"/>
            <w:vAlign w:val="bottom"/>
            <w:gridSpan w:val="2"/>
          </w:tcPr>
          <w:p>
            <w:pPr>
              <w:spacing w:after="0"/>
              <w:rPr>
                <w:sz w:val="20"/>
                <w:szCs w:val="20"/>
                <w:color w:val="auto"/>
              </w:rPr>
            </w:pPr>
            <w:r>
              <w:rPr>
                <w:rFonts w:ascii="Arial" w:cs="Arial" w:eastAsia="Arial" w:hAnsi="Arial"/>
                <w:sz w:val="17"/>
                <w:szCs w:val="17"/>
                <w:b w:val="1"/>
                <w:bCs w:val="1"/>
                <w:color w:val="auto"/>
              </w:rPr>
              <w:t>Location</w:t>
            </w:r>
          </w:p>
        </w:tc>
        <w:tc>
          <w:tcPr>
            <w:tcW w:w="4380" w:type="dxa"/>
            <w:vAlign w:val="bottom"/>
            <w:gridSpan w:val="2"/>
          </w:tcPr>
          <w:p>
            <w:pPr>
              <w:spacing w:after="0"/>
              <w:rPr>
                <w:sz w:val="20"/>
                <w:szCs w:val="20"/>
                <w:color w:val="auto"/>
              </w:rPr>
            </w:pPr>
            <w:r>
              <w:rPr>
                <w:rFonts w:ascii="Arial" w:cs="Arial" w:eastAsia="Arial" w:hAnsi="Arial"/>
                <w:sz w:val="17"/>
                <w:szCs w:val="17"/>
                <w:b w:val="1"/>
                <w:bCs w:val="1"/>
                <w:color w:val="auto"/>
              </w:rPr>
              <w:t>Principal Customer</w:t>
            </w:r>
          </w:p>
        </w:tc>
      </w:tr>
      <w:tr>
        <w:trPr>
          <w:trHeight w:val="20"/>
        </w:trPr>
        <w:tc>
          <w:tcPr>
            <w:tcW w:w="6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62"/>
        </w:trPr>
        <w:tc>
          <w:tcPr>
            <w:tcW w:w="3520" w:type="dxa"/>
            <w:vAlign w:val="bottom"/>
            <w:gridSpan w:val="2"/>
          </w:tcPr>
          <w:p>
            <w:pPr>
              <w:spacing w:after="0"/>
              <w:rPr>
                <w:sz w:val="20"/>
                <w:szCs w:val="20"/>
                <w:color w:val="auto"/>
              </w:rPr>
            </w:pPr>
            <w:r>
              <w:rPr>
                <w:rFonts w:ascii="Arial" w:cs="Arial" w:eastAsia="Arial" w:hAnsi="Arial"/>
                <w:sz w:val="17"/>
                <w:szCs w:val="17"/>
                <w:color w:val="auto"/>
              </w:rPr>
              <w:t>Alabama, Courtland</w:t>
            </w:r>
          </w:p>
        </w:tc>
        <w:tc>
          <w:tcPr>
            <w:tcW w:w="4380" w:type="dxa"/>
            <w:vAlign w:val="bottom"/>
            <w:gridSpan w:val="2"/>
          </w:tcPr>
          <w:p>
            <w:pPr>
              <w:spacing w:after="0"/>
              <w:rPr>
                <w:sz w:val="20"/>
                <w:szCs w:val="20"/>
                <w:color w:val="auto"/>
              </w:rPr>
            </w:pPr>
            <w:r>
              <w:rPr>
                <w:rFonts w:ascii="Arial" w:cs="Arial" w:eastAsia="Arial" w:hAnsi="Arial"/>
                <w:sz w:val="17"/>
                <w:szCs w:val="17"/>
                <w:color w:val="auto"/>
              </w:rPr>
              <w:t>International Paper Company</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Alabama, Jackson</w:t>
            </w:r>
          </w:p>
        </w:tc>
        <w:tc>
          <w:tcPr>
            <w:tcW w:w="4380" w:type="dxa"/>
            <w:vAlign w:val="bottom"/>
            <w:gridSpan w:val="2"/>
          </w:tcPr>
          <w:p>
            <w:pPr>
              <w:spacing w:after="0"/>
              <w:rPr>
                <w:sz w:val="20"/>
                <w:szCs w:val="20"/>
                <w:color w:val="auto"/>
              </w:rPr>
            </w:pPr>
            <w:r>
              <w:rPr>
                <w:rFonts w:ascii="Arial" w:cs="Arial" w:eastAsia="Arial" w:hAnsi="Arial"/>
                <w:sz w:val="17"/>
                <w:szCs w:val="17"/>
                <w:color w:val="auto"/>
              </w:rPr>
              <w:t>Boise Cascade Corporation</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Alabama, Selma</w:t>
            </w:r>
          </w:p>
        </w:tc>
        <w:tc>
          <w:tcPr>
            <w:tcW w:w="4380" w:type="dxa"/>
            <w:vAlign w:val="bottom"/>
            <w:gridSpan w:val="2"/>
          </w:tcPr>
          <w:p>
            <w:pPr>
              <w:spacing w:after="0"/>
              <w:rPr>
                <w:sz w:val="20"/>
                <w:szCs w:val="20"/>
                <w:color w:val="auto"/>
              </w:rPr>
            </w:pPr>
            <w:r>
              <w:rPr>
                <w:rFonts w:ascii="Arial" w:cs="Arial" w:eastAsia="Arial" w:hAnsi="Arial"/>
                <w:sz w:val="17"/>
                <w:szCs w:val="17"/>
                <w:color w:val="auto"/>
              </w:rPr>
              <w:t>International Paper Company</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Arkansas, Ashdown</w:t>
            </w:r>
          </w:p>
        </w:tc>
        <w:tc>
          <w:tcPr>
            <w:tcW w:w="4380" w:type="dxa"/>
            <w:vAlign w:val="bottom"/>
            <w:gridSpan w:val="2"/>
          </w:tcPr>
          <w:p>
            <w:pPr>
              <w:spacing w:after="0"/>
              <w:rPr>
                <w:sz w:val="20"/>
                <w:szCs w:val="20"/>
                <w:color w:val="auto"/>
              </w:rPr>
            </w:pPr>
            <w:r>
              <w:rPr>
                <w:rFonts w:ascii="Arial" w:cs="Arial" w:eastAsia="Arial" w:hAnsi="Arial"/>
                <w:sz w:val="17"/>
                <w:szCs w:val="17"/>
                <w:color w:val="auto"/>
              </w:rPr>
              <w:t>Georgia-Pacific Corporation</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Brazil, Jacarei</w:t>
            </w:r>
          </w:p>
        </w:tc>
        <w:tc>
          <w:tcPr>
            <w:tcW w:w="4380" w:type="dxa"/>
            <w:vAlign w:val="bottom"/>
            <w:gridSpan w:val="2"/>
          </w:tcPr>
          <w:p>
            <w:pPr>
              <w:spacing w:after="0"/>
              <w:rPr>
                <w:sz w:val="20"/>
                <w:szCs w:val="20"/>
                <w:color w:val="auto"/>
              </w:rPr>
            </w:pPr>
            <w:r>
              <w:rPr>
                <w:rFonts w:ascii="Arial" w:cs="Arial" w:eastAsia="Arial" w:hAnsi="Arial"/>
                <w:sz w:val="17"/>
                <w:szCs w:val="17"/>
                <w:color w:val="auto"/>
              </w:rPr>
              <w:t>Votorantim Celulose e Papel</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Brazil, Luiz Antonio</w:t>
            </w:r>
          </w:p>
        </w:tc>
        <w:tc>
          <w:tcPr>
            <w:tcW w:w="4380" w:type="dxa"/>
            <w:vAlign w:val="bottom"/>
            <w:gridSpan w:val="2"/>
          </w:tcPr>
          <w:p>
            <w:pPr>
              <w:spacing w:after="0"/>
              <w:rPr>
                <w:sz w:val="20"/>
                <w:szCs w:val="20"/>
                <w:color w:val="auto"/>
              </w:rPr>
            </w:pPr>
            <w:r>
              <w:rPr>
                <w:rFonts w:ascii="Arial" w:cs="Arial" w:eastAsia="Arial" w:hAnsi="Arial"/>
                <w:sz w:val="17"/>
                <w:szCs w:val="17"/>
                <w:color w:val="auto"/>
              </w:rPr>
              <w:t>Votorantim Celulose e Papel</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Brazil, Mucuri</w:t>
            </w:r>
          </w:p>
        </w:tc>
        <w:tc>
          <w:tcPr>
            <w:tcW w:w="4380" w:type="dxa"/>
            <w:vAlign w:val="bottom"/>
            <w:gridSpan w:val="2"/>
          </w:tcPr>
          <w:p>
            <w:pPr>
              <w:spacing w:after="0"/>
              <w:rPr>
                <w:sz w:val="20"/>
                <w:szCs w:val="20"/>
                <w:color w:val="auto"/>
              </w:rPr>
            </w:pPr>
            <w:r>
              <w:rPr>
                <w:rFonts w:ascii="Arial" w:cs="Arial" w:eastAsia="Arial" w:hAnsi="Arial"/>
                <w:sz w:val="17"/>
                <w:szCs w:val="17"/>
                <w:color w:val="auto"/>
              </w:rPr>
              <w:t>Bahia Sul Celulose S.A.</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Brazil, Suzano</w:t>
            </w:r>
          </w:p>
        </w:tc>
        <w:tc>
          <w:tcPr>
            <w:tcW w:w="4380" w:type="dxa"/>
            <w:vAlign w:val="bottom"/>
            <w:gridSpan w:val="2"/>
          </w:tcPr>
          <w:p>
            <w:pPr>
              <w:spacing w:after="0"/>
              <w:rPr>
                <w:sz w:val="20"/>
                <w:szCs w:val="20"/>
                <w:color w:val="auto"/>
              </w:rPr>
            </w:pPr>
            <w:r>
              <w:rPr>
                <w:rFonts w:ascii="Arial" w:cs="Arial" w:eastAsia="Arial" w:hAnsi="Arial"/>
                <w:sz w:val="17"/>
                <w:szCs w:val="17"/>
                <w:color w:val="auto"/>
              </w:rPr>
              <w:t>Cia Suzano de Papel e Celulose</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California, Anderson</w:t>
            </w:r>
          </w:p>
        </w:tc>
        <w:tc>
          <w:tcPr>
            <w:tcW w:w="4380" w:type="dxa"/>
            <w:vAlign w:val="bottom"/>
            <w:gridSpan w:val="2"/>
          </w:tcPr>
          <w:p>
            <w:pPr>
              <w:spacing w:after="0"/>
              <w:rPr>
                <w:sz w:val="20"/>
                <w:szCs w:val="20"/>
                <w:color w:val="auto"/>
              </w:rPr>
            </w:pPr>
            <w:r>
              <w:rPr>
                <w:rFonts w:ascii="Arial" w:cs="Arial" w:eastAsia="Arial" w:hAnsi="Arial"/>
                <w:sz w:val="17"/>
                <w:szCs w:val="17"/>
                <w:color w:val="auto"/>
              </w:rPr>
              <w:t>Shasta Paper Company</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Canada, Cornwall, Ontario</w:t>
            </w:r>
          </w:p>
        </w:tc>
        <w:tc>
          <w:tcPr>
            <w:tcW w:w="4380" w:type="dxa"/>
            <w:vAlign w:val="bottom"/>
            <w:gridSpan w:val="2"/>
          </w:tcPr>
          <w:p>
            <w:pPr>
              <w:spacing w:after="0"/>
              <w:rPr>
                <w:sz w:val="20"/>
                <w:szCs w:val="20"/>
                <w:color w:val="auto"/>
              </w:rPr>
            </w:pPr>
            <w:r>
              <w:rPr>
                <w:rFonts w:ascii="Arial" w:cs="Arial" w:eastAsia="Arial" w:hAnsi="Arial"/>
                <w:sz w:val="17"/>
                <w:szCs w:val="17"/>
                <w:color w:val="auto"/>
              </w:rPr>
              <w:t>Domtar Inc.</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Canada, Dryden, Ontario</w:t>
            </w:r>
          </w:p>
        </w:tc>
        <w:tc>
          <w:tcPr>
            <w:tcW w:w="4380" w:type="dxa"/>
            <w:vAlign w:val="bottom"/>
            <w:gridSpan w:val="2"/>
          </w:tcPr>
          <w:p>
            <w:pPr>
              <w:spacing w:after="0"/>
              <w:rPr>
                <w:sz w:val="20"/>
                <w:szCs w:val="20"/>
                <w:color w:val="auto"/>
              </w:rPr>
            </w:pPr>
            <w:r>
              <w:rPr>
                <w:rFonts w:ascii="Arial" w:cs="Arial" w:eastAsia="Arial" w:hAnsi="Arial"/>
                <w:sz w:val="17"/>
                <w:szCs w:val="17"/>
                <w:color w:val="auto"/>
              </w:rPr>
              <w:t>Weyerhaeuser Canada Inc.</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Canada, St. Jerome, Quebec</w:t>
            </w:r>
          </w:p>
        </w:tc>
        <w:tc>
          <w:tcPr>
            <w:tcW w:w="4380" w:type="dxa"/>
            <w:vAlign w:val="bottom"/>
            <w:gridSpan w:val="2"/>
          </w:tcPr>
          <w:p>
            <w:pPr>
              <w:spacing w:after="0"/>
              <w:rPr>
                <w:sz w:val="20"/>
                <w:szCs w:val="20"/>
                <w:color w:val="auto"/>
              </w:rPr>
            </w:pPr>
            <w:r>
              <w:rPr>
                <w:rFonts w:ascii="Arial" w:cs="Arial" w:eastAsia="Arial" w:hAnsi="Arial"/>
                <w:sz w:val="17"/>
                <w:szCs w:val="17"/>
                <w:color w:val="auto"/>
              </w:rPr>
              <w:t>Rolland Paper Inc.</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Canada, Windsor, Quebec</w:t>
            </w:r>
          </w:p>
        </w:tc>
        <w:tc>
          <w:tcPr>
            <w:tcW w:w="4380" w:type="dxa"/>
            <w:vAlign w:val="bottom"/>
            <w:gridSpan w:val="2"/>
          </w:tcPr>
          <w:p>
            <w:pPr>
              <w:spacing w:after="0"/>
              <w:rPr>
                <w:sz w:val="20"/>
                <w:szCs w:val="20"/>
                <w:color w:val="auto"/>
              </w:rPr>
            </w:pPr>
            <w:r>
              <w:rPr>
                <w:rFonts w:ascii="Arial" w:cs="Arial" w:eastAsia="Arial" w:hAnsi="Arial"/>
                <w:sz w:val="17"/>
                <w:szCs w:val="17"/>
                <w:color w:val="auto"/>
              </w:rPr>
              <w:t>Domtar Inc.</w:t>
            </w:r>
          </w:p>
        </w:tc>
      </w:tr>
      <w:tr>
        <w:trPr>
          <w:trHeight w:val="601"/>
        </w:trPr>
        <w:tc>
          <w:tcPr>
            <w:tcW w:w="3520" w:type="dxa"/>
            <w:vAlign w:val="bottom"/>
            <w:gridSpan w:val="2"/>
          </w:tcPr>
          <w:p>
            <w:pPr>
              <w:spacing w:after="0"/>
              <w:rPr>
                <w:sz w:val="20"/>
                <w:szCs w:val="20"/>
                <w:color w:val="auto"/>
              </w:rPr>
            </w:pPr>
            <w:r>
              <w:rPr>
                <w:rFonts w:ascii="Arial" w:cs="Arial" w:eastAsia="Arial" w:hAnsi="Arial"/>
                <w:sz w:val="17"/>
                <w:szCs w:val="17"/>
                <w:color w:val="auto"/>
              </w:rPr>
              <w:t>China, Dagang</w:t>
            </w:r>
            <w:r>
              <w:rPr>
                <w:rFonts w:ascii="Arial" w:cs="Arial" w:eastAsia="Arial" w:hAnsi="Arial"/>
                <w:sz w:val="28"/>
                <w:szCs w:val="28"/>
                <w:color w:val="auto"/>
                <w:vertAlign w:val="superscript"/>
              </w:rPr>
              <w:t>1</w:t>
            </w:r>
          </w:p>
        </w:tc>
        <w:tc>
          <w:tcPr>
            <w:tcW w:w="4380" w:type="dxa"/>
            <w:vAlign w:val="bottom"/>
            <w:gridSpan w:val="2"/>
          </w:tcPr>
          <w:p>
            <w:pPr>
              <w:spacing w:after="0"/>
              <w:rPr>
                <w:sz w:val="20"/>
                <w:szCs w:val="20"/>
                <w:color w:val="auto"/>
              </w:rPr>
            </w:pPr>
            <w:r>
              <w:rPr>
                <w:rFonts w:ascii="Arial" w:cs="Arial" w:eastAsia="Arial" w:hAnsi="Arial"/>
                <w:sz w:val="17"/>
                <w:szCs w:val="17"/>
                <w:color w:val="auto"/>
              </w:rPr>
              <w:t>Asia Pulp and Paper Company Ltd.</w:t>
            </w:r>
          </w:p>
        </w:tc>
      </w:tr>
      <w:tr>
        <w:trPr>
          <w:trHeight w:val="484"/>
        </w:trPr>
        <w:tc>
          <w:tcPr>
            <w:tcW w:w="3520" w:type="dxa"/>
            <w:vAlign w:val="bottom"/>
            <w:gridSpan w:val="2"/>
          </w:tcPr>
          <w:p>
            <w:pPr>
              <w:spacing w:after="0"/>
              <w:rPr>
                <w:sz w:val="20"/>
                <w:szCs w:val="20"/>
                <w:color w:val="auto"/>
              </w:rPr>
            </w:pPr>
            <w:r>
              <w:rPr>
                <w:rFonts w:ascii="Arial" w:cs="Arial" w:eastAsia="Arial" w:hAnsi="Arial"/>
                <w:sz w:val="17"/>
                <w:szCs w:val="17"/>
                <w:color w:val="auto"/>
              </w:rPr>
              <w:t>Finland, Aanekoski</w:t>
            </w:r>
            <w:r>
              <w:rPr>
                <w:rFonts w:ascii="Arial" w:cs="Arial" w:eastAsia="Arial" w:hAnsi="Arial"/>
                <w:sz w:val="28"/>
                <w:szCs w:val="28"/>
                <w:color w:val="auto"/>
                <w:vertAlign w:val="superscript"/>
              </w:rPr>
              <w:t>1</w:t>
            </w:r>
          </w:p>
        </w:tc>
        <w:tc>
          <w:tcPr>
            <w:tcW w:w="4380" w:type="dxa"/>
            <w:vAlign w:val="bottom"/>
            <w:gridSpan w:val="2"/>
          </w:tcPr>
          <w:p>
            <w:pPr>
              <w:spacing w:after="0"/>
              <w:rPr>
                <w:sz w:val="20"/>
                <w:szCs w:val="20"/>
                <w:color w:val="auto"/>
              </w:rPr>
            </w:pPr>
            <w:r>
              <w:rPr>
                <w:rFonts w:ascii="Arial" w:cs="Arial" w:eastAsia="Arial" w:hAnsi="Arial"/>
                <w:sz w:val="17"/>
                <w:szCs w:val="17"/>
                <w:color w:val="auto"/>
              </w:rPr>
              <w:t>Metsa-Serla Group</w:t>
            </w:r>
          </w:p>
        </w:tc>
      </w:tr>
      <w:tr>
        <w:trPr>
          <w:trHeight w:val="485"/>
        </w:trPr>
        <w:tc>
          <w:tcPr>
            <w:tcW w:w="3520" w:type="dxa"/>
            <w:vAlign w:val="bottom"/>
            <w:gridSpan w:val="2"/>
          </w:tcPr>
          <w:p>
            <w:pPr>
              <w:spacing w:after="0"/>
              <w:rPr>
                <w:sz w:val="20"/>
                <w:szCs w:val="20"/>
                <w:color w:val="auto"/>
              </w:rPr>
            </w:pPr>
            <w:r>
              <w:rPr>
                <w:rFonts w:ascii="Arial" w:cs="Arial" w:eastAsia="Arial" w:hAnsi="Arial"/>
                <w:sz w:val="17"/>
                <w:szCs w:val="17"/>
                <w:color w:val="auto"/>
              </w:rPr>
              <w:t>Finland, Anjalankoski</w:t>
            </w:r>
            <w:r>
              <w:rPr>
                <w:rFonts w:ascii="Arial" w:cs="Arial" w:eastAsia="Arial" w:hAnsi="Arial"/>
                <w:sz w:val="28"/>
                <w:szCs w:val="28"/>
                <w:color w:val="auto"/>
                <w:vertAlign w:val="superscript"/>
              </w:rPr>
              <w:t>1</w:t>
            </w:r>
          </w:p>
        </w:tc>
        <w:tc>
          <w:tcPr>
            <w:tcW w:w="4380" w:type="dxa"/>
            <w:vAlign w:val="bottom"/>
            <w:gridSpan w:val="2"/>
          </w:tcPr>
          <w:p>
            <w:pPr>
              <w:spacing w:after="0"/>
              <w:rPr>
                <w:sz w:val="20"/>
                <w:szCs w:val="20"/>
                <w:color w:val="auto"/>
              </w:rPr>
            </w:pPr>
            <w:r>
              <w:rPr>
                <w:rFonts w:ascii="Arial" w:cs="Arial" w:eastAsia="Arial" w:hAnsi="Arial"/>
                <w:sz w:val="17"/>
                <w:szCs w:val="17"/>
                <w:color w:val="auto"/>
              </w:rPr>
              <w:t>Myllykoski Paper Oy</w:t>
            </w:r>
          </w:p>
        </w:tc>
      </w:tr>
      <w:tr>
        <w:trPr>
          <w:trHeight w:val="484"/>
        </w:trPr>
        <w:tc>
          <w:tcPr>
            <w:tcW w:w="3520" w:type="dxa"/>
            <w:vAlign w:val="bottom"/>
            <w:gridSpan w:val="2"/>
          </w:tcPr>
          <w:p>
            <w:pPr>
              <w:spacing w:after="0"/>
              <w:rPr>
                <w:sz w:val="20"/>
                <w:szCs w:val="20"/>
                <w:color w:val="auto"/>
              </w:rPr>
            </w:pPr>
            <w:r>
              <w:rPr>
                <w:rFonts w:ascii="Arial" w:cs="Arial" w:eastAsia="Arial" w:hAnsi="Arial"/>
                <w:sz w:val="17"/>
                <w:szCs w:val="17"/>
                <w:color w:val="auto"/>
              </w:rPr>
              <w:t xml:space="preserve">Finland, Lappeenranta </w:t>
            </w:r>
            <w:r>
              <w:rPr>
                <w:rFonts w:ascii="Arial" w:cs="Arial" w:eastAsia="Arial" w:hAnsi="Arial"/>
                <w:sz w:val="28"/>
                <w:szCs w:val="28"/>
                <w:color w:val="auto"/>
                <w:vertAlign w:val="superscript"/>
              </w:rPr>
              <w:t>1, 2</w:t>
            </w:r>
          </w:p>
        </w:tc>
        <w:tc>
          <w:tcPr>
            <w:tcW w:w="4380" w:type="dxa"/>
            <w:vAlign w:val="bottom"/>
            <w:gridSpan w:val="2"/>
          </w:tcPr>
          <w:p>
            <w:pPr>
              <w:spacing w:after="0"/>
              <w:rPr>
                <w:sz w:val="20"/>
                <w:szCs w:val="20"/>
                <w:color w:val="auto"/>
              </w:rPr>
            </w:pPr>
            <w:r>
              <w:rPr>
                <w:rFonts w:ascii="Arial" w:cs="Arial" w:eastAsia="Arial" w:hAnsi="Arial"/>
                <w:sz w:val="17"/>
                <w:szCs w:val="17"/>
                <w:color w:val="auto"/>
                <w:w w:val="91"/>
              </w:rPr>
              <w:t>OAO Svetogorsk (a subsidiary of International Paper Company)</w:t>
            </w:r>
          </w:p>
        </w:tc>
      </w:tr>
      <w:tr>
        <w:trPr>
          <w:trHeight w:val="485"/>
        </w:trPr>
        <w:tc>
          <w:tcPr>
            <w:tcW w:w="3520" w:type="dxa"/>
            <w:vAlign w:val="bottom"/>
            <w:gridSpan w:val="2"/>
          </w:tcPr>
          <w:p>
            <w:pPr>
              <w:spacing w:after="0"/>
              <w:rPr>
                <w:sz w:val="20"/>
                <w:szCs w:val="20"/>
                <w:color w:val="auto"/>
              </w:rPr>
            </w:pPr>
            <w:r>
              <w:rPr>
                <w:rFonts w:ascii="Arial" w:cs="Arial" w:eastAsia="Arial" w:hAnsi="Arial"/>
                <w:sz w:val="17"/>
                <w:szCs w:val="17"/>
                <w:color w:val="auto"/>
              </w:rPr>
              <w:t>Finland, Tervakoski</w:t>
            </w:r>
            <w:r>
              <w:rPr>
                <w:rFonts w:ascii="Arial" w:cs="Arial" w:eastAsia="Arial" w:hAnsi="Arial"/>
                <w:sz w:val="28"/>
                <w:szCs w:val="28"/>
                <w:color w:val="auto"/>
                <w:vertAlign w:val="superscript"/>
              </w:rPr>
              <w:t>1</w:t>
            </w:r>
          </w:p>
        </w:tc>
        <w:tc>
          <w:tcPr>
            <w:tcW w:w="4380" w:type="dxa"/>
            <w:vAlign w:val="bottom"/>
            <w:gridSpan w:val="2"/>
          </w:tcPr>
          <w:p>
            <w:pPr>
              <w:spacing w:after="0"/>
              <w:rPr>
                <w:sz w:val="20"/>
                <w:szCs w:val="20"/>
                <w:color w:val="auto"/>
              </w:rPr>
            </w:pPr>
            <w:r>
              <w:rPr>
                <w:rFonts w:ascii="Arial" w:cs="Arial" w:eastAsia="Arial" w:hAnsi="Arial"/>
                <w:sz w:val="17"/>
                <w:szCs w:val="17"/>
                <w:color w:val="auto"/>
              </w:rPr>
              <w:t>Stora Enso Oy</w:t>
            </w:r>
          </w:p>
        </w:tc>
      </w:tr>
      <w:tr>
        <w:trPr>
          <w:trHeight w:val="329"/>
        </w:trPr>
        <w:tc>
          <w:tcPr>
            <w:tcW w:w="3520" w:type="dxa"/>
            <w:vAlign w:val="bottom"/>
            <w:gridSpan w:val="2"/>
          </w:tcPr>
          <w:p>
            <w:pPr>
              <w:spacing w:after="0"/>
              <w:rPr>
                <w:sz w:val="20"/>
                <w:szCs w:val="20"/>
                <w:color w:val="auto"/>
              </w:rPr>
            </w:pPr>
            <w:r>
              <w:rPr>
                <w:rFonts w:ascii="Arial" w:cs="Arial" w:eastAsia="Arial" w:hAnsi="Arial"/>
                <w:sz w:val="17"/>
                <w:szCs w:val="17"/>
                <w:color w:val="auto"/>
              </w:rPr>
              <w:t>Florida, Pensacola</w:t>
            </w:r>
          </w:p>
        </w:tc>
        <w:tc>
          <w:tcPr>
            <w:tcW w:w="4380" w:type="dxa"/>
            <w:vAlign w:val="bottom"/>
            <w:gridSpan w:val="2"/>
          </w:tcPr>
          <w:p>
            <w:pPr>
              <w:spacing w:after="0"/>
              <w:rPr>
                <w:sz w:val="20"/>
                <w:szCs w:val="20"/>
                <w:color w:val="auto"/>
              </w:rPr>
            </w:pPr>
            <w:r>
              <w:rPr>
                <w:rFonts w:ascii="Arial" w:cs="Arial" w:eastAsia="Arial" w:hAnsi="Arial"/>
                <w:sz w:val="17"/>
                <w:szCs w:val="17"/>
                <w:color w:val="auto"/>
              </w:rPr>
              <w:t>International Paper Company</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France, Docelles</w:t>
            </w:r>
          </w:p>
        </w:tc>
        <w:tc>
          <w:tcPr>
            <w:tcW w:w="4380" w:type="dxa"/>
            <w:vAlign w:val="bottom"/>
            <w:gridSpan w:val="2"/>
          </w:tcPr>
          <w:p>
            <w:pPr>
              <w:spacing w:after="0"/>
              <w:rPr>
                <w:sz w:val="20"/>
                <w:szCs w:val="20"/>
                <w:color w:val="auto"/>
              </w:rPr>
            </w:pPr>
            <w:r>
              <w:rPr>
                <w:rFonts w:ascii="Arial" w:cs="Arial" w:eastAsia="Arial" w:hAnsi="Arial"/>
                <w:sz w:val="17"/>
                <w:szCs w:val="17"/>
                <w:color w:val="auto"/>
              </w:rPr>
              <w:t>UPM - Kymmene Corporation</w:t>
            </w:r>
          </w:p>
        </w:tc>
      </w:tr>
      <w:tr>
        <w:trPr>
          <w:trHeight w:val="445"/>
        </w:trPr>
        <w:tc>
          <w:tcPr>
            <w:tcW w:w="3520" w:type="dxa"/>
            <w:vAlign w:val="bottom"/>
            <w:gridSpan w:val="2"/>
          </w:tcPr>
          <w:p>
            <w:pPr>
              <w:spacing w:after="0"/>
              <w:rPr>
                <w:sz w:val="20"/>
                <w:szCs w:val="20"/>
                <w:color w:val="auto"/>
              </w:rPr>
            </w:pPr>
            <w:r>
              <w:rPr>
                <w:rFonts w:ascii="Arial" w:cs="Arial" w:eastAsia="Arial" w:hAnsi="Arial"/>
                <w:sz w:val="17"/>
                <w:szCs w:val="17"/>
                <w:color w:val="auto"/>
              </w:rPr>
              <w:t>France, Saillat Sur Vienne</w:t>
            </w:r>
          </w:p>
        </w:tc>
        <w:tc>
          <w:tcPr>
            <w:tcW w:w="4380" w:type="dxa"/>
            <w:vAlign w:val="bottom"/>
            <w:gridSpan w:val="2"/>
          </w:tcPr>
          <w:p>
            <w:pPr>
              <w:spacing w:after="0"/>
              <w:rPr>
                <w:sz w:val="20"/>
                <w:szCs w:val="20"/>
                <w:color w:val="auto"/>
              </w:rPr>
            </w:pPr>
            <w:r>
              <w:rPr>
                <w:rFonts w:ascii="Arial" w:cs="Arial" w:eastAsia="Arial" w:hAnsi="Arial"/>
                <w:sz w:val="17"/>
                <w:szCs w:val="17"/>
                <w:color w:val="auto"/>
                <w:w w:val="95"/>
              </w:rPr>
              <w:t>Aussedat Rey (a subsidiary of International Paper Company)</w:t>
            </w:r>
          </w:p>
        </w:tc>
      </w:tr>
      <w:tr>
        <w:trPr>
          <w:trHeight w:val="447"/>
        </w:trPr>
        <w:tc>
          <w:tcPr>
            <w:tcW w:w="3520" w:type="dxa"/>
            <w:vAlign w:val="bottom"/>
            <w:gridSpan w:val="2"/>
          </w:tcPr>
          <w:p>
            <w:pPr>
              <w:spacing w:after="0"/>
              <w:rPr>
                <w:sz w:val="20"/>
                <w:szCs w:val="20"/>
                <w:color w:val="auto"/>
              </w:rPr>
            </w:pPr>
            <w:r>
              <w:rPr>
                <w:rFonts w:ascii="Arial" w:cs="Arial" w:eastAsia="Arial" w:hAnsi="Arial"/>
                <w:sz w:val="17"/>
                <w:szCs w:val="17"/>
                <w:color w:val="auto"/>
              </w:rPr>
              <w:t>Germany, Schongau</w:t>
            </w:r>
          </w:p>
        </w:tc>
        <w:tc>
          <w:tcPr>
            <w:tcW w:w="4380" w:type="dxa"/>
            <w:vAlign w:val="bottom"/>
            <w:gridSpan w:val="2"/>
          </w:tcPr>
          <w:p>
            <w:pPr>
              <w:spacing w:after="0"/>
              <w:rPr>
                <w:sz w:val="20"/>
                <w:szCs w:val="20"/>
                <w:color w:val="auto"/>
              </w:rPr>
            </w:pPr>
            <w:r>
              <w:rPr>
                <w:rFonts w:ascii="Arial" w:cs="Arial" w:eastAsia="Arial" w:hAnsi="Arial"/>
                <w:sz w:val="17"/>
                <w:szCs w:val="17"/>
                <w:color w:val="auto"/>
              </w:rPr>
              <w:t>Haindl Papier GmbH</w:t>
            </w:r>
          </w:p>
        </w:tc>
      </w:tr>
    </w:tbl>
    <w:p>
      <w:pPr>
        <w:sectPr>
          <w:pgSz w:w="11900" w:h="16956" w:orient="portrait"/>
          <w:cols w:equalWidth="0" w:num="1">
            <w:col w:w="11420"/>
          </w:cols>
          <w:pgMar w:left="240" w:top="131"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780" w:type="dxa"/>
            <w:vAlign w:val="bottom"/>
          </w:tcPr>
          <w:p>
            <w:pPr>
              <w:spacing w:after="0"/>
              <w:rPr>
                <w:sz w:val="20"/>
                <w:szCs w:val="20"/>
                <w:color w:val="auto"/>
              </w:rPr>
            </w:pPr>
            <w:r>
              <w:rPr>
                <w:rFonts w:ascii="Arial" w:cs="Arial" w:eastAsia="Arial" w:hAnsi="Arial"/>
                <w:sz w:val="17"/>
                <w:szCs w:val="17"/>
                <w:color w:val="auto"/>
              </w:rPr>
              <w:t>Indonesia, Perawang</w:t>
            </w:r>
            <w:r>
              <w:rPr>
                <w:rFonts w:ascii="Arial" w:cs="Arial" w:eastAsia="Arial" w:hAnsi="Arial"/>
                <w:sz w:val="28"/>
                <w:szCs w:val="28"/>
                <w:color w:val="auto"/>
                <w:vertAlign w:val="superscript"/>
              </w:rPr>
              <w:t>1</w:t>
            </w:r>
          </w:p>
        </w:tc>
        <w:tc>
          <w:tcPr>
            <w:tcW w:w="6700" w:type="dxa"/>
            <w:vAlign w:val="bottom"/>
          </w:tcPr>
          <w:p>
            <w:pPr>
              <w:ind w:left="740"/>
              <w:spacing w:after="0"/>
              <w:rPr>
                <w:sz w:val="20"/>
                <w:szCs w:val="20"/>
                <w:color w:val="auto"/>
              </w:rPr>
            </w:pPr>
            <w:r>
              <w:rPr>
                <w:rFonts w:ascii="Arial" w:cs="Arial" w:eastAsia="Arial" w:hAnsi="Arial"/>
                <w:sz w:val="17"/>
                <w:szCs w:val="17"/>
                <w:color w:val="auto"/>
              </w:rPr>
              <w:t>PT Indah Kiat Pulp and Paper Corporation</w:t>
            </w:r>
          </w:p>
        </w:tc>
      </w:tr>
      <w:tr>
        <w:trPr>
          <w:trHeight w:val="329"/>
        </w:trPr>
        <w:tc>
          <w:tcPr>
            <w:tcW w:w="2780" w:type="dxa"/>
            <w:vAlign w:val="bottom"/>
          </w:tcPr>
          <w:p>
            <w:pPr>
              <w:spacing w:after="0"/>
              <w:rPr>
                <w:sz w:val="20"/>
                <w:szCs w:val="20"/>
                <w:color w:val="auto"/>
              </w:rPr>
            </w:pPr>
            <w:r>
              <w:rPr>
                <w:rFonts w:ascii="Arial" w:cs="Arial" w:eastAsia="Arial" w:hAnsi="Arial"/>
                <w:sz w:val="17"/>
                <w:szCs w:val="17"/>
                <w:color w:val="auto"/>
              </w:rPr>
              <w:t>Israel, Hadera</w:t>
            </w:r>
          </w:p>
        </w:tc>
        <w:tc>
          <w:tcPr>
            <w:tcW w:w="6700" w:type="dxa"/>
            <w:vAlign w:val="bottom"/>
          </w:tcPr>
          <w:p>
            <w:pPr>
              <w:ind w:left="740"/>
              <w:spacing w:after="0"/>
              <w:rPr>
                <w:sz w:val="20"/>
                <w:szCs w:val="20"/>
                <w:color w:val="auto"/>
              </w:rPr>
            </w:pPr>
            <w:r>
              <w:rPr>
                <w:rFonts w:ascii="Arial" w:cs="Arial" w:eastAsia="Arial" w:hAnsi="Arial"/>
                <w:sz w:val="17"/>
                <w:szCs w:val="17"/>
                <w:color w:val="auto"/>
              </w:rPr>
              <w:t>American Israeli Paper Mills, Ltd.</w:t>
            </w:r>
          </w:p>
        </w:tc>
      </w:tr>
      <w:tr>
        <w:trPr>
          <w:trHeight w:val="601"/>
        </w:trPr>
        <w:tc>
          <w:tcPr>
            <w:tcW w:w="2780" w:type="dxa"/>
            <w:vAlign w:val="bottom"/>
          </w:tcPr>
          <w:p>
            <w:pPr>
              <w:spacing w:after="0"/>
              <w:rPr>
                <w:sz w:val="20"/>
                <w:szCs w:val="20"/>
                <w:color w:val="auto"/>
              </w:rPr>
            </w:pPr>
            <w:r>
              <w:rPr>
                <w:rFonts w:ascii="Arial" w:cs="Arial" w:eastAsia="Arial" w:hAnsi="Arial"/>
                <w:sz w:val="17"/>
                <w:szCs w:val="17"/>
                <w:color w:val="auto"/>
              </w:rPr>
              <w:t>Japan, Shiraoi</w:t>
            </w:r>
            <w:r>
              <w:rPr>
                <w:rFonts w:ascii="Arial" w:cs="Arial" w:eastAsia="Arial" w:hAnsi="Arial"/>
                <w:sz w:val="28"/>
                <w:szCs w:val="28"/>
                <w:color w:val="auto"/>
                <w:vertAlign w:val="superscript"/>
              </w:rPr>
              <w:t>1</w:t>
            </w:r>
          </w:p>
        </w:tc>
        <w:tc>
          <w:tcPr>
            <w:tcW w:w="6700" w:type="dxa"/>
            <w:vAlign w:val="bottom"/>
          </w:tcPr>
          <w:p>
            <w:pPr>
              <w:ind w:left="740"/>
              <w:spacing w:after="0"/>
              <w:rPr>
                <w:sz w:val="20"/>
                <w:szCs w:val="20"/>
                <w:color w:val="auto"/>
              </w:rPr>
            </w:pPr>
            <w:r>
              <w:rPr>
                <w:rFonts w:ascii="Arial" w:cs="Arial" w:eastAsia="Arial" w:hAnsi="Arial"/>
                <w:sz w:val="17"/>
                <w:szCs w:val="17"/>
                <w:color w:val="auto"/>
              </w:rPr>
              <w:t>Daishowa Paper Manufacturing Company Ltd.</w:t>
            </w:r>
          </w:p>
        </w:tc>
      </w:tr>
      <w:tr>
        <w:trPr>
          <w:trHeight w:val="329"/>
        </w:trPr>
        <w:tc>
          <w:tcPr>
            <w:tcW w:w="2780" w:type="dxa"/>
            <w:vAlign w:val="bottom"/>
          </w:tcPr>
          <w:p>
            <w:pPr>
              <w:spacing w:after="0"/>
              <w:rPr>
                <w:sz w:val="20"/>
                <w:szCs w:val="20"/>
                <w:color w:val="auto"/>
              </w:rPr>
            </w:pPr>
            <w:r>
              <w:rPr>
                <w:rFonts w:ascii="Arial" w:cs="Arial" w:eastAsia="Arial" w:hAnsi="Arial"/>
                <w:sz w:val="17"/>
                <w:szCs w:val="17"/>
                <w:color w:val="auto"/>
              </w:rPr>
              <w:t>Kentucky, Wickliffe</w:t>
            </w:r>
          </w:p>
        </w:tc>
        <w:tc>
          <w:tcPr>
            <w:tcW w:w="6700" w:type="dxa"/>
            <w:vAlign w:val="bottom"/>
          </w:tcPr>
          <w:p>
            <w:pPr>
              <w:ind w:left="740"/>
              <w:spacing w:after="0"/>
              <w:rPr>
                <w:sz w:val="20"/>
                <w:szCs w:val="20"/>
                <w:color w:val="auto"/>
              </w:rPr>
            </w:pPr>
            <w:r>
              <w:rPr>
                <w:rFonts w:ascii="Arial" w:cs="Arial" w:eastAsia="Arial" w:hAnsi="Arial"/>
                <w:sz w:val="17"/>
                <w:szCs w:val="17"/>
                <w:color w:val="auto"/>
              </w:rPr>
              <w:t>Westvaco Corporation</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Louisiana, Port Hudson</w:t>
            </w:r>
          </w:p>
        </w:tc>
        <w:tc>
          <w:tcPr>
            <w:tcW w:w="6700" w:type="dxa"/>
            <w:vAlign w:val="bottom"/>
          </w:tcPr>
          <w:p>
            <w:pPr>
              <w:ind w:left="740"/>
              <w:spacing w:after="0"/>
              <w:rPr>
                <w:sz w:val="20"/>
                <w:szCs w:val="20"/>
                <w:color w:val="auto"/>
              </w:rPr>
            </w:pPr>
            <w:r>
              <w:rPr>
                <w:rFonts w:ascii="Arial" w:cs="Arial" w:eastAsia="Arial" w:hAnsi="Arial"/>
                <w:sz w:val="17"/>
                <w:szCs w:val="17"/>
                <w:color w:val="auto"/>
              </w:rPr>
              <w:t>Georgia-Pacific Corporation</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Maine, Jay</w:t>
            </w:r>
          </w:p>
        </w:tc>
        <w:tc>
          <w:tcPr>
            <w:tcW w:w="6700" w:type="dxa"/>
            <w:vAlign w:val="bottom"/>
          </w:tcPr>
          <w:p>
            <w:pPr>
              <w:ind w:left="740"/>
              <w:spacing w:after="0"/>
              <w:rPr>
                <w:sz w:val="20"/>
                <w:szCs w:val="20"/>
                <w:color w:val="auto"/>
              </w:rPr>
            </w:pPr>
            <w:r>
              <w:rPr>
                <w:rFonts w:ascii="Arial" w:cs="Arial" w:eastAsia="Arial" w:hAnsi="Arial"/>
                <w:sz w:val="17"/>
                <w:szCs w:val="17"/>
                <w:color w:val="auto"/>
              </w:rPr>
              <w:t>International Paper Company</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Maine, Madison</w:t>
            </w:r>
          </w:p>
        </w:tc>
        <w:tc>
          <w:tcPr>
            <w:tcW w:w="6700" w:type="dxa"/>
            <w:vAlign w:val="bottom"/>
          </w:tcPr>
          <w:p>
            <w:pPr>
              <w:ind w:left="740"/>
              <w:spacing w:after="0"/>
              <w:rPr>
                <w:sz w:val="20"/>
                <w:szCs w:val="20"/>
                <w:color w:val="auto"/>
              </w:rPr>
            </w:pPr>
            <w:r>
              <w:rPr>
                <w:rFonts w:ascii="Arial" w:cs="Arial" w:eastAsia="Arial" w:hAnsi="Arial"/>
                <w:sz w:val="17"/>
                <w:szCs w:val="17"/>
                <w:color w:val="auto"/>
              </w:rPr>
              <w:t>Madison Paper Industries</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Mexico, Chihuahua</w:t>
            </w:r>
          </w:p>
        </w:tc>
        <w:tc>
          <w:tcPr>
            <w:tcW w:w="6700" w:type="dxa"/>
            <w:vAlign w:val="bottom"/>
          </w:tcPr>
          <w:p>
            <w:pPr>
              <w:ind w:left="740"/>
              <w:spacing w:after="0"/>
              <w:rPr>
                <w:sz w:val="20"/>
                <w:szCs w:val="20"/>
                <w:color w:val="auto"/>
              </w:rPr>
            </w:pPr>
            <w:r>
              <w:rPr>
                <w:rFonts w:ascii="Arial" w:cs="Arial" w:eastAsia="Arial" w:hAnsi="Arial"/>
                <w:sz w:val="17"/>
                <w:szCs w:val="17"/>
                <w:color w:val="auto"/>
              </w:rPr>
              <w:t>Corporativo Copamex, S.A. de C.V.</w:t>
            </w:r>
          </w:p>
        </w:tc>
      </w:tr>
      <w:tr>
        <w:trPr>
          <w:trHeight w:val="601"/>
        </w:trPr>
        <w:tc>
          <w:tcPr>
            <w:tcW w:w="2780" w:type="dxa"/>
            <w:vAlign w:val="bottom"/>
          </w:tcPr>
          <w:p>
            <w:pPr>
              <w:spacing w:after="0"/>
              <w:rPr>
                <w:sz w:val="20"/>
                <w:szCs w:val="20"/>
                <w:color w:val="auto"/>
              </w:rPr>
            </w:pPr>
            <w:r>
              <w:rPr>
                <w:rFonts w:ascii="Arial" w:cs="Arial" w:eastAsia="Arial" w:hAnsi="Arial"/>
                <w:sz w:val="17"/>
                <w:szCs w:val="17"/>
                <w:color w:val="auto"/>
              </w:rPr>
              <w:t xml:space="preserve">Michigan, Plainwell </w:t>
            </w:r>
            <w:r>
              <w:rPr>
                <w:rFonts w:ascii="Arial" w:cs="Arial" w:eastAsia="Arial" w:hAnsi="Arial"/>
                <w:sz w:val="28"/>
                <w:szCs w:val="28"/>
                <w:color w:val="auto"/>
                <w:vertAlign w:val="superscript"/>
              </w:rPr>
              <w:t>3</w:t>
            </w:r>
          </w:p>
        </w:tc>
        <w:tc>
          <w:tcPr>
            <w:tcW w:w="6700" w:type="dxa"/>
            <w:vAlign w:val="bottom"/>
          </w:tcPr>
          <w:p>
            <w:pPr>
              <w:ind w:left="740"/>
              <w:spacing w:after="0"/>
              <w:rPr>
                <w:sz w:val="20"/>
                <w:szCs w:val="20"/>
                <w:color w:val="auto"/>
              </w:rPr>
            </w:pPr>
            <w:r>
              <w:rPr>
                <w:rFonts w:ascii="Arial" w:cs="Arial" w:eastAsia="Arial" w:hAnsi="Arial"/>
                <w:sz w:val="17"/>
                <w:szCs w:val="17"/>
                <w:color w:val="auto"/>
              </w:rPr>
              <w:t>Plainwell Inc.</w:t>
            </w:r>
          </w:p>
        </w:tc>
      </w:tr>
      <w:tr>
        <w:trPr>
          <w:trHeight w:val="329"/>
        </w:trPr>
        <w:tc>
          <w:tcPr>
            <w:tcW w:w="2780" w:type="dxa"/>
            <w:vAlign w:val="bottom"/>
          </w:tcPr>
          <w:p>
            <w:pPr>
              <w:spacing w:after="0"/>
              <w:rPr>
                <w:sz w:val="20"/>
                <w:szCs w:val="20"/>
                <w:color w:val="auto"/>
              </w:rPr>
            </w:pPr>
            <w:r>
              <w:rPr>
                <w:rFonts w:ascii="Arial" w:cs="Arial" w:eastAsia="Arial" w:hAnsi="Arial"/>
                <w:sz w:val="17"/>
                <w:szCs w:val="17"/>
                <w:color w:val="auto"/>
              </w:rPr>
              <w:t>Michigan, Quinnesec</w:t>
            </w:r>
          </w:p>
        </w:tc>
        <w:tc>
          <w:tcPr>
            <w:tcW w:w="6700" w:type="dxa"/>
            <w:vAlign w:val="bottom"/>
          </w:tcPr>
          <w:p>
            <w:pPr>
              <w:ind w:left="740"/>
              <w:spacing w:after="0"/>
              <w:rPr>
                <w:sz w:val="20"/>
                <w:szCs w:val="20"/>
                <w:color w:val="auto"/>
              </w:rPr>
            </w:pPr>
            <w:r>
              <w:rPr>
                <w:rFonts w:ascii="Arial" w:cs="Arial" w:eastAsia="Arial" w:hAnsi="Arial"/>
                <w:sz w:val="17"/>
                <w:szCs w:val="17"/>
                <w:color w:val="auto"/>
              </w:rPr>
              <w:t>International Paper Company</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Minnesota, Cloquet</w:t>
            </w:r>
          </w:p>
        </w:tc>
        <w:tc>
          <w:tcPr>
            <w:tcW w:w="6700" w:type="dxa"/>
            <w:vAlign w:val="bottom"/>
          </w:tcPr>
          <w:p>
            <w:pPr>
              <w:ind w:left="740"/>
              <w:spacing w:after="0"/>
              <w:rPr>
                <w:sz w:val="20"/>
                <w:szCs w:val="20"/>
                <w:color w:val="auto"/>
              </w:rPr>
            </w:pPr>
            <w:r>
              <w:rPr>
                <w:rFonts w:ascii="Arial" w:cs="Arial" w:eastAsia="Arial" w:hAnsi="Arial"/>
                <w:sz w:val="17"/>
                <w:szCs w:val="17"/>
                <w:color w:val="auto"/>
              </w:rPr>
              <w:t>Potlatch Corporation</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Minnesota, International Falls</w:t>
            </w:r>
          </w:p>
        </w:tc>
        <w:tc>
          <w:tcPr>
            <w:tcW w:w="6700" w:type="dxa"/>
            <w:vAlign w:val="bottom"/>
          </w:tcPr>
          <w:p>
            <w:pPr>
              <w:ind w:left="740"/>
              <w:spacing w:after="0"/>
              <w:rPr>
                <w:sz w:val="20"/>
                <w:szCs w:val="20"/>
                <w:color w:val="auto"/>
              </w:rPr>
            </w:pPr>
            <w:r>
              <w:rPr>
                <w:rFonts w:ascii="Arial" w:cs="Arial" w:eastAsia="Arial" w:hAnsi="Arial"/>
                <w:sz w:val="17"/>
                <w:szCs w:val="17"/>
                <w:color w:val="auto"/>
              </w:rPr>
              <w:t>Boise Cascade Corporation</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New York, Oswego</w:t>
            </w:r>
          </w:p>
        </w:tc>
        <w:tc>
          <w:tcPr>
            <w:tcW w:w="6700" w:type="dxa"/>
            <w:vAlign w:val="bottom"/>
          </w:tcPr>
          <w:p>
            <w:pPr>
              <w:ind w:left="740"/>
              <w:spacing w:after="0"/>
              <w:rPr>
                <w:sz w:val="20"/>
                <w:szCs w:val="20"/>
                <w:color w:val="auto"/>
              </w:rPr>
            </w:pPr>
            <w:r>
              <w:rPr>
                <w:rFonts w:ascii="Arial" w:cs="Arial" w:eastAsia="Arial" w:hAnsi="Arial"/>
                <w:sz w:val="17"/>
                <w:szCs w:val="17"/>
                <w:color w:val="auto"/>
              </w:rPr>
              <w:t>International Paper Company</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New York, Ticonderoga</w:t>
            </w:r>
          </w:p>
        </w:tc>
        <w:tc>
          <w:tcPr>
            <w:tcW w:w="6700" w:type="dxa"/>
            <w:vAlign w:val="bottom"/>
          </w:tcPr>
          <w:p>
            <w:pPr>
              <w:ind w:left="740"/>
              <w:spacing w:after="0"/>
              <w:rPr>
                <w:sz w:val="20"/>
                <w:szCs w:val="20"/>
                <w:color w:val="auto"/>
              </w:rPr>
            </w:pPr>
            <w:r>
              <w:rPr>
                <w:rFonts w:ascii="Arial" w:cs="Arial" w:eastAsia="Arial" w:hAnsi="Arial"/>
                <w:sz w:val="17"/>
                <w:szCs w:val="17"/>
                <w:color w:val="auto"/>
              </w:rPr>
              <w:t>International Paper Company</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North Carolina, Plymouth</w:t>
            </w:r>
          </w:p>
        </w:tc>
        <w:tc>
          <w:tcPr>
            <w:tcW w:w="6700" w:type="dxa"/>
            <w:vAlign w:val="bottom"/>
          </w:tcPr>
          <w:p>
            <w:pPr>
              <w:ind w:left="740"/>
              <w:spacing w:after="0"/>
              <w:rPr>
                <w:sz w:val="20"/>
                <w:szCs w:val="20"/>
                <w:color w:val="auto"/>
              </w:rPr>
            </w:pPr>
            <w:r>
              <w:rPr>
                <w:rFonts w:ascii="Arial" w:cs="Arial" w:eastAsia="Arial" w:hAnsi="Arial"/>
                <w:sz w:val="17"/>
                <w:szCs w:val="17"/>
                <w:color w:val="auto"/>
              </w:rPr>
              <w:t>Weyerhaeuser Company</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Ohio, Chillicothe</w:t>
            </w:r>
          </w:p>
        </w:tc>
        <w:tc>
          <w:tcPr>
            <w:tcW w:w="6700" w:type="dxa"/>
            <w:vAlign w:val="bottom"/>
          </w:tcPr>
          <w:p>
            <w:pPr>
              <w:ind w:left="740"/>
              <w:spacing w:after="0"/>
              <w:rPr>
                <w:sz w:val="20"/>
                <w:szCs w:val="20"/>
                <w:color w:val="auto"/>
              </w:rPr>
            </w:pPr>
            <w:r>
              <w:rPr>
                <w:rFonts w:ascii="Arial" w:cs="Arial" w:eastAsia="Arial" w:hAnsi="Arial"/>
                <w:sz w:val="17"/>
                <w:szCs w:val="17"/>
                <w:color w:val="auto"/>
              </w:rPr>
              <w:t>The Mead Corporation</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Ohio, West Carrollton</w:t>
            </w:r>
          </w:p>
        </w:tc>
        <w:tc>
          <w:tcPr>
            <w:tcW w:w="6700" w:type="dxa"/>
            <w:vAlign w:val="bottom"/>
          </w:tcPr>
          <w:p>
            <w:pPr>
              <w:ind w:left="740"/>
              <w:spacing w:after="0"/>
              <w:rPr>
                <w:sz w:val="20"/>
                <w:szCs w:val="20"/>
                <w:color w:val="auto"/>
              </w:rPr>
            </w:pPr>
            <w:r>
              <w:rPr>
                <w:rFonts w:ascii="Arial" w:cs="Arial" w:eastAsia="Arial" w:hAnsi="Arial"/>
                <w:sz w:val="17"/>
                <w:szCs w:val="17"/>
                <w:color w:val="auto"/>
              </w:rPr>
              <w:t>Appleton Papers Inc.</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Pennsylvania, Erie</w:t>
            </w:r>
          </w:p>
        </w:tc>
        <w:tc>
          <w:tcPr>
            <w:tcW w:w="6700" w:type="dxa"/>
            <w:vAlign w:val="bottom"/>
          </w:tcPr>
          <w:p>
            <w:pPr>
              <w:ind w:left="740"/>
              <w:spacing w:after="0"/>
              <w:rPr>
                <w:sz w:val="20"/>
                <w:szCs w:val="20"/>
                <w:color w:val="auto"/>
              </w:rPr>
            </w:pPr>
            <w:r>
              <w:rPr>
                <w:rFonts w:ascii="Arial" w:cs="Arial" w:eastAsia="Arial" w:hAnsi="Arial"/>
                <w:sz w:val="17"/>
                <w:szCs w:val="17"/>
                <w:color w:val="auto"/>
              </w:rPr>
              <w:t>International Paper Company</w:t>
            </w:r>
          </w:p>
        </w:tc>
      </w:tr>
      <w:tr>
        <w:trPr>
          <w:trHeight w:val="601"/>
        </w:trPr>
        <w:tc>
          <w:tcPr>
            <w:tcW w:w="2780" w:type="dxa"/>
            <w:vAlign w:val="bottom"/>
          </w:tcPr>
          <w:p>
            <w:pPr>
              <w:spacing w:after="0"/>
              <w:rPr>
                <w:sz w:val="20"/>
                <w:szCs w:val="20"/>
                <w:color w:val="auto"/>
              </w:rPr>
            </w:pPr>
            <w:r>
              <w:rPr>
                <w:rFonts w:ascii="Arial" w:cs="Arial" w:eastAsia="Arial" w:hAnsi="Arial"/>
                <w:sz w:val="17"/>
                <w:szCs w:val="17"/>
                <w:color w:val="auto"/>
              </w:rPr>
              <w:t xml:space="preserve">Pennsylvania, Lock Haven </w:t>
            </w:r>
            <w:r>
              <w:rPr>
                <w:rFonts w:ascii="Arial" w:cs="Arial" w:eastAsia="Arial" w:hAnsi="Arial"/>
                <w:sz w:val="28"/>
                <w:szCs w:val="28"/>
                <w:color w:val="auto"/>
                <w:vertAlign w:val="superscript"/>
              </w:rPr>
              <w:t>3</w:t>
            </w:r>
          </w:p>
        </w:tc>
        <w:tc>
          <w:tcPr>
            <w:tcW w:w="6700" w:type="dxa"/>
            <w:vAlign w:val="bottom"/>
          </w:tcPr>
          <w:p>
            <w:pPr>
              <w:ind w:left="740"/>
              <w:spacing w:after="0"/>
              <w:rPr>
                <w:sz w:val="20"/>
                <w:szCs w:val="20"/>
                <w:color w:val="auto"/>
              </w:rPr>
            </w:pPr>
            <w:r>
              <w:rPr>
                <w:rFonts w:ascii="Arial" w:cs="Arial" w:eastAsia="Arial" w:hAnsi="Arial"/>
                <w:sz w:val="17"/>
                <w:szCs w:val="17"/>
                <w:color w:val="auto"/>
              </w:rPr>
              <w:t>International Paper Company</w:t>
            </w:r>
          </w:p>
        </w:tc>
      </w:tr>
      <w:tr>
        <w:trPr>
          <w:trHeight w:val="329"/>
        </w:trPr>
        <w:tc>
          <w:tcPr>
            <w:tcW w:w="2780" w:type="dxa"/>
            <w:vAlign w:val="bottom"/>
          </w:tcPr>
          <w:p>
            <w:pPr>
              <w:spacing w:after="0"/>
              <w:rPr>
                <w:sz w:val="20"/>
                <w:szCs w:val="20"/>
                <w:color w:val="auto"/>
              </w:rPr>
            </w:pPr>
            <w:r>
              <w:rPr>
                <w:rFonts w:ascii="Arial" w:cs="Arial" w:eastAsia="Arial" w:hAnsi="Arial"/>
                <w:sz w:val="17"/>
                <w:szCs w:val="17"/>
                <w:color w:val="auto"/>
              </w:rPr>
              <w:t>Poland, Kwidzyn</w:t>
            </w:r>
          </w:p>
        </w:tc>
        <w:tc>
          <w:tcPr>
            <w:tcW w:w="6700" w:type="dxa"/>
            <w:vAlign w:val="bottom"/>
          </w:tcPr>
          <w:p>
            <w:pPr>
              <w:ind w:left="740"/>
              <w:spacing w:after="0"/>
              <w:rPr>
                <w:sz w:val="20"/>
                <w:szCs w:val="20"/>
                <w:color w:val="auto"/>
              </w:rPr>
            </w:pPr>
            <w:r>
              <w:rPr>
                <w:rFonts w:ascii="Arial" w:cs="Arial" w:eastAsia="Arial" w:hAnsi="Arial"/>
                <w:sz w:val="17"/>
                <w:szCs w:val="17"/>
                <w:color w:val="auto"/>
              </w:rPr>
              <w:t>International Paper Company</w:t>
            </w:r>
          </w:p>
        </w:tc>
      </w:tr>
      <w:tr>
        <w:trPr>
          <w:trHeight w:val="601"/>
        </w:trPr>
        <w:tc>
          <w:tcPr>
            <w:tcW w:w="2780" w:type="dxa"/>
            <w:vAlign w:val="bottom"/>
          </w:tcPr>
          <w:p>
            <w:pPr>
              <w:spacing w:after="0"/>
              <w:rPr>
                <w:sz w:val="20"/>
                <w:szCs w:val="20"/>
                <w:color w:val="auto"/>
              </w:rPr>
            </w:pPr>
            <w:r>
              <w:rPr>
                <w:rFonts w:ascii="Arial" w:cs="Arial" w:eastAsia="Arial" w:hAnsi="Arial"/>
                <w:sz w:val="17"/>
                <w:szCs w:val="17"/>
                <w:color w:val="auto"/>
              </w:rPr>
              <w:t xml:space="preserve">Portugal, Figueira da Foz </w:t>
            </w:r>
            <w:r>
              <w:rPr>
                <w:rFonts w:ascii="Arial" w:cs="Arial" w:eastAsia="Arial" w:hAnsi="Arial"/>
                <w:sz w:val="28"/>
                <w:szCs w:val="28"/>
                <w:color w:val="auto"/>
                <w:vertAlign w:val="superscript"/>
              </w:rPr>
              <w:t>1</w:t>
            </w:r>
          </w:p>
        </w:tc>
        <w:tc>
          <w:tcPr>
            <w:tcW w:w="6700" w:type="dxa"/>
            <w:vAlign w:val="bottom"/>
          </w:tcPr>
          <w:p>
            <w:pPr>
              <w:ind w:left="740"/>
              <w:spacing w:after="0"/>
              <w:rPr>
                <w:sz w:val="20"/>
                <w:szCs w:val="20"/>
                <w:color w:val="auto"/>
              </w:rPr>
            </w:pPr>
            <w:r>
              <w:rPr>
                <w:rFonts w:ascii="Arial" w:cs="Arial" w:eastAsia="Arial" w:hAnsi="Arial"/>
                <w:sz w:val="17"/>
                <w:szCs w:val="17"/>
                <w:color w:val="auto"/>
              </w:rPr>
              <w:t>Soporcel - Sociedade Portuguesa de Papel, S.A.</w:t>
            </w:r>
          </w:p>
        </w:tc>
      </w:tr>
      <w:tr>
        <w:trPr>
          <w:trHeight w:val="329"/>
        </w:trPr>
        <w:tc>
          <w:tcPr>
            <w:tcW w:w="2780" w:type="dxa"/>
            <w:vAlign w:val="bottom"/>
          </w:tcPr>
          <w:p>
            <w:pPr>
              <w:spacing w:after="0"/>
              <w:rPr>
                <w:sz w:val="20"/>
                <w:szCs w:val="20"/>
                <w:color w:val="auto"/>
              </w:rPr>
            </w:pPr>
            <w:r>
              <w:rPr>
                <w:rFonts w:ascii="Arial" w:cs="Arial" w:eastAsia="Arial" w:hAnsi="Arial"/>
                <w:sz w:val="17"/>
                <w:szCs w:val="17"/>
                <w:color w:val="auto"/>
              </w:rPr>
              <w:t>Slovakia, Ruzomberok</w:t>
            </w:r>
          </w:p>
        </w:tc>
        <w:tc>
          <w:tcPr>
            <w:tcW w:w="6700" w:type="dxa"/>
            <w:vAlign w:val="bottom"/>
          </w:tcPr>
          <w:p>
            <w:pPr>
              <w:ind w:left="740"/>
              <w:spacing w:after="0"/>
              <w:rPr>
                <w:sz w:val="20"/>
                <w:szCs w:val="20"/>
                <w:color w:val="auto"/>
              </w:rPr>
            </w:pPr>
            <w:r>
              <w:rPr>
                <w:rFonts w:ascii="Arial" w:cs="Arial" w:eastAsia="Arial" w:hAnsi="Arial"/>
                <w:sz w:val="17"/>
                <w:szCs w:val="17"/>
                <w:color w:val="auto"/>
              </w:rPr>
              <w:t>Severoslovenske Celulozky a Papierne a.s.</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South Carolina, Eastover</w:t>
            </w:r>
          </w:p>
        </w:tc>
        <w:tc>
          <w:tcPr>
            <w:tcW w:w="6700" w:type="dxa"/>
            <w:vAlign w:val="bottom"/>
          </w:tcPr>
          <w:p>
            <w:pPr>
              <w:ind w:left="740"/>
              <w:spacing w:after="0"/>
              <w:rPr>
                <w:sz w:val="20"/>
                <w:szCs w:val="20"/>
                <w:color w:val="auto"/>
              </w:rPr>
            </w:pPr>
            <w:r>
              <w:rPr>
                <w:rFonts w:ascii="Arial" w:cs="Arial" w:eastAsia="Arial" w:hAnsi="Arial"/>
                <w:sz w:val="17"/>
                <w:szCs w:val="17"/>
                <w:color w:val="auto"/>
              </w:rPr>
              <w:t>International Paper Company</w:t>
            </w:r>
          </w:p>
        </w:tc>
      </w:tr>
      <w:tr>
        <w:trPr>
          <w:trHeight w:val="601"/>
        </w:trPr>
        <w:tc>
          <w:tcPr>
            <w:tcW w:w="2780" w:type="dxa"/>
            <w:vAlign w:val="bottom"/>
          </w:tcPr>
          <w:p>
            <w:pPr>
              <w:spacing w:after="0"/>
              <w:rPr>
                <w:sz w:val="20"/>
                <w:szCs w:val="20"/>
                <w:color w:val="auto"/>
              </w:rPr>
            </w:pPr>
            <w:r>
              <w:rPr>
                <w:rFonts w:ascii="Arial" w:cs="Arial" w:eastAsia="Arial" w:hAnsi="Arial"/>
                <w:sz w:val="17"/>
                <w:szCs w:val="17"/>
                <w:color w:val="auto"/>
              </w:rPr>
              <w:t xml:space="preserve">South Africa, Merebank </w:t>
            </w:r>
            <w:r>
              <w:rPr>
                <w:rFonts w:ascii="Arial" w:cs="Arial" w:eastAsia="Arial" w:hAnsi="Arial"/>
                <w:sz w:val="28"/>
                <w:szCs w:val="28"/>
                <w:color w:val="auto"/>
                <w:vertAlign w:val="superscript"/>
              </w:rPr>
              <w:t>1</w:t>
            </w:r>
          </w:p>
        </w:tc>
        <w:tc>
          <w:tcPr>
            <w:tcW w:w="6700" w:type="dxa"/>
            <w:vAlign w:val="bottom"/>
          </w:tcPr>
          <w:p>
            <w:pPr>
              <w:ind w:left="740"/>
              <w:spacing w:after="0"/>
              <w:rPr>
                <w:sz w:val="20"/>
                <w:szCs w:val="20"/>
                <w:color w:val="auto"/>
              </w:rPr>
            </w:pPr>
            <w:r>
              <w:rPr>
                <w:rFonts w:ascii="Arial" w:cs="Arial" w:eastAsia="Arial" w:hAnsi="Arial"/>
                <w:sz w:val="17"/>
                <w:szCs w:val="17"/>
                <w:color w:val="auto"/>
              </w:rPr>
              <w:t>Mondi Paper Company Ltd.</w:t>
            </w:r>
          </w:p>
        </w:tc>
      </w:tr>
      <w:tr>
        <w:trPr>
          <w:trHeight w:val="329"/>
        </w:trPr>
        <w:tc>
          <w:tcPr>
            <w:tcW w:w="2780" w:type="dxa"/>
            <w:vAlign w:val="bottom"/>
          </w:tcPr>
          <w:p>
            <w:pPr>
              <w:spacing w:after="0"/>
              <w:rPr>
                <w:sz w:val="24"/>
                <w:szCs w:val="24"/>
                <w:color w:val="auto"/>
              </w:rPr>
            </w:pPr>
          </w:p>
        </w:tc>
        <w:tc>
          <w:tcPr>
            <w:tcW w:w="6700" w:type="dxa"/>
            <w:vAlign w:val="bottom"/>
          </w:tcPr>
          <w:p>
            <w:pPr>
              <w:ind w:left="1920"/>
              <w:spacing w:after="0"/>
              <w:rPr>
                <w:sz w:val="20"/>
                <w:szCs w:val="20"/>
                <w:color w:val="auto"/>
              </w:rPr>
            </w:pPr>
            <w:r>
              <w:rPr>
                <w:rFonts w:ascii="Arial" w:cs="Arial" w:eastAsia="Arial" w:hAnsi="Arial"/>
                <w:sz w:val="17"/>
                <w:szCs w:val="17"/>
                <w:color w:val="auto"/>
              </w:rPr>
              <w:t>8</w:t>
            </w:r>
          </w:p>
        </w:tc>
      </w:tr>
      <w:tr>
        <w:trPr>
          <w:trHeight w:val="179"/>
        </w:trPr>
        <w:tc>
          <w:tcPr>
            <w:tcW w:w="2780" w:type="dxa"/>
            <w:vAlign w:val="bottom"/>
            <w:tcBorders>
              <w:bottom w:val="single" w:sz="8" w:color="9A9A9A"/>
            </w:tcBorders>
          </w:tcPr>
          <w:p>
            <w:pPr>
              <w:spacing w:after="0"/>
              <w:rPr>
                <w:sz w:val="15"/>
                <w:szCs w:val="15"/>
                <w:color w:val="auto"/>
              </w:rPr>
            </w:pPr>
          </w:p>
        </w:tc>
        <w:tc>
          <w:tcPr>
            <w:tcW w:w="6700" w:type="dxa"/>
            <w:vAlign w:val="bottom"/>
            <w:tcBorders>
              <w:bottom w:val="single" w:sz="8" w:color="9A9A9A"/>
            </w:tcBorders>
          </w:tcPr>
          <w:p>
            <w:pPr>
              <w:spacing w:after="0"/>
              <w:rPr>
                <w:sz w:val="15"/>
                <w:szCs w:val="15"/>
                <w:color w:val="auto"/>
              </w:rPr>
            </w:pPr>
          </w:p>
        </w:tc>
      </w:tr>
      <w:tr>
        <w:trPr>
          <w:trHeight w:val="652"/>
        </w:trPr>
        <w:tc>
          <w:tcPr>
            <w:tcW w:w="2780" w:type="dxa"/>
            <w:vAlign w:val="bottom"/>
          </w:tcPr>
          <w:p>
            <w:pPr>
              <w:spacing w:after="0"/>
              <w:rPr>
                <w:sz w:val="20"/>
                <w:szCs w:val="20"/>
                <w:color w:val="auto"/>
              </w:rPr>
            </w:pPr>
            <w:r>
              <w:rPr>
                <w:rFonts w:ascii="Arial" w:cs="Arial" w:eastAsia="Arial" w:hAnsi="Arial"/>
                <w:sz w:val="17"/>
                <w:szCs w:val="17"/>
                <w:color w:val="auto"/>
              </w:rPr>
              <w:t>Tennessee, Kingsport</w:t>
            </w:r>
          </w:p>
        </w:tc>
        <w:tc>
          <w:tcPr>
            <w:tcW w:w="6700" w:type="dxa"/>
            <w:vAlign w:val="bottom"/>
          </w:tcPr>
          <w:p>
            <w:pPr>
              <w:ind w:left="740"/>
              <w:spacing w:after="0"/>
              <w:rPr>
                <w:sz w:val="20"/>
                <w:szCs w:val="20"/>
                <w:color w:val="auto"/>
              </w:rPr>
            </w:pPr>
            <w:r>
              <w:rPr>
                <w:rFonts w:ascii="Arial" w:cs="Arial" w:eastAsia="Arial" w:hAnsi="Arial"/>
                <w:sz w:val="17"/>
                <w:szCs w:val="17"/>
                <w:color w:val="auto"/>
              </w:rPr>
              <w:t>Willamette Industries Inc.</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Texas, Pasadena</w:t>
            </w:r>
          </w:p>
        </w:tc>
        <w:tc>
          <w:tcPr>
            <w:tcW w:w="6700" w:type="dxa"/>
            <w:vAlign w:val="bottom"/>
          </w:tcPr>
          <w:p>
            <w:pPr>
              <w:ind w:left="740"/>
              <w:spacing w:after="0"/>
              <w:rPr>
                <w:sz w:val="20"/>
                <w:szCs w:val="20"/>
                <w:color w:val="auto"/>
              </w:rPr>
            </w:pPr>
            <w:r>
              <w:rPr>
                <w:rFonts w:ascii="Arial" w:cs="Arial" w:eastAsia="Arial" w:hAnsi="Arial"/>
                <w:sz w:val="17"/>
                <w:szCs w:val="17"/>
                <w:color w:val="auto"/>
              </w:rPr>
              <w:t>Pasadena Paper Company LP</w:t>
            </w:r>
          </w:p>
        </w:tc>
      </w:tr>
      <w:tr>
        <w:trPr>
          <w:trHeight w:val="601"/>
        </w:trPr>
        <w:tc>
          <w:tcPr>
            <w:tcW w:w="2780" w:type="dxa"/>
            <w:vAlign w:val="bottom"/>
          </w:tcPr>
          <w:p>
            <w:pPr>
              <w:spacing w:after="0"/>
              <w:rPr>
                <w:sz w:val="20"/>
                <w:szCs w:val="20"/>
                <w:color w:val="auto"/>
              </w:rPr>
            </w:pPr>
            <w:r>
              <w:rPr>
                <w:rFonts w:ascii="Arial" w:cs="Arial" w:eastAsia="Arial" w:hAnsi="Arial"/>
                <w:sz w:val="17"/>
                <w:szCs w:val="17"/>
                <w:color w:val="auto"/>
              </w:rPr>
              <w:t>Thailand, Tha Toom</w:t>
            </w:r>
            <w:r>
              <w:rPr>
                <w:rFonts w:ascii="Arial" w:cs="Arial" w:eastAsia="Arial" w:hAnsi="Arial"/>
                <w:sz w:val="28"/>
                <w:szCs w:val="28"/>
                <w:color w:val="auto"/>
                <w:vertAlign w:val="superscript"/>
              </w:rPr>
              <w:t>1</w:t>
            </w:r>
          </w:p>
        </w:tc>
        <w:tc>
          <w:tcPr>
            <w:tcW w:w="6700" w:type="dxa"/>
            <w:vAlign w:val="bottom"/>
          </w:tcPr>
          <w:p>
            <w:pPr>
              <w:ind w:left="740"/>
              <w:spacing w:after="0"/>
              <w:rPr>
                <w:sz w:val="20"/>
                <w:szCs w:val="20"/>
                <w:color w:val="auto"/>
              </w:rPr>
            </w:pPr>
            <w:r>
              <w:rPr>
                <w:rFonts w:ascii="Arial" w:cs="Arial" w:eastAsia="Arial" w:hAnsi="Arial"/>
                <w:sz w:val="17"/>
                <w:szCs w:val="17"/>
                <w:color w:val="auto"/>
              </w:rPr>
              <w:t>Advance Agro Public Co. Ltd.</w:t>
            </w:r>
          </w:p>
        </w:tc>
      </w:tr>
      <w:tr>
        <w:trPr>
          <w:trHeight w:val="329"/>
        </w:trPr>
        <w:tc>
          <w:tcPr>
            <w:tcW w:w="2780" w:type="dxa"/>
            <w:vAlign w:val="bottom"/>
          </w:tcPr>
          <w:p>
            <w:pPr>
              <w:spacing w:after="0"/>
              <w:rPr>
                <w:sz w:val="20"/>
                <w:szCs w:val="20"/>
                <w:color w:val="auto"/>
              </w:rPr>
            </w:pPr>
            <w:r>
              <w:rPr>
                <w:rFonts w:ascii="Arial" w:cs="Arial" w:eastAsia="Arial" w:hAnsi="Arial"/>
                <w:sz w:val="17"/>
                <w:szCs w:val="17"/>
                <w:color w:val="auto"/>
              </w:rPr>
              <w:t>Virginia, Franklin</w:t>
            </w:r>
          </w:p>
        </w:tc>
        <w:tc>
          <w:tcPr>
            <w:tcW w:w="6700" w:type="dxa"/>
            <w:vAlign w:val="bottom"/>
          </w:tcPr>
          <w:p>
            <w:pPr>
              <w:ind w:left="740"/>
              <w:spacing w:after="0"/>
              <w:rPr>
                <w:sz w:val="20"/>
                <w:szCs w:val="20"/>
                <w:color w:val="auto"/>
              </w:rPr>
            </w:pPr>
            <w:r>
              <w:rPr>
                <w:rFonts w:ascii="Arial" w:cs="Arial" w:eastAsia="Arial" w:hAnsi="Arial"/>
                <w:sz w:val="17"/>
                <w:szCs w:val="17"/>
                <w:color w:val="auto"/>
              </w:rPr>
              <w:t>International Paper Company</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Washington, Camas</w:t>
            </w:r>
          </w:p>
        </w:tc>
        <w:tc>
          <w:tcPr>
            <w:tcW w:w="6700" w:type="dxa"/>
            <w:vAlign w:val="bottom"/>
          </w:tcPr>
          <w:p>
            <w:pPr>
              <w:ind w:left="740"/>
              <w:spacing w:after="0"/>
              <w:rPr>
                <w:sz w:val="20"/>
                <w:szCs w:val="20"/>
                <w:color w:val="auto"/>
              </w:rPr>
            </w:pPr>
            <w:r>
              <w:rPr>
                <w:rFonts w:ascii="Arial" w:cs="Arial" w:eastAsia="Arial" w:hAnsi="Arial"/>
                <w:sz w:val="17"/>
                <w:szCs w:val="17"/>
                <w:color w:val="auto"/>
              </w:rPr>
              <w:t>James River Corporation</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Washington, Longview</w:t>
            </w:r>
          </w:p>
        </w:tc>
        <w:tc>
          <w:tcPr>
            <w:tcW w:w="6700" w:type="dxa"/>
            <w:vAlign w:val="bottom"/>
          </w:tcPr>
          <w:p>
            <w:pPr>
              <w:ind w:left="740"/>
              <w:spacing w:after="0"/>
              <w:rPr>
                <w:sz w:val="20"/>
                <w:szCs w:val="20"/>
                <w:color w:val="auto"/>
              </w:rPr>
            </w:pPr>
            <w:r>
              <w:rPr>
                <w:rFonts w:ascii="Arial" w:cs="Arial" w:eastAsia="Arial" w:hAnsi="Arial"/>
                <w:sz w:val="17"/>
                <w:szCs w:val="17"/>
                <w:color w:val="auto"/>
              </w:rPr>
              <w:t>Weyerhaeuser Company</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Washington, Wallula</w:t>
            </w:r>
          </w:p>
        </w:tc>
        <w:tc>
          <w:tcPr>
            <w:tcW w:w="6700" w:type="dxa"/>
            <w:vAlign w:val="bottom"/>
          </w:tcPr>
          <w:p>
            <w:pPr>
              <w:ind w:left="740"/>
              <w:spacing w:after="0"/>
              <w:rPr>
                <w:sz w:val="20"/>
                <w:szCs w:val="20"/>
                <w:color w:val="auto"/>
              </w:rPr>
            </w:pPr>
            <w:r>
              <w:rPr>
                <w:rFonts w:ascii="Arial" w:cs="Arial" w:eastAsia="Arial" w:hAnsi="Arial"/>
                <w:sz w:val="17"/>
                <w:szCs w:val="17"/>
                <w:color w:val="auto"/>
              </w:rPr>
              <w:t>Boise Cascade Corporation</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Wisconsin, Kimberly</w:t>
            </w:r>
          </w:p>
        </w:tc>
        <w:tc>
          <w:tcPr>
            <w:tcW w:w="6700" w:type="dxa"/>
            <w:vAlign w:val="bottom"/>
          </w:tcPr>
          <w:p>
            <w:pPr>
              <w:ind w:left="740"/>
              <w:spacing w:after="0"/>
              <w:rPr>
                <w:sz w:val="20"/>
                <w:szCs w:val="20"/>
                <w:color w:val="auto"/>
              </w:rPr>
            </w:pPr>
            <w:r>
              <w:rPr>
                <w:rFonts w:ascii="Arial" w:cs="Arial" w:eastAsia="Arial" w:hAnsi="Arial"/>
                <w:sz w:val="17"/>
                <w:szCs w:val="17"/>
                <w:color w:val="auto"/>
              </w:rPr>
              <w:t>Inter Lake Papers, Inc. (a subsidiary of Consolidated Papers Inc.)</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Wisconsin, Park Falls</w:t>
            </w:r>
          </w:p>
        </w:tc>
        <w:tc>
          <w:tcPr>
            <w:tcW w:w="6700" w:type="dxa"/>
            <w:vAlign w:val="bottom"/>
          </w:tcPr>
          <w:p>
            <w:pPr>
              <w:ind w:left="740"/>
              <w:spacing w:after="0"/>
              <w:rPr>
                <w:sz w:val="20"/>
                <w:szCs w:val="20"/>
                <w:color w:val="auto"/>
              </w:rPr>
            </w:pPr>
            <w:r>
              <w:rPr>
                <w:rFonts w:ascii="Arial" w:cs="Arial" w:eastAsia="Arial" w:hAnsi="Arial"/>
                <w:sz w:val="17"/>
                <w:szCs w:val="17"/>
                <w:color w:val="auto"/>
              </w:rPr>
              <w:t>Fraser Papers Inc.</w:t>
            </w:r>
          </w:p>
        </w:tc>
      </w:tr>
      <w:tr>
        <w:trPr>
          <w:trHeight w:val="445"/>
        </w:trPr>
        <w:tc>
          <w:tcPr>
            <w:tcW w:w="2780" w:type="dxa"/>
            <w:vAlign w:val="bottom"/>
          </w:tcPr>
          <w:p>
            <w:pPr>
              <w:spacing w:after="0"/>
              <w:rPr>
                <w:sz w:val="20"/>
                <w:szCs w:val="20"/>
                <w:color w:val="auto"/>
              </w:rPr>
            </w:pPr>
            <w:r>
              <w:rPr>
                <w:rFonts w:ascii="Arial" w:cs="Arial" w:eastAsia="Arial" w:hAnsi="Arial"/>
                <w:sz w:val="17"/>
                <w:szCs w:val="17"/>
                <w:color w:val="auto"/>
              </w:rPr>
              <w:t>Wisconsin, Wisconsin Rapids</w:t>
            </w:r>
          </w:p>
        </w:tc>
        <w:tc>
          <w:tcPr>
            <w:tcW w:w="6700" w:type="dxa"/>
            <w:vAlign w:val="bottom"/>
          </w:tcPr>
          <w:p>
            <w:pPr>
              <w:ind w:left="740"/>
              <w:spacing w:after="0"/>
              <w:rPr>
                <w:sz w:val="20"/>
                <w:szCs w:val="20"/>
                <w:color w:val="auto"/>
              </w:rPr>
            </w:pPr>
            <w:r>
              <w:rPr>
                <w:rFonts w:ascii="Arial" w:cs="Arial" w:eastAsia="Arial" w:hAnsi="Arial"/>
                <w:sz w:val="17"/>
                <w:szCs w:val="17"/>
                <w:color w:val="auto"/>
              </w:rPr>
              <w:t>Stora Enso 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6000750</wp:posOffset>
            </wp:positionH>
            <wp:positionV relativeFrom="paragraph">
              <wp:posOffset>-3012440</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-3012440</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099"/>
          </w:cols>
          <w:pgMar w:left="360" w:top="576" w:right="1440" w:bottom="0" w:gutter="0" w:footer="0" w:header="0"/>
        </w:sectPr>
      </w:pPr>
    </w:p>
    <w:bookmarkStart w:id="9" w:name="page10"/>
    <w:bookmarkEnd w:id="9"/>
    <w:p>
      <w:pPr>
        <w:spacing w:after="0"/>
        <w:rPr>
          <w:sz w:val="20"/>
          <w:szCs w:val="20"/>
          <w:color w:val="auto"/>
        </w:rPr>
      </w:pPr>
      <w:r>
        <w:rPr>
          <w:rFonts w:ascii="Arial" w:cs="Arial" w:eastAsia="Arial" w:hAnsi="Arial"/>
          <w:sz w:val="11"/>
          <w:szCs w:val="11"/>
          <w:color w:val="auto"/>
        </w:rPr>
        <w:t>1 These plants are owned through joint ventures.</w:t>
      </w:r>
    </w:p>
    <w:p>
      <w:pPr>
        <w:ind w:left="80" w:hanging="75"/>
        <w:spacing w:after="0" w:line="191" w:lineRule="auto"/>
        <w:tabs>
          <w:tab w:leader="none" w:pos="80" w:val="left"/>
        </w:tabs>
        <w:numPr>
          <w:ilvl w:val="0"/>
          <w:numId w:val="2"/>
        </w:numPr>
        <w:rPr>
          <w:rFonts w:ascii="Arial" w:cs="Arial" w:eastAsia="Arial" w:hAnsi="Arial"/>
          <w:sz w:val="16"/>
          <w:szCs w:val="16"/>
          <w:color w:val="auto"/>
          <w:vertAlign w:val="superscript"/>
        </w:rPr>
      </w:pPr>
      <w:r>
        <w:rPr>
          <w:rFonts w:ascii="Arial" w:cs="Arial" w:eastAsia="Arial" w:hAnsi="Arial"/>
          <w:sz w:val="10"/>
          <w:szCs w:val="10"/>
          <w:color w:val="auto"/>
        </w:rPr>
        <w:t>This PCC plant is not located on-site at the paper mill.</w:t>
      </w:r>
    </w:p>
    <w:p>
      <w:pPr>
        <w:ind w:left="80" w:hanging="75"/>
        <w:spacing w:after="0" w:line="187" w:lineRule="auto"/>
        <w:tabs>
          <w:tab w:leader="none" w:pos="80" w:val="left"/>
        </w:tabs>
        <w:numPr>
          <w:ilvl w:val="0"/>
          <w:numId w:val="3"/>
        </w:numPr>
        <w:rPr>
          <w:rFonts w:ascii="Arial" w:cs="Arial" w:eastAsia="Arial" w:hAnsi="Arial"/>
          <w:sz w:val="17"/>
          <w:szCs w:val="17"/>
          <w:color w:val="auto"/>
          <w:vertAlign w:val="superscript"/>
        </w:rPr>
      </w:pPr>
      <w:r>
        <w:rPr>
          <w:rFonts w:ascii="Arial" w:cs="Arial" w:eastAsia="Arial" w:hAnsi="Arial"/>
          <w:sz w:val="10"/>
          <w:szCs w:val="10"/>
          <w:color w:val="auto"/>
        </w:rPr>
        <w:t>These PCC plants are expected to cease operation in 2001.</w:t>
      </w:r>
    </w:p>
    <w:p>
      <w:pPr>
        <w:spacing w:after="0" w:line="156" w:lineRule="exact"/>
        <w:rPr>
          <w:sz w:val="20"/>
          <w:szCs w:val="20"/>
          <w:color w:val="auto"/>
        </w:rPr>
      </w:pPr>
    </w:p>
    <w:p>
      <w:pPr>
        <w:ind w:firstLine="210"/>
        <w:spacing w:after="0" w:line="265" w:lineRule="auto"/>
        <w:rPr>
          <w:sz w:val="20"/>
          <w:szCs w:val="20"/>
          <w:color w:val="auto"/>
        </w:rPr>
      </w:pPr>
      <w:r>
        <w:rPr>
          <w:rFonts w:ascii="Arial" w:cs="Arial" w:eastAsia="Arial" w:hAnsi="Arial"/>
          <w:sz w:val="17"/>
          <w:szCs w:val="17"/>
          <w:color w:val="auto"/>
        </w:rPr>
        <w:t>The Company also owned at December 31, 2000 seven plants engaged in the mining, processing and/or production of lime, limestone, precipitated calcium carbonate, and talc and directly or indirectly owns or leases approximately 16 refractory manufacturing facilities worldwide. The Company's corporate headquarters, sales offices, research laboratories, plants and other facilities are owned by the Company except as otherwise noted. Set forth below is certain information relating to the Company's plants and office and research facilities.</w:t>
      </w:r>
    </w:p>
    <w:p>
      <w:pPr>
        <w:sectPr>
          <w:pgSz w:w="11900" w:h="16838" w:orient="portrait"/>
          <w:cols w:equalWidth="0" w:num="1">
            <w:col w:w="11220"/>
          </w:cols>
          <w:pgMar w:left="240" w:top="244" w:right="439" w:bottom="0" w:gutter="0" w:footer="0" w:header="0"/>
        </w:sect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auto"/>
        </w:rPr>
        <w:t>Location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United States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tabs>
          <w:tab w:leader="none" w:pos="2340" w:val="left"/>
        </w:tabs>
        <w:rPr>
          <w:sz w:val="20"/>
          <w:szCs w:val="20"/>
          <w:color w:val="auto"/>
        </w:rPr>
      </w:pPr>
      <w:r>
        <w:rPr>
          <w:rFonts w:ascii="Arial" w:cs="Arial" w:eastAsia="Arial" w:hAnsi="Arial"/>
          <w:sz w:val="15"/>
          <w:szCs w:val="15"/>
          <w:b w:val="1"/>
          <w:bCs w:val="1"/>
          <w:u w:val="single" w:color="auto"/>
          <w:color w:val="auto"/>
        </w:rPr>
        <w:t>Facility</w:t>
      </w:r>
      <w:r>
        <w:rPr>
          <w:sz w:val="20"/>
          <w:szCs w:val="20"/>
          <w:color w:val="auto"/>
        </w:rPr>
        <w:tab/>
      </w:r>
      <w:r>
        <w:rPr>
          <w:rFonts w:ascii="Arial" w:cs="Arial" w:eastAsia="Arial" w:hAnsi="Arial"/>
          <w:sz w:val="15"/>
          <w:szCs w:val="15"/>
          <w:b w:val="1"/>
          <w:bCs w:val="1"/>
          <w:u w:val="single" w:color="auto"/>
          <w:color w:val="auto"/>
        </w:rPr>
        <w:t>Product Line</w:t>
      </w:r>
    </w:p>
    <w:p>
      <w:pPr>
        <w:spacing w:after="0" w:line="645" w:lineRule="exact"/>
        <w:rPr>
          <w:sz w:val="20"/>
          <w:szCs w:val="20"/>
          <w:color w:val="auto"/>
        </w:rPr>
      </w:pPr>
    </w:p>
    <w:p>
      <w:pPr>
        <w:sectPr>
          <w:pgSz w:w="11900" w:h="16838" w:orient="portrait"/>
          <w:cols w:equalWidth="0" w:num="2">
            <w:col w:w="3340" w:space="720"/>
            <w:col w:w="7160"/>
          </w:cols>
          <w:pgMar w:left="240" w:top="244" w:right="439" w:bottom="0" w:gutter="0" w:footer="0" w:header="0"/>
          <w:type w:val="continuous"/>
        </w:sectPr>
      </w:pPr>
    </w:p>
    <w:p>
      <w:pPr>
        <w:spacing w:after="0" w:line="10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Arizona, Pima County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California, Los Angeles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California, Lucerne Valley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Connecticut, Canaan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Massachusetts, Adams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Mississippi, Brookhaven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Montana, Dillon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New Jersey, Old Bridge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New York, New York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Ohio, Bryan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Ohio, Dover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Pennsylvania, Bethlehem</w:t>
      </w: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Pennsylvania, Easton</w:t>
      </w: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Pennsylvania, Slippery Rock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International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Australia, Carlingford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Belgium, Brussels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Brazil, Belo Horizonte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Brazil, Sao Paulo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Brazil, Volta Redonda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Canada, Lachine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China, Huzhou</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Germany, Duisburg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Germany, Moers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Ireland, Cork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Italy, Brescia</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Japan, Gamagori</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Mexico, Gomez Palacio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Plant; Quarry</w:t>
      </w:r>
      <w:r>
        <w:rPr>
          <w:rFonts w:ascii="Arial" w:cs="Arial" w:eastAsia="Arial" w:hAnsi="Arial"/>
          <w:sz w:val="28"/>
          <w:szCs w:val="28"/>
          <w:color w:val="auto"/>
          <w:vertAlign w:val="superscript"/>
        </w:rPr>
        <w:t>4</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Sales Office</w:t>
      </w:r>
      <w:r>
        <w:rPr>
          <w:rFonts w:ascii="Arial" w:cs="Arial" w:eastAsia="Arial" w:hAnsi="Arial"/>
          <w:sz w:val="28"/>
          <w:szCs w:val="28"/>
          <w:color w:val="auto"/>
          <w:vertAlign w:val="superscript"/>
        </w:rPr>
        <w:t>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Plant; Quarry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Plant; Quarry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Plant; Quarry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Plant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Plant; Quarry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Plant</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Headquarters</w:t>
      </w:r>
      <w:r>
        <w:rPr>
          <w:rFonts w:ascii="Arial" w:cs="Arial" w:eastAsia="Arial" w:hAnsi="Arial"/>
          <w:sz w:val="22"/>
          <w:szCs w:val="22"/>
          <w:color w:val="auto"/>
          <w:vertAlign w:val="superscript"/>
        </w:rPr>
        <w:t>1</w:t>
      </w:r>
      <w:r>
        <w:rPr>
          <w:rFonts w:ascii="Arial" w:cs="Arial" w:eastAsia="Arial" w:hAnsi="Arial"/>
          <w:sz w:val="14"/>
          <w:szCs w:val="14"/>
          <w:color w:val="auto"/>
        </w:rPr>
        <w:t>; Sales Offices</w:t>
      </w:r>
      <w:r>
        <w:rPr>
          <w:rFonts w:ascii="Arial" w:cs="Arial" w:eastAsia="Arial" w:hAnsi="Arial"/>
          <w:sz w:val="22"/>
          <w:szCs w:val="22"/>
          <w:color w:val="auto"/>
          <w:vertAlign w:val="superscript"/>
        </w:rPr>
        <w:t>1</w:t>
      </w:r>
    </w:p>
    <w:p>
      <w:pPr>
        <w:spacing w:after="0" w:line="230" w:lineRule="exact"/>
        <w:rPr>
          <w:sz w:val="20"/>
          <w:szCs w:val="20"/>
          <w:color w:val="auto"/>
        </w:rPr>
      </w:pPr>
    </w:p>
    <w:p>
      <w:pPr>
        <w:jc w:val="center"/>
        <w:ind w:right="1680"/>
        <w:spacing w:after="0"/>
        <w:rPr>
          <w:sz w:val="20"/>
          <w:szCs w:val="20"/>
          <w:color w:val="auto"/>
        </w:rPr>
      </w:pPr>
      <w:r>
        <w:rPr>
          <w:rFonts w:ascii="Arial" w:cs="Arial" w:eastAsia="Arial" w:hAnsi="Arial"/>
          <w:sz w:val="15"/>
          <w:szCs w:val="15"/>
          <w:color w:val="auto"/>
        </w:rPr>
        <w:t>Plant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Plant</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Research Laboratories; Sales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Offices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Research Laboratories; Plant</w:t>
      </w:r>
    </w:p>
    <w:p>
      <w:pPr>
        <w:spacing w:after="0" w:line="200" w:lineRule="exact"/>
        <w:rPr>
          <w:sz w:val="20"/>
          <w:szCs w:val="20"/>
          <w:color w:val="auto"/>
        </w:rPr>
      </w:pPr>
    </w:p>
    <w:p>
      <w:pPr>
        <w:spacing w:after="0" w:line="282" w:lineRule="exact"/>
        <w:rPr>
          <w:sz w:val="20"/>
          <w:szCs w:val="20"/>
          <w:color w:val="auto"/>
        </w:rPr>
      </w:pPr>
    </w:p>
    <w:p>
      <w:pPr>
        <w:jc w:val="center"/>
        <w:ind w:right="1680"/>
        <w:spacing w:after="0"/>
        <w:rPr>
          <w:sz w:val="20"/>
          <w:szCs w:val="20"/>
          <w:color w:val="auto"/>
        </w:rPr>
      </w:pPr>
      <w:r>
        <w:rPr>
          <w:rFonts w:ascii="Arial" w:cs="Arial" w:eastAsia="Arial" w:hAnsi="Arial"/>
          <w:sz w:val="15"/>
          <w:szCs w:val="15"/>
          <w:color w:val="auto"/>
        </w:rPr>
        <w:t>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Sales Office</w:t>
      </w:r>
      <w:r>
        <w:rPr>
          <w:rFonts w:ascii="Arial" w:cs="Arial" w:eastAsia="Arial" w:hAnsi="Arial"/>
          <w:sz w:val="28"/>
          <w:szCs w:val="28"/>
          <w:color w:val="auto"/>
          <w:vertAlign w:val="superscript"/>
        </w:rPr>
        <w:t>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Sales Office</w:t>
      </w:r>
      <w:r>
        <w:rPr>
          <w:rFonts w:ascii="Arial" w:cs="Arial" w:eastAsia="Arial" w:hAnsi="Arial"/>
          <w:sz w:val="28"/>
          <w:szCs w:val="28"/>
          <w:color w:val="auto"/>
          <w:vertAlign w:val="superscript"/>
        </w:rPr>
        <w:t>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Sales Office</w:t>
      </w:r>
      <w:r>
        <w:rPr>
          <w:rFonts w:ascii="Arial" w:cs="Arial" w:eastAsia="Arial" w:hAnsi="Arial"/>
          <w:sz w:val="28"/>
          <w:szCs w:val="28"/>
          <w:color w:val="auto"/>
          <w:vertAlign w:val="superscript"/>
        </w:rPr>
        <w:t>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Sales Office</w:t>
      </w:r>
      <w:r>
        <w:rPr>
          <w:rFonts w:ascii="Arial" w:cs="Arial" w:eastAsia="Arial" w:hAnsi="Arial"/>
          <w:sz w:val="28"/>
          <w:szCs w:val="28"/>
          <w:color w:val="auto"/>
          <w:vertAlign w:val="superscript"/>
        </w:rPr>
        <w:t>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Sales Office</w:t>
      </w:r>
      <w:r>
        <w:rPr>
          <w:rFonts w:ascii="Arial" w:cs="Arial" w:eastAsia="Arial" w:hAnsi="Arial"/>
          <w:sz w:val="28"/>
          <w:szCs w:val="28"/>
          <w:color w:val="auto"/>
          <w:vertAlign w:val="superscript"/>
        </w:rPr>
        <w:t>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Plant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Plant</w:t>
      </w:r>
      <w:r>
        <w:rPr>
          <w:rFonts w:ascii="Arial" w:cs="Arial" w:eastAsia="Arial" w:hAnsi="Arial"/>
          <w:sz w:val="28"/>
          <w:szCs w:val="28"/>
          <w:color w:val="auto"/>
          <w:vertAlign w:val="superscript"/>
        </w:rPr>
        <w:t>2</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Sales Office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Plant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Plant; Sales Office</w:t>
      </w:r>
      <w:r>
        <w:rPr>
          <w:rFonts w:ascii="Arial" w:cs="Arial" w:eastAsia="Arial" w:hAnsi="Arial"/>
          <w:sz w:val="28"/>
          <w:szCs w:val="28"/>
          <w:color w:val="auto"/>
          <w:vertAlign w:val="superscript"/>
        </w:rPr>
        <w:t>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Sales Office; Plant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Plant</w:t>
      </w:r>
    </w:p>
    <w:p>
      <w:pPr>
        <w:spacing w:after="0" w:line="251" w:lineRule="exact"/>
        <w:rPr>
          <w:sz w:val="20"/>
          <w:szCs w:val="20"/>
          <w:color w:val="auto"/>
        </w:rPr>
      </w:pPr>
    </w:p>
    <w:p>
      <w:pPr>
        <w:jc w:val="center"/>
        <w:ind w:right="1620"/>
        <w:spacing w:after="0"/>
        <w:rPr>
          <w:sz w:val="20"/>
          <w:szCs w:val="20"/>
          <w:color w:val="auto"/>
        </w:rPr>
      </w:pPr>
      <w:r>
        <w:rPr>
          <w:rFonts w:ascii="Arial" w:cs="Arial" w:eastAsia="Arial" w:hAnsi="Arial"/>
          <w:sz w:val="14"/>
          <w:szCs w:val="14"/>
          <w:color w:val="auto"/>
        </w:rPr>
        <w:t>Plant</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Limestone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PCC, Lime, Limestone, Talc</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Limestone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Limestone, Metallurgical Wire/Calcium</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Limestone, Lime, PCC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PCC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Talc</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Refractories/Shapes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All Company Products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Refractories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PCC, Lime, Limestone, Talc, Pyrolytic Graphite</w:t>
      </w:r>
    </w:p>
    <w:p>
      <w:pPr>
        <w:spacing w:after="0" w:line="200" w:lineRule="exact"/>
        <w:rPr>
          <w:sz w:val="20"/>
          <w:szCs w:val="20"/>
          <w:color w:val="auto"/>
        </w:rPr>
      </w:pPr>
    </w:p>
    <w:p>
      <w:pPr>
        <w:spacing w:after="0" w:line="282" w:lineRule="exact"/>
        <w:rPr>
          <w:sz w:val="20"/>
          <w:szCs w:val="20"/>
          <w:color w:val="auto"/>
        </w:rPr>
      </w:pPr>
    </w:p>
    <w:p>
      <w:pPr>
        <w:ind w:right="1920"/>
        <w:spacing w:after="0" w:line="351" w:lineRule="auto"/>
        <w:rPr>
          <w:sz w:val="20"/>
          <w:szCs w:val="20"/>
          <w:color w:val="auto"/>
        </w:rPr>
      </w:pPr>
      <w:r>
        <w:rPr>
          <w:rFonts w:ascii="Arial" w:cs="Arial" w:eastAsia="Arial" w:hAnsi="Arial"/>
          <w:sz w:val="15"/>
          <w:szCs w:val="15"/>
          <w:color w:val="auto"/>
        </w:rPr>
        <w:t>PCC, Lime, Limestone, Talc, Pyrolytic Graphite, Refractories, Metallurgical Wire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Refractory Shapes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Refractories/PCC</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PCC</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Refractory Shapes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Laser Scanning Instrumentation/Probes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Refractories/Metallurgical Wire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Refractories/Shapes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Refractories/Shapes, Calcium</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Monolithic Refractories</w:t>
      </w:r>
    </w:p>
    <w:p>
      <w:pPr>
        <w:sectPr>
          <w:pgSz w:w="11900" w:h="16838" w:orient="portrait"/>
          <w:cols w:equalWidth="0" w:num="3">
            <w:col w:w="3340" w:space="720"/>
            <w:col w:w="2040" w:space="320"/>
            <w:col w:w="4800"/>
          </w:cols>
          <w:pgMar w:left="240" w:top="244" w:right="439" w:bottom="0" w:gutter="0" w:footer="0" w:header="0"/>
          <w:type w:val="continuous"/>
        </w:sectPr>
      </w:pPr>
    </w:p>
    <w:bookmarkStart w:id="10" w:name="page11"/>
    <w:bookmarkEnd w:id="10"/>
    <w:tbl>
      <w:tblPr>
        <w:tblLayout w:type="fixed"/>
        <w:tblInd w:w="120" w:type="dxa"/>
        <w:tblCellMar>
          <w:top w:w="0" w:type="dxa"/>
          <w:left w:w="0" w:type="dxa"/>
          <w:bottom w:w="0" w:type="dxa"/>
          <w:right w:w="0" w:type="dxa"/>
        </w:tblCellMar>
      </w:tblPr>
      <w:tr>
        <w:trPr>
          <w:trHeight w:val="340"/>
        </w:trPr>
        <w:tc>
          <w:tcPr>
            <w:tcW w:w="3020" w:type="dxa"/>
            <w:vAlign w:val="bottom"/>
            <w:gridSpan w:val="2"/>
          </w:tcPr>
          <w:p>
            <w:pPr>
              <w:spacing w:after="0"/>
              <w:rPr>
                <w:sz w:val="20"/>
                <w:szCs w:val="20"/>
                <w:color w:val="auto"/>
              </w:rPr>
            </w:pPr>
            <w:r>
              <w:rPr>
                <w:rFonts w:ascii="Arial" w:cs="Arial" w:eastAsia="Arial" w:hAnsi="Arial"/>
                <w:sz w:val="17"/>
                <w:szCs w:val="17"/>
                <w:color w:val="auto"/>
              </w:rPr>
              <w:t>Singapore</w:t>
            </w:r>
          </w:p>
        </w:tc>
        <w:tc>
          <w:tcPr>
            <w:tcW w:w="3280" w:type="dxa"/>
            <w:vAlign w:val="bottom"/>
            <w:gridSpan w:val="3"/>
          </w:tcPr>
          <w:p>
            <w:pPr>
              <w:ind w:left="920"/>
              <w:spacing w:after="0"/>
              <w:rPr>
                <w:sz w:val="20"/>
                <w:szCs w:val="20"/>
                <w:color w:val="auto"/>
              </w:rPr>
            </w:pPr>
            <w:r>
              <w:rPr>
                <w:rFonts w:ascii="Arial" w:cs="Arial" w:eastAsia="Arial" w:hAnsi="Arial"/>
                <w:sz w:val="17"/>
                <w:szCs w:val="17"/>
                <w:color w:val="auto"/>
              </w:rPr>
              <w:t>Sales Office</w:t>
            </w:r>
            <w:r>
              <w:rPr>
                <w:rFonts w:ascii="Arial" w:cs="Arial" w:eastAsia="Arial" w:hAnsi="Arial"/>
                <w:sz w:val="28"/>
                <w:szCs w:val="28"/>
                <w:color w:val="auto"/>
                <w:vertAlign w:val="superscript"/>
              </w:rPr>
              <w:t>1</w:t>
            </w:r>
          </w:p>
        </w:tc>
        <w:tc>
          <w:tcPr>
            <w:tcW w:w="3300" w:type="dxa"/>
            <w:vAlign w:val="bottom"/>
            <w:gridSpan w:val="2"/>
          </w:tcPr>
          <w:p>
            <w:pPr>
              <w:spacing w:after="0"/>
              <w:rPr>
                <w:sz w:val="20"/>
                <w:szCs w:val="20"/>
                <w:color w:val="auto"/>
              </w:rPr>
            </w:pPr>
            <w:r>
              <w:rPr>
                <w:rFonts w:ascii="Arial" w:cs="Arial" w:eastAsia="Arial" w:hAnsi="Arial"/>
                <w:sz w:val="17"/>
                <w:szCs w:val="17"/>
                <w:color w:val="auto"/>
              </w:rPr>
              <w:t>PCC</w:t>
            </w:r>
          </w:p>
        </w:tc>
      </w:tr>
      <w:tr>
        <w:trPr>
          <w:trHeight w:val="543"/>
        </w:trPr>
        <w:tc>
          <w:tcPr>
            <w:tcW w:w="3020" w:type="dxa"/>
            <w:vAlign w:val="bottom"/>
            <w:gridSpan w:val="2"/>
          </w:tcPr>
          <w:p>
            <w:pPr>
              <w:spacing w:after="0"/>
              <w:rPr>
                <w:sz w:val="20"/>
                <w:szCs w:val="20"/>
                <w:color w:val="auto"/>
              </w:rPr>
            </w:pPr>
            <w:r>
              <w:rPr>
                <w:rFonts w:ascii="Arial" w:cs="Arial" w:eastAsia="Arial" w:hAnsi="Arial"/>
                <w:sz w:val="17"/>
                <w:szCs w:val="17"/>
                <w:color w:val="auto"/>
              </w:rPr>
              <w:t>Spain, Santander</w:t>
            </w:r>
          </w:p>
        </w:tc>
        <w:tc>
          <w:tcPr>
            <w:tcW w:w="3280" w:type="dxa"/>
            <w:vAlign w:val="bottom"/>
            <w:gridSpan w:val="3"/>
          </w:tcPr>
          <w:p>
            <w:pPr>
              <w:ind w:left="920"/>
              <w:spacing w:after="0"/>
              <w:rPr>
                <w:sz w:val="20"/>
                <w:szCs w:val="20"/>
                <w:color w:val="auto"/>
              </w:rPr>
            </w:pPr>
            <w:r>
              <w:rPr>
                <w:rFonts w:ascii="Arial" w:cs="Arial" w:eastAsia="Arial" w:hAnsi="Arial"/>
                <w:sz w:val="17"/>
                <w:szCs w:val="17"/>
                <w:color w:val="auto"/>
              </w:rPr>
              <w:t>Sales Office</w:t>
            </w:r>
            <w:r>
              <w:rPr>
                <w:rFonts w:ascii="Arial" w:cs="Arial" w:eastAsia="Arial" w:hAnsi="Arial"/>
                <w:sz w:val="28"/>
                <w:szCs w:val="28"/>
                <w:color w:val="auto"/>
                <w:vertAlign w:val="superscript"/>
              </w:rPr>
              <w:t>1</w:t>
            </w:r>
          </w:p>
        </w:tc>
        <w:tc>
          <w:tcPr>
            <w:tcW w:w="3300" w:type="dxa"/>
            <w:vAlign w:val="bottom"/>
            <w:gridSpan w:val="2"/>
          </w:tcPr>
          <w:p>
            <w:pPr>
              <w:spacing w:after="0"/>
              <w:rPr>
                <w:sz w:val="20"/>
                <w:szCs w:val="20"/>
                <w:color w:val="auto"/>
              </w:rPr>
            </w:pPr>
            <w:r>
              <w:rPr>
                <w:rFonts w:ascii="Arial" w:cs="Arial" w:eastAsia="Arial" w:hAnsi="Arial"/>
                <w:sz w:val="17"/>
                <w:szCs w:val="17"/>
                <w:color w:val="auto"/>
              </w:rPr>
              <w:t>Monolithic Refractories</w:t>
            </w:r>
          </w:p>
        </w:tc>
      </w:tr>
      <w:tr>
        <w:trPr>
          <w:trHeight w:val="329"/>
        </w:trPr>
        <w:tc>
          <w:tcPr>
            <w:tcW w:w="3020" w:type="dxa"/>
            <w:vAlign w:val="bottom"/>
            <w:gridSpan w:val="2"/>
          </w:tcPr>
          <w:p>
            <w:pPr>
              <w:spacing w:after="0"/>
              <w:rPr>
                <w:sz w:val="20"/>
                <w:szCs w:val="20"/>
                <w:color w:val="auto"/>
              </w:rPr>
            </w:pPr>
            <w:r>
              <w:rPr>
                <w:rFonts w:ascii="Arial" w:cs="Arial" w:eastAsia="Arial" w:hAnsi="Arial"/>
                <w:sz w:val="17"/>
                <w:szCs w:val="17"/>
                <w:color w:val="auto"/>
              </w:rPr>
              <w:t>South Africa, Pietermaritzburg</w:t>
            </w:r>
          </w:p>
        </w:tc>
        <w:tc>
          <w:tcPr>
            <w:tcW w:w="3280" w:type="dxa"/>
            <w:vAlign w:val="bottom"/>
            <w:gridSpan w:val="3"/>
          </w:tcPr>
          <w:p>
            <w:pPr>
              <w:ind w:left="920"/>
              <w:spacing w:after="0"/>
              <w:rPr>
                <w:sz w:val="20"/>
                <w:szCs w:val="20"/>
                <w:color w:val="auto"/>
              </w:rPr>
            </w:pPr>
            <w:r>
              <w:rPr>
                <w:rFonts w:ascii="Arial" w:cs="Arial" w:eastAsia="Arial" w:hAnsi="Arial"/>
                <w:sz w:val="17"/>
                <w:szCs w:val="17"/>
                <w:color w:val="auto"/>
              </w:rPr>
              <w:t>Plant</w:t>
            </w:r>
          </w:p>
        </w:tc>
        <w:tc>
          <w:tcPr>
            <w:tcW w:w="3300" w:type="dxa"/>
            <w:vAlign w:val="bottom"/>
            <w:gridSpan w:val="2"/>
          </w:tcPr>
          <w:p>
            <w:pPr>
              <w:spacing w:after="0"/>
              <w:rPr>
                <w:sz w:val="20"/>
                <w:szCs w:val="20"/>
                <w:color w:val="auto"/>
              </w:rPr>
            </w:pPr>
            <w:r>
              <w:rPr>
                <w:rFonts w:ascii="Arial" w:cs="Arial" w:eastAsia="Arial" w:hAnsi="Arial"/>
                <w:sz w:val="17"/>
                <w:szCs w:val="17"/>
                <w:color w:val="auto"/>
              </w:rPr>
              <w:t>Monolithic Refractories</w:t>
            </w:r>
          </w:p>
        </w:tc>
      </w:tr>
      <w:tr>
        <w:trPr>
          <w:trHeight w:val="917"/>
        </w:trPr>
        <w:tc>
          <w:tcPr>
            <w:tcW w:w="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80" w:type="dxa"/>
            <w:vAlign w:val="bottom"/>
            <w:gridSpan w:val="3"/>
          </w:tcPr>
          <w:p>
            <w:pPr>
              <w:jc w:val="right"/>
              <w:ind w:right="1460"/>
              <w:spacing w:after="0"/>
              <w:rPr>
                <w:sz w:val="20"/>
                <w:szCs w:val="20"/>
                <w:color w:val="auto"/>
              </w:rPr>
            </w:pPr>
            <w:r>
              <w:rPr>
                <w:rFonts w:ascii="Arial" w:cs="Arial" w:eastAsia="Arial" w:hAnsi="Arial"/>
                <w:sz w:val="17"/>
                <w:szCs w:val="17"/>
                <w:color w:val="auto"/>
              </w:rPr>
              <w:t>9</w:t>
            </w:r>
          </w:p>
        </w:tc>
        <w:tc>
          <w:tcPr>
            <w:tcW w:w="9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79"/>
        </w:trPr>
        <w:tc>
          <w:tcPr>
            <w:tcW w:w="640" w:type="dxa"/>
            <w:vAlign w:val="bottom"/>
            <w:tcBorders>
              <w:bottom w:val="single" w:sz="8" w:color="9A9A9A"/>
            </w:tcBorders>
          </w:tcPr>
          <w:p>
            <w:pPr>
              <w:spacing w:after="0"/>
              <w:rPr>
                <w:sz w:val="15"/>
                <w:szCs w:val="15"/>
                <w:color w:val="auto"/>
              </w:rPr>
            </w:pPr>
          </w:p>
        </w:tc>
        <w:tc>
          <w:tcPr>
            <w:tcW w:w="23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2340" w:type="dxa"/>
            <w:vAlign w:val="bottom"/>
            <w:tcBorders>
              <w:bottom w:val="single" w:sz="8" w:color="9A9A9A"/>
            </w:tcBorders>
          </w:tcPr>
          <w:p>
            <w:pPr>
              <w:spacing w:after="0"/>
              <w:rPr>
                <w:sz w:val="15"/>
                <w:szCs w:val="15"/>
                <w:color w:val="auto"/>
              </w:rPr>
            </w:pPr>
          </w:p>
        </w:tc>
      </w:tr>
      <w:tr>
        <w:trPr>
          <w:trHeight w:val="615"/>
        </w:trPr>
        <w:tc>
          <w:tcPr>
            <w:tcW w:w="3020" w:type="dxa"/>
            <w:vAlign w:val="bottom"/>
            <w:gridSpan w:val="2"/>
          </w:tcPr>
          <w:p>
            <w:pPr>
              <w:spacing w:after="0"/>
              <w:rPr>
                <w:sz w:val="20"/>
                <w:szCs w:val="20"/>
                <w:color w:val="auto"/>
              </w:rPr>
            </w:pPr>
            <w:r>
              <w:rPr>
                <w:rFonts w:ascii="Arial" w:cs="Arial" w:eastAsia="Arial" w:hAnsi="Arial"/>
                <w:sz w:val="17"/>
                <w:szCs w:val="17"/>
                <w:b w:val="1"/>
                <w:bCs w:val="1"/>
                <w:color w:val="auto"/>
              </w:rPr>
              <w:t>Location</w:t>
            </w:r>
          </w:p>
        </w:tc>
        <w:tc>
          <w:tcPr>
            <w:tcW w:w="3280" w:type="dxa"/>
            <w:vAlign w:val="bottom"/>
            <w:gridSpan w:val="3"/>
          </w:tcPr>
          <w:p>
            <w:pPr>
              <w:ind w:left="920"/>
              <w:spacing w:after="0"/>
              <w:rPr>
                <w:sz w:val="20"/>
                <w:szCs w:val="20"/>
                <w:color w:val="auto"/>
              </w:rPr>
            </w:pPr>
            <w:r>
              <w:rPr>
                <w:rFonts w:ascii="Arial" w:cs="Arial" w:eastAsia="Arial" w:hAnsi="Arial"/>
                <w:sz w:val="17"/>
                <w:szCs w:val="17"/>
                <w:b w:val="1"/>
                <w:bCs w:val="1"/>
                <w:color w:val="auto"/>
              </w:rPr>
              <w:t>Facility</w:t>
            </w:r>
          </w:p>
        </w:tc>
        <w:tc>
          <w:tcPr>
            <w:tcW w:w="3300" w:type="dxa"/>
            <w:vAlign w:val="bottom"/>
            <w:gridSpan w:val="2"/>
          </w:tcPr>
          <w:p>
            <w:pPr>
              <w:spacing w:after="0"/>
              <w:rPr>
                <w:sz w:val="20"/>
                <w:szCs w:val="20"/>
                <w:color w:val="auto"/>
              </w:rPr>
            </w:pPr>
            <w:r>
              <w:rPr>
                <w:rFonts w:ascii="Arial" w:cs="Arial" w:eastAsia="Arial" w:hAnsi="Arial"/>
                <w:sz w:val="17"/>
                <w:szCs w:val="17"/>
                <w:b w:val="1"/>
                <w:bCs w:val="1"/>
                <w:color w:val="auto"/>
              </w:rPr>
              <w:t>Product Line</w:t>
            </w:r>
          </w:p>
        </w:tc>
      </w:tr>
      <w:tr>
        <w:trPr>
          <w:trHeight w:val="20"/>
        </w:trPr>
        <w:tc>
          <w:tcPr>
            <w:tcW w:w="6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617"/>
        </w:trPr>
        <w:tc>
          <w:tcPr>
            <w:tcW w:w="3020" w:type="dxa"/>
            <w:vAlign w:val="bottom"/>
            <w:gridSpan w:val="2"/>
          </w:tcPr>
          <w:p>
            <w:pPr>
              <w:spacing w:after="0"/>
              <w:rPr>
                <w:sz w:val="20"/>
                <w:szCs w:val="20"/>
                <w:color w:val="auto"/>
              </w:rPr>
            </w:pPr>
            <w:r>
              <w:rPr>
                <w:rFonts w:ascii="Arial" w:cs="Arial" w:eastAsia="Arial" w:hAnsi="Arial"/>
                <w:sz w:val="17"/>
                <w:szCs w:val="17"/>
                <w:color w:val="auto"/>
              </w:rPr>
              <w:t>South Korea, Seoul</w:t>
            </w:r>
          </w:p>
        </w:tc>
        <w:tc>
          <w:tcPr>
            <w:tcW w:w="3280" w:type="dxa"/>
            <w:vAlign w:val="bottom"/>
            <w:gridSpan w:val="3"/>
          </w:tcPr>
          <w:p>
            <w:pPr>
              <w:ind w:left="920"/>
              <w:spacing w:after="0"/>
              <w:rPr>
                <w:sz w:val="20"/>
                <w:szCs w:val="20"/>
                <w:color w:val="auto"/>
              </w:rPr>
            </w:pPr>
            <w:r>
              <w:rPr>
                <w:rFonts w:ascii="Arial" w:cs="Arial" w:eastAsia="Arial" w:hAnsi="Arial"/>
                <w:sz w:val="17"/>
                <w:szCs w:val="17"/>
                <w:color w:val="auto"/>
              </w:rPr>
              <w:t>Sales Office</w:t>
            </w:r>
            <w:r>
              <w:rPr>
                <w:rFonts w:ascii="Arial" w:cs="Arial" w:eastAsia="Arial" w:hAnsi="Arial"/>
                <w:sz w:val="28"/>
                <w:szCs w:val="28"/>
                <w:color w:val="auto"/>
                <w:vertAlign w:val="superscript"/>
              </w:rPr>
              <w:t>1</w:t>
            </w:r>
          </w:p>
        </w:tc>
        <w:tc>
          <w:tcPr>
            <w:tcW w:w="3300" w:type="dxa"/>
            <w:vAlign w:val="bottom"/>
            <w:gridSpan w:val="2"/>
          </w:tcPr>
          <w:p>
            <w:pPr>
              <w:spacing w:after="0"/>
              <w:rPr>
                <w:sz w:val="20"/>
                <w:szCs w:val="20"/>
                <w:color w:val="auto"/>
              </w:rPr>
            </w:pPr>
            <w:r>
              <w:rPr>
                <w:rFonts w:ascii="Arial" w:cs="Arial" w:eastAsia="Arial" w:hAnsi="Arial"/>
                <w:sz w:val="17"/>
                <w:szCs w:val="17"/>
                <w:color w:val="auto"/>
              </w:rPr>
              <w:t>Monolithic Refractories</w:t>
            </w:r>
          </w:p>
        </w:tc>
      </w:tr>
      <w:tr>
        <w:trPr>
          <w:trHeight w:val="485"/>
        </w:trPr>
        <w:tc>
          <w:tcPr>
            <w:tcW w:w="3020" w:type="dxa"/>
            <w:vAlign w:val="bottom"/>
            <w:gridSpan w:val="2"/>
          </w:tcPr>
          <w:p>
            <w:pPr>
              <w:spacing w:after="0"/>
              <w:rPr>
                <w:sz w:val="20"/>
                <w:szCs w:val="20"/>
                <w:color w:val="auto"/>
              </w:rPr>
            </w:pPr>
            <w:r>
              <w:rPr>
                <w:rFonts w:ascii="Arial" w:cs="Arial" w:eastAsia="Arial" w:hAnsi="Arial"/>
                <w:sz w:val="17"/>
                <w:szCs w:val="17"/>
                <w:color w:val="auto"/>
              </w:rPr>
              <w:t>South Korea, Yangsan</w:t>
            </w:r>
          </w:p>
        </w:tc>
        <w:tc>
          <w:tcPr>
            <w:tcW w:w="3280" w:type="dxa"/>
            <w:vAlign w:val="bottom"/>
            <w:gridSpan w:val="3"/>
          </w:tcPr>
          <w:p>
            <w:pPr>
              <w:ind w:left="920"/>
              <w:spacing w:after="0"/>
              <w:rPr>
                <w:sz w:val="20"/>
                <w:szCs w:val="20"/>
                <w:color w:val="auto"/>
              </w:rPr>
            </w:pPr>
            <w:r>
              <w:rPr>
                <w:rFonts w:ascii="Arial" w:cs="Arial" w:eastAsia="Arial" w:hAnsi="Arial"/>
                <w:sz w:val="17"/>
                <w:szCs w:val="17"/>
                <w:color w:val="auto"/>
              </w:rPr>
              <w:t>Plant</w:t>
            </w:r>
            <w:r>
              <w:rPr>
                <w:rFonts w:ascii="Arial" w:cs="Arial" w:eastAsia="Arial" w:hAnsi="Arial"/>
                <w:sz w:val="28"/>
                <w:szCs w:val="28"/>
                <w:color w:val="auto"/>
                <w:vertAlign w:val="superscript"/>
              </w:rPr>
              <w:t>3</w:t>
            </w:r>
          </w:p>
        </w:tc>
        <w:tc>
          <w:tcPr>
            <w:tcW w:w="3300" w:type="dxa"/>
            <w:vAlign w:val="bottom"/>
            <w:gridSpan w:val="2"/>
          </w:tcPr>
          <w:p>
            <w:pPr>
              <w:spacing w:after="0"/>
              <w:rPr>
                <w:sz w:val="20"/>
                <w:szCs w:val="20"/>
                <w:color w:val="auto"/>
              </w:rPr>
            </w:pPr>
            <w:r>
              <w:rPr>
                <w:rFonts w:ascii="Arial" w:cs="Arial" w:eastAsia="Arial" w:hAnsi="Arial"/>
                <w:sz w:val="17"/>
                <w:szCs w:val="17"/>
                <w:color w:val="auto"/>
              </w:rPr>
              <w:t>Monolithic Refractories</w:t>
            </w:r>
          </w:p>
        </w:tc>
      </w:tr>
      <w:tr>
        <w:trPr>
          <w:trHeight w:val="329"/>
        </w:trPr>
        <w:tc>
          <w:tcPr>
            <w:tcW w:w="3020" w:type="dxa"/>
            <w:vAlign w:val="bottom"/>
            <w:gridSpan w:val="2"/>
          </w:tcPr>
          <w:p>
            <w:pPr>
              <w:spacing w:after="0"/>
              <w:rPr>
                <w:sz w:val="20"/>
                <w:szCs w:val="20"/>
                <w:color w:val="auto"/>
              </w:rPr>
            </w:pPr>
            <w:r>
              <w:rPr>
                <w:rFonts w:ascii="Arial" w:cs="Arial" w:eastAsia="Arial" w:hAnsi="Arial"/>
                <w:sz w:val="17"/>
                <w:szCs w:val="17"/>
                <w:color w:val="auto"/>
              </w:rPr>
              <w:t>United Kingdom, Lifford</w:t>
            </w:r>
          </w:p>
        </w:tc>
        <w:tc>
          <w:tcPr>
            <w:tcW w:w="3280" w:type="dxa"/>
            <w:vAlign w:val="bottom"/>
            <w:gridSpan w:val="3"/>
          </w:tcPr>
          <w:p>
            <w:pPr>
              <w:ind w:left="920"/>
              <w:spacing w:after="0"/>
              <w:rPr>
                <w:sz w:val="20"/>
                <w:szCs w:val="20"/>
                <w:color w:val="auto"/>
              </w:rPr>
            </w:pPr>
            <w:r>
              <w:rPr>
                <w:rFonts w:ascii="Arial" w:cs="Arial" w:eastAsia="Arial" w:hAnsi="Arial"/>
                <w:sz w:val="17"/>
                <w:szCs w:val="17"/>
                <w:color w:val="auto"/>
              </w:rPr>
              <w:t>Plant</w:t>
            </w:r>
          </w:p>
        </w:tc>
        <w:tc>
          <w:tcPr>
            <w:tcW w:w="3300" w:type="dxa"/>
            <w:vAlign w:val="bottom"/>
            <w:gridSpan w:val="2"/>
          </w:tcPr>
          <w:p>
            <w:pPr>
              <w:spacing w:after="0"/>
              <w:rPr>
                <w:sz w:val="20"/>
                <w:szCs w:val="20"/>
                <w:color w:val="auto"/>
              </w:rPr>
            </w:pPr>
            <w:r>
              <w:rPr>
                <w:rFonts w:ascii="Arial" w:cs="Arial" w:eastAsia="Arial" w:hAnsi="Arial"/>
                <w:sz w:val="17"/>
                <w:szCs w:val="17"/>
                <w:color w:val="auto"/>
              </w:rPr>
              <w:t>PCC, Lime</w:t>
            </w:r>
          </w:p>
        </w:tc>
      </w:tr>
      <w:tr>
        <w:trPr>
          <w:trHeight w:val="445"/>
        </w:trPr>
        <w:tc>
          <w:tcPr>
            <w:tcW w:w="3020" w:type="dxa"/>
            <w:vAlign w:val="bottom"/>
            <w:gridSpan w:val="2"/>
          </w:tcPr>
          <w:p>
            <w:pPr>
              <w:spacing w:after="0"/>
              <w:rPr>
                <w:sz w:val="20"/>
                <w:szCs w:val="20"/>
                <w:color w:val="auto"/>
              </w:rPr>
            </w:pPr>
            <w:r>
              <w:rPr>
                <w:rFonts w:ascii="Arial" w:cs="Arial" w:eastAsia="Arial" w:hAnsi="Arial"/>
                <w:sz w:val="17"/>
                <w:szCs w:val="17"/>
                <w:color w:val="auto"/>
              </w:rPr>
              <w:t>United Kingdom, Rotherham</w:t>
            </w:r>
          </w:p>
        </w:tc>
        <w:tc>
          <w:tcPr>
            <w:tcW w:w="3280" w:type="dxa"/>
            <w:vAlign w:val="bottom"/>
            <w:gridSpan w:val="3"/>
          </w:tcPr>
          <w:p>
            <w:pPr>
              <w:ind w:left="920"/>
              <w:spacing w:after="0"/>
              <w:rPr>
                <w:sz w:val="20"/>
                <w:szCs w:val="20"/>
                <w:color w:val="auto"/>
              </w:rPr>
            </w:pPr>
            <w:r>
              <w:rPr>
                <w:rFonts w:ascii="Arial" w:cs="Arial" w:eastAsia="Arial" w:hAnsi="Arial"/>
                <w:sz w:val="17"/>
                <w:szCs w:val="17"/>
                <w:color w:val="auto"/>
              </w:rPr>
              <w:t>Plant</w:t>
            </w:r>
          </w:p>
        </w:tc>
        <w:tc>
          <w:tcPr>
            <w:tcW w:w="3300" w:type="dxa"/>
            <w:vAlign w:val="bottom"/>
            <w:gridSpan w:val="2"/>
          </w:tcPr>
          <w:p>
            <w:pPr>
              <w:spacing w:after="0"/>
              <w:rPr>
                <w:sz w:val="20"/>
                <w:szCs w:val="20"/>
                <w:color w:val="auto"/>
              </w:rPr>
            </w:pPr>
            <w:r>
              <w:rPr>
                <w:rFonts w:ascii="Arial" w:cs="Arial" w:eastAsia="Arial" w:hAnsi="Arial"/>
                <w:sz w:val="17"/>
                <w:szCs w:val="17"/>
                <w:color w:val="auto"/>
              </w:rPr>
              <w:t>Monolithic Refractories/Shapes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-1623695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-1623695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275"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1 Leased by the Company. The facilities in Cork, Ireland are operated pursuant to a 99-year lease, the term of which commenced in 1963. The Company's headquarters and sales offices in New York, New York are held under a lease which expires in 2010.</w:t>
      </w:r>
    </w:p>
    <w:p>
      <w:pPr>
        <w:ind w:left="80" w:hanging="75"/>
        <w:spacing w:after="0" w:line="196" w:lineRule="auto"/>
        <w:tabs>
          <w:tab w:leader="none" w:pos="8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This plant is leased through a joint venture.</w:t>
      </w:r>
    </w:p>
    <w:p>
      <w:pPr>
        <w:spacing w:after="0" w:line="16" w:lineRule="exact"/>
        <w:rPr>
          <w:rFonts w:ascii="Arial" w:cs="Arial" w:eastAsia="Arial" w:hAnsi="Arial"/>
          <w:sz w:val="20"/>
          <w:szCs w:val="20"/>
          <w:color w:val="auto"/>
          <w:vertAlign w:val="superscript"/>
        </w:rPr>
      </w:pPr>
    </w:p>
    <w:p>
      <w:pPr>
        <w:spacing w:after="0" w:line="186" w:lineRule="auto"/>
        <w:rPr>
          <w:rFonts w:ascii="Arial" w:cs="Arial" w:eastAsia="Arial" w:hAnsi="Arial"/>
          <w:sz w:val="20"/>
          <w:szCs w:val="20"/>
          <w:color w:val="auto"/>
          <w:vertAlign w:val="superscript"/>
        </w:rPr>
      </w:pPr>
      <w:r>
        <w:rPr>
          <w:rFonts w:ascii="Arial" w:cs="Arial" w:eastAsia="Arial" w:hAnsi="Arial"/>
          <w:sz w:val="19"/>
          <w:szCs w:val="19"/>
          <w:color w:val="auto"/>
          <w:vertAlign w:val="superscript"/>
        </w:rPr>
        <w:t>3</w:t>
      </w:r>
      <w:r>
        <w:rPr>
          <w:rFonts w:ascii="Arial" w:cs="Arial" w:eastAsia="Arial" w:hAnsi="Arial"/>
          <w:sz w:val="12"/>
          <w:szCs w:val="12"/>
          <w:color w:val="auto"/>
        </w:rPr>
        <w:t xml:space="preserve"> This plant is owned through a joint venture.</w:t>
      </w:r>
    </w:p>
    <w:p>
      <w:pPr>
        <w:spacing w:after="0"/>
        <w:rPr>
          <w:rFonts w:ascii="Arial" w:cs="Arial" w:eastAsia="Arial" w:hAnsi="Arial"/>
          <w:sz w:val="20"/>
          <w:szCs w:val="20"/>
          <w:color w:val="auto"/>
          <w:vertAlign w:val="superscript"/>
        </w:rPr>
      </w:pPr>
      <w:r>
        <w:rPr>
          <w:rFonts w:ascii="Arial" w:cs="Arial" w:eastAsia="Arial" w:hAnsi="Arial"/>
          <w:sz w:val="21"/>
          <w:szCs w:val="21"/>
          <w:color w:val="auto"/>
          <w:vertAlign w:val="superscript"/>
        </w:rPr>
        <w:t>4</w:t>
      </w:r>
      <w:r>
        <w:rPr>
          <w:rFonts w:ascii="Arial" w:cs="Arial" w:eastAsia="Arial" w:hAnsi="Arial"/>
          <w:sz w:val="13"/>
          <w:szCs w:val="13"/>
          <w:color w:val="auto"/>
        </w:rPr>
        <w:t xml:space="preserve"> This plant is leased to another company.</w:t>
      </w:r>
    </w:p>
    <w:p>
      <w:pPr>
        <w:spacing w:after="0" w:line="63" w:lineRule="exact"/>
        <w:rPr>
          <w:sz w:val="20"/>
          <w:szCs w:val="20"/>
          <w:color w:val="auto"/>
        </w:rPr>
      </w:pPr>
    </w:p>
    <w:p>
      <w:pPr>
        <w:ind w:right="400" w:firstLine="210"/>
        <w:spacing w:after="0" w:line="321" w:lineRule="auto"/>
        <w:rPr>
          <w:sz w:val="20"/>
          <w:szCs w:val="20"/>
          <w:color w:val="auto"/>
        </w:rPr>
      </w:pPr>
      <w:r>
        <w:rPr>
          <w:rFonts w:ascii="Arial" w:cs="Arial" w:eastAsia="Arial" w:hAnsi="Arial"/>
          <w:sz w:val="15"/>
          <w:szCs w:val="15"/>
          <w:color w:val="auto"/>
        </w:rPr>
        <w:t>The Company believes that its facilities, which are of varying ages and are of different construction types, have been satisfactorily maintained, are in good condition, are suitable for the Company's operations and generally provide sufficient capacity to meet the Company's production requirements. Based on past loss experience, the Company believes it is adequately insured in respect to these assets, and for liabilities which are likely to arise from its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88" w:lineRule="exact"/>
        <w:rPr>
          <w:sz w:val="20"/>
          <w:szCs w:val="20"/>
          <w:color w:val="auto"/>
        </w:rPr>
      </w:pPr>
    </w:p>
    <w:p>
      <w:pPr>
        <w:ind w:firstLine="213"/>
        <w:spacing w:after="0" w:line="301" w:lineRule="auto"/>
        <w:rPr>
          <w:sz w:val="20"/>
          <w:szCs w:val="20"/>
          <w:color w:val="auto"/>
        </w:rPr>
      </w:pPr>
      <w:r>
        <w:rPr>
          <w:rFonts w:ascii="Arial" w:cs="Arial" w:eastAsia="Arial" w:hAnsi="Arial"/>
          <w:sz w:val="15"/>
          <w:szCs w:val="15"/>
          <w:color w:val="auto"/>
        </w:rPr>
        <w:t>On or about October 5, 1999, the Company was notified by the U.S. Department of Justice of an enforcement referral from the U.S. Environmental Protection Agency regarding alleged violations by the Company's subsidiary, Barretts Minerals Inc. ("BMI"), of a state-issued permit regulating pit dewatering and storm water discharge at BMI's talc mine in Barretts, Montana. The threatened federal enforcement action would duplicate in part a state enforcement action that was resolved in May 1999 through settlement and payment of a civil penalty of $14,000. BMI has entered into prefiling negotiations with the Department of Justice, and as of March 2, 2001, no complaint had been filed. We anticipate that any settlement of this matter would include a monetary penalty as well as other relief, such as a supplemental environment project at the Barretts site. There can be no assurance that the amount of monetary penalty or the cost of other relief sought by the Department of Justice in any such complaint, if filed, would not be substantially in excess of the amount for which the previous state enforcement action was settled.</w:t>
      </w:r>
    </w:p>
    <w:p>
      <w:pPr>
        <w:spacing w:after="0" w:line="123" w:lineRule="exact"/>
        <w:rPr>
          <w:sz w:val="20"/>
          <w:szCs w:val="20"/>
          <w:color w:val="auto"/>
        </w:rPr>
      </w:pPr>
    </w:p>
    <w:p>
      <w:pPr>
        <w:ind w:firstLine="213"/>
        <w:spacing w:after="0" w:line="299" w:lineRule="auto"/>
        <w:rPr>
          <w:sz w:val="20"/>
          <w:szCs w:val="20"/>
          <w:color w:val="auto"/>
        </w:rPr>
      </w:pPr>
      <w:r>
        <w:rPr>
          <w:rFonts w:ascii="Arial" w:cs="Arial" w:eastAsia="Arial" w:hAnsi="Arial"/>
          <w:sz w:val="15"/>
          <w:szCs w:val="15"/>
          <w:color w:val="auto"/>
        </w:rPr>
        <w:t>On or about July 14, 2000, MTI, Specialty Minerals Inc. and Minteq International Inc. received from the Connecticut Department of Environmental Protection ("DEP") a proposed administrative consent order relating to the Canaan, Connecticut site at which both Minteq and Specialty Minerals have operations. The proposed order would settle claims relating to an accidental discharge of machine oil alleged to have contained polychlorinated biphenyls at or above regulated levels. The Company's employees immediately took steps to contain and clean up the discharge and notified the Connecticut DEP and the U.S. Environmental Protection Agency ("EPA") as required by law. The proposed order also alleges certain violations of other environmental requirements, including violations of the Canaan site's existing permit for discharge of stormwater, and of regulations governing the management of underground storage tanks. The proposed order would require payment of a civil penalty of $420,605, remediation of certain conditions at the site, and other injunctive relief. MTI and the other respondents dispute many of the factual allegations forming the basis of the proposed order, and plan to contest them vigorously. There can be no assurance, however, that the Company will be successful in doing so, and the amount of any civil penalty to be paid, and the cost of any remediation or other injunctive relief, remains uncertain.</w:t>
      </w:r>
    </w:p>
    <w:p>
      <w:pPr>
        <w:spacing w:after="0" w:line="122" w:lineRule="exact"/>
        <w:rPr>
          <w:sz w:val="20"/>
          <w:szCs w:val="20"/>
          <w:color w:val="auto"/>
        </w:rPr>
      </w:pPr>
    </w:p>
    <w:p>
      <w:pPr>
        <w:ind w:right="80" w:firstLine="213"/>
        <w:spacing w:after="0" w:line="293" w:lineRule="auto"/>
        <w:rPr>
          <w:sz w:val="20"/>
          <w:szCs w:val="20"/>
          <w:color w:val="auto"/>
        </w:rPr>
      </w:pPr>
      <w:r>
        <w:rPr>
          <w:rFonts w:ascii="Arial" w:cs="Arial" w:eastAsia="Arial" w:hAnsi="Arial"/>
          <w:sz w:val="16"/>
          <w:szCs w:val="16"/>
          <w:color w:val="auto"/>
        </w:rPr>
        <w:t>On February 27, 2001, the U.S. Environmental Protection Agency filed a civil administrative complaint against Minteq International Inc. seeking $192,000 in monetary sanctions for alleged regulatory violations relating to the use, handling and disposal of PCB's at Minteq's Canaan, Connecticut facility. Minteq is preparing a response to the complaint, and plans to contest vigorously many of the factual allegations and legal conclusions asserted by the EPA.</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and its subsidiaries are not party to any other pending legal proceedings, other than routine litigation incidental to their businesses.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matters were submitted to a vote of security holders during the fourth quarter of 2000.</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0"/>
        <w:spacing w:after="0"/>
        <w:rPr>
          <w:sz w:val="20"/>
          <w:szCs w:val="20"/>
          <w:color w:val="auto"/>
        </w:rPr>
      </w:pPr>
      <w:r>
        <w:rPr>
          <w:rFonts w:ascii="Arial" w:cs="Arial" w:eastAsia="Arial" w:hAnsi="Arial"/>
          <w:sz w:val="17"/>
          <w:szCs w:val="17"/>
          <w:b w:val="1"/>
          <w:bCs w:val="1"/>
          <w:color w:val="auto"/>
        </w:rPr>
        <w:t>PART II</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and Related Stockholder Matters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common stock is traded on the NYSE under the symbol "MTX."</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Information on market prices and dividends is set forth below:</w:t>
      </w:r>
    </w:p>
    <w:p>
      <w:pPr>
        <w:sectPr>
          <w:pgSz w:w="11900" w:h="16838" w:orient="portrait"/>
          <w:cols w:equalWidth="0" w:num="1">
            <w:col w:w="11420"/>
          </w:cols>
          <w:pgMar w:left="240" w:top="104" w:right="239" w:bottom="0" w:gutter="0" w:footer="0" w:header="0"/>
        </w:sectPr>
      </w:pPr>
    </w:p>
    <w:bookmarkStart w:id="11" w:name="page12"/>
    <w:bookmarkEnd w:id="11"/>
    <w:tbl>
      <w:tblPr>
        <w:tblLayout w:type="fixed"/>
        <w:tblInd w:w="760" w:type="dxa"/>
        <w:tblCellMar>
          <w:top w:w="0" w:type="dxa"/>
          <w:left w:w="0" w:type="dxa"/>
          <w:bottom w:w="0" w:type="dxa"/>
          <w:right w:w="0" w:type="dxa"/>
        </w:tblCellMar>
      </w:tblPr>
      <w:tr>
        <w:trPr>
          <w:trHeight w:val="288"/>
        </w:trPr>
        <w:tc>
          <w:tcPr>
            <w:tcW w:w="100" w:type="dxa"/>
            <w:vAlign w:val="bottom"/>
            <w:shd w:val="clear" w:color="auto" w:fill="C0C0C0"/>
          </w:tcPr>
          <w:p>
            <w:pPr>
              <w:spacing w:after="0"/>
              <w:rPr>
                <w:sz w:val="24"/>
                <w:szCs w:val="24"/>
                <w:color w:val="auto"/>
              </w:rPr>
            </w:pPr>
          </w:p>
        </w:tc>
        <w:tc>
          <w:tcPr>
            <w:tcW w:w="4280" w:type="dxa"/>
            <w:vAlign w:val="bottom"/>
            <w:gridSpan w:val="2"/>
            <w:shd w:val="clear" w:color="auto" w:fill="C0C0C0"/>
          </w:tcPr>
          <w:p>
            <w:pPr>
              <w:spacing w:after="0"/>
              <w:rPr>
                <w:sz w:val="20"/>
                <w:szCs w:val="20"/>
                <w:color w:val="auto"/>
              </w:rPr>
            </w:pPr>
            <w:r>
              <w:rPr>
                <w:rFonts w:ascii="Arial" w:cs="Arial" w:eastAsia="Arial" w:hAnsi="Arial"/>
                <w:sz w:val="17"/>
                <w:szCs w:val="17"/>
                <w:b w:val="1"/>
                <w:bCs w:val="1"/>
                <w:color w:val="auto"/>
              </w:rPr>
              <w:t>2000 Quarters</w:t>
            </w:r>
          </w:p>
        </w:tc>
        <w:tc>
          <w:tcPr>
            <w:tcW w:w="1000" w:type="dxa"/>
            <w:vAlign w:val="bottom"/>
            <w:shd w:val="clear" w:color="auto" w:fill="C0C0C0"/>
          </w:tcPr>
          <w:p>
            <w:pPr>
              <w:spacing w:after="0"/>
              <w:rPr>
                <w:sz w:val="24"/>
                <w:szCs w:val="24"/>
                <w:color w:val="auto"/>
              </w:rPr>
            </w:pPr>
          </w:p>
        </w:tc>
        <w:tc>
          <w:tcPr>
            <w:tcW w:w="840" w:type="dxa"/>
            <w:vAlign w:val="bottom"/>
            <w:gridSpan w:val="4"/>
            <w:shd w:val="clear" w:color="auto" w:fill="C0C0C0"/>
          </w:tcPr>
          <w:p>
            <w:pPr>
              <w:jc w:val="right"/>
              <w:ind w:right="340"/>
              <w:spacing w:after="0"/>
              <w:rPr>
                <w:sz w:val="20"/>
                <w:szCs w:val="20"/>
                <w:color w:val="auto"/>
              </w:rPr>
            </w:pPr>
            <w:r>
              <w:rPr>
                <w:rFonts w:ascii="Arial" w:cs="Arial" w:eastAsia="Arial" w:hAnsi="Arial"/>
                <w:sz w:val="17"/>
                <w:szCs w:val="17"/>
                <w:b w:val="1"/>
                <w:bCs w:val="1"/>
                <w:color w:val="auto"/>
              </w:rPr>
              <w:t>First</w:t>
            </w:r>
          </w:p>
        </w:tc>
        <w:tc>
          <w:tcPr>
            <w:tcW w:w="440" w:type="dxa"/>
            <w:vAlign w:val="bottom"/>
            <w:shd w:val="clear" w:color="auto" w:fill="C0C0C0"/>
          </w:tcPr>
          <w:p>
            <w:pPr>
              <w:spacing w:after="0"/>
              <w:rPr>
                <w:sz w:val="24"/>
                <w:szCs w:val="24"/>
                <w:color w:val="auto"/>
              </w:rPr>
            </w:pPr>
          </w:p>
        </w:tc>
        <w:tc>
          <w:tcPr>
            <w:tcW w:w="880" w:type="dxa"/>
            <w:vAlign w:val="bottom"/>
            <w:gridSpan w:val="4"/>
            <w:shd w:val="clear" w:color="auto" w:fill="C0C0C0"/>
          </w:tcPr>
          <w:p>
            <w:pPr>
              <w:jc w:val="right"/>
              <w:ind w:right="360"/>
              <w:spacing w:after="0"/>
              <w:rPr>
                <w:sz w:val="20"/>
                <w:szCs w:val="20"/>
                <w:color w:val="auto"/>
              </w:rPr>
            </w:pPr>
            <w:r>
              <w:rPr>
                <w:rFonts w:ascii="Arial" w:cs="Arial" w:eastAsia="Arial" w:hAnsi="Arial"/>
                <w:sz w:val="17"/>
                <w:szCs w:val="17"/>
                <w:b w:val="1"/>
                <w:bCs w:val="1"/>
                <w:color w:val="auto"/>
                <w:w w:val="81"/>
              </w:rPr>
              <w:t>Second</w:t>
            </w:r>
          </w:p>
        </w:tc>
        <w:tc>
          <w:tcPr>
            <w:tcW w:w="440" w:type="dxa"/>
            <w:vAlign w:val="bottom"/>
            <w:shd w:val="clear" w:color="auto" w:fill="C0C0C0"/>
          </w:tcPr>
          <w:p>
            <w:pPr>
              <w:spacing w:after="0"/>
              <w:rPr>
                <w:sz w:val="24"/>
                <w:szCs w:val="24"/>
                <w:color w:val="auto"/>
              </w:rPr>
            </w:pPr>
          </w:p>
        </w:tc>
        <w:tc>
          <w:tcPr>
            <w:tcW w:w="80" w:type="dxa"/>
            <w:vAlign w:val="bottom"/>
            <w:shd w:val="clear" w:color="auto" w:fill="C0C0C0"/>
          </w:tcPr>
          <w:p>
            <w:pPr>
              <w:spacing w:after="0"/>
              <w:rPr>
                <w:sz w:val="24"/>
                <w:szCs w:val="24"/>
                <w:color w:val="auto"/>
              </w:rPr>
            </w:pPr>
          </w:p>
        </w:tc>
        <w:tc>
          <w:tcPr>
            <w:tcW w:w="780" w:type="dxa"/>
            <w:vAlign w:val="bottom"/>
            <w:gridSpan w:val="2"/>
            <w:shd w:val="clear" w:color="auto" w:fill="C0C0C0"/>
          </w:tcPr>
          <w:p>
            <w:pPr>
              <w:jc w:val="right"/>
              <w:ind w:right="360"/>
              <w:spacing w:after="0"/>
              <w:rPr>
                <w:sz w:val="20"/>
                <w:szCs w:val="20"/>
                <w:color w:val="auto"/>
              </w:rPr>
            </w:pPr>
            <w:r>
              <w:rPr>
                <w:rFonts w:ascii="Arial" w:cs="Arial" w:eastAsia="Arial" w:hAnsi="Arial"/>
                <w:sz w:val="17"/>
                <w:szCs w:val="17"/>
                <w:b w:val="1"/>
                <w:bCs w:val="1"/>
                <w:color w:val="auto"/>
                <w:w w:val="93"/>
              </w:rPr>
              <w:t>Third</w:t>
            </w:r>
          </w:p>
        </w:tc>
        <w:tc>
          <w:tcPr>
            <w:tcW w:w="440" w:type="dxa"/>
            <w:vAlign w:val="bottom"/>
            <w:shd w:val="clear" w:color="auto" w:fill="C0C0C0"/>
          </w:tcPr>
          <w:p>
            <w:pPr>
              <w:spacing w:after="0"/>
              <w:rPr>
                <w:sz w:val="24"/>
                <w:szCs w:val="24"/>
                <w:color w:val="auto"/>
              </w:rPr>
            </w:pPr>
          </w:p>
        </w:tc>
        <w:tc>
          <w:tcPr>
            <w:tcW w:w="640" w:type="dxa"/>
            <w:vAlign w:val="bottom"/>
            <w:gridSpan w:val="3"/>
            <w:shd w:val="clear" w:color="auto" w:fill="C0C0C0"/>
          </w:tcPr>
          <w:p>
            <w:pPr>
              <w:spacing w:after="0"/>
              <w:rPr>
                <w:sz w:val="20"/>
                <w:szCs w:val="20"/>
                <w:color w:val="auto"/>
              </w:rPr>
            </w:pPr>
            <w:r>
              <w:rPr>
                <w:rFonts w:ascii="Arial" w:cs="Arial" w:eastAsia="Arial" w:hAnsi="Arial"/>
                <w:sz w:val="17"/>
                <w:szCs w:val="17"/>
                <w:b w:val="1"/>
                <w:bCs w:val="1"/>
                <w:color w:val="auto"/>
              </w:rPr>
              <w:t>Fourth</w:t>
            </w:r>
          </w:p>
        </w:tc>
      </w:tr>
      <w:tr>
        <w:trPr>
          <w:trHeight w:val="137"/>
        </w:trPr>
        <w:tc>
          <w:tcPr>
            <w:tcW w:w="100" w:type="dxa"/>
            <w:vAlign w:val="bottom"/>
            <w:tcBorders>
              <w:top w:val="single" w:sz="8" w:color="C0C0C0"/>
            </w:tcBorders>
            <w:shd w:val="clear" w:color="auto" w:fill="C0C0C0"/>
          </w:tcPr>
          <w:p>
            <w:pPr>
              <w:spacing w:after="0"/>
              <w:rPr>
                <w:sz w:val="11"/>
                <w:szCs w:val="11"/>
                <w:color w:val="auto"/>
              </w:rPr>
            </w:pPr>
          </w:p>
        </w:tc>
        <w:tc>
          <w:tcPr>
            <w:tcW w:w="1060" w:type="dxa"/>
            <w:vAlign w:val="bottom"/>
            <w:tcBorders>
              <w:top w:val="single" w:sz="8" w:color="auto"/>
            </w:tcBorders>
            <w:shd w:val="clear" w:color="auto" w:fill="C0C0C0"/>
          </w:tcPr>
          <w:p>
            <w:pPr>
              <w:spacing w:after="0"/>
              <w:rPr>
                <w:sz w:val="11"/>
                <w:szCs w:val="11"/>
                <w:color w:val="auto"/>
              </w:rPr>
            </w:pPr>
          </w:p>
        </w:tc>
        <w:tc>
          <w:tcPr>
            <w:tcW w:w="3220" w:type="dxa"/>
            <w:vAlign w:val="bottom"/>
            <w:tcBorders>
              <w:top w:val="single" w:sz="8" w:color="C0C0C0"/>
            </w:tcBorders>
            <w:shd w:val="clear" w:color="auto" w:fill="C0C0C0"/>
          </w:tcPr>
          <w:p>
            <w:pPr>
              <w:spacing w:after="0"/>
              <w:rPr>
                <w:sz w:val="11"/>
                <w:szCs w:val="11"/>
                <w:color w:val="auto"/>
              </w:rPr>
            </w:pPr>
          </w:p>
        </w:tc>
        <w:tc>
          <w:tcPr>
            <w:tcW w:w="1000" w:type="dxa"/>
            <w:vAlign w:val="bottom"/>
            <w:tcBorders>
              <w:top w:val="single" w:sz="8" w:color="C0C0C0"/>
            </w:tcBorders>
            <w:shd w:val="clear" w:color="auto" w:fill="C0C0C0"/>
          </w:tcPr>
          <w:p>
            <w:pPr>
              <w:spacing w:after="0"/>
              <w:rPr>
                <w:sz w:val="11"/>
                <w:szCs w:val="11"/>
                <w:color w:val="auto"/>
              </w:rPr>
            </w:pPr>
          </w:p>
        </w:tc>
        <w:tc>
          <w:tcPr>
            <w:tcW w:w="160" w:type="dxa"/>
            <w:vAlign w:val="bottom"/>
            <w:tcBorders>
              <w:top w:val="single" w:sz="8" w:color="C0C0C0"/>
            </w:tcBorders>
            <w:shd w:val="clear" w:color="auto" w:fill="C0C0C0"/>
          </w:tcPr>
          <w:p>
            <w:pPr>
              <w:spacing w:after="0"/>
              <w:rPr>
                <w:sz w:val="11"/>
                <w:szCs w:val="11"/>
                <w:color w:val="auto"/>
              </w:rPr>
            </w:pPr>
          </w:p>
        </w:tc>
        <w:tc>
          <w:tcPr>
            <w:tcW w:w="100" w:type="dxa"/>
            <w:vAlign w:val="bottom"/>
            <w:tcBorders>
              <w:top w:val="single" w:sz="8" w:color="auto"/>
            </w:tcBorders>
            <w:shd w:val="clear" w:color="auto" w:fill="C0C0C0"/>
          </w:tcPr>
          <w:p>
            <w:pPr>
              <w:spacing w:after="0"/>
              <w:rPr>
                <w:sz w:val="11"/>
                <w:szCs w:val="11"/>
                <w:color w:val="auto"/>
              </w:rPr>
            </w:pPr>
          </w:p>
        </w:tc>
        <w:tc>
          <w:tcPr>
            <w:tcW w:w="240" w:type="dxa"/>
            <w:vAlign w:val="bottom"/>
            <w:tcBorders>
              <w:top w:val="single" w:sz="8" w:color="auto"/>
            </w:tcBorders>
            <w:shd w:val="clear" w:color="auto" w:fill="C0C0C0"/>
          </w:tcPr>
          <w:p>
            <w:pPr>
              <w:spacing w:after="0"/>
              <w:rPr>
                <w:sz w:val="11"/>
                <w:szCs w:val="11"/>
                <w:color w:val="auto"/>
              </w:rPr>
            </w:pPr>
          </w:p>
        </w:tc>
        <w:tc>
          <w:tcPr>
            <w:tcW w:w="340" w:type="dxa"/>
            <w:vAlign w:val="bottom"/>
            <w:tcBorders>
              <w:top w:val="single" w:sz="8" w:color="C0C0C0"/>
            </w:tcBorders>
            <w:shd w:val="clear" w:color="auto" w:fill="C0C0C0"/>
          </w:tcPr>
          <w:p>
            <w:pPr>
              <w:spacing w:after="0"/>
              <w:rPr>
                <w:sz w:val="11"/>
                <w:szCs w:val="11"/>
                <w:color w:val="auto"/>
              </w:rPr>
            </w:pPr>
          </w:p>
        </w:tc>
        <w:tc>
          <w:tcPr>
            <w:tcW w:w="440" w:type="dxa"/>
            <w:vAlign w:val="bottom"/>
            <w:tcBorders>
              <w:top w:val="single" w:sz="8" w:color="C0C0C0"/>
            </w:tcBorders>
            <w:shd w:val="clear" w:color="auto" w:fill="C0C0C0"/>
          </w:tcPr>
          <w:p>
            <w:pPr>
              <w:spacing w:after="0"/>
              <w:rPr>
                <w:sz w:val="11"/>
                <w:szCs w:val="11"/>
                <w:color w:val="auto"/>
              </w:rPr>
            </w:pPr>
          </w:p>
        </w:tc>
        <w:tc>
          <w:tcPr>
            <w:tcW w:w="20" w:type="dxa"/>
            <w:vAlign w:val="bottom"/>
            <w:tcBorders>
              <w:top w:val="single" w:sz="8" w:color="auto"/>
            </w:tcBorders>
            <w:shd w:val="clear" w:color="auto" w:fill="C0C0C0"/>
          </w:tcPr>
          <w:p>
            <w:pPr>
              <w:spacing w:after="0"/>
              <w:rPr>
                <w:sz w:val="11"/>
                <w:szCs w:val="11"/>
                <w:color w:val="auto"/>
              </w:rPr>
            </w:pPr>
          </w:p>
        </w:tc>
        <w:tc>
          <w:tcPr>
            <w:tcW w:w="260" w:type="dxa"/>
            <w:vAlign w:val="bottom"/>
            <w:tcBorders>
              <w:top w:val="single" w:sz="8" w:color="auto"/>
            </w:tcBorders>
            <w:shd w:val="clear" w:color="auto" w:fill="C0C0C0"/>
          </w:tcPr>
          <w:p>
            <w:pPr>
              <w:spacing w:after="0"/>
              <w:rPr>
                <w:sz w:val="11"/>
                <w:szCs w:val="11"/>
                <w:color w:val="auto"/>
              </w:rPr>
            </w:pPr>
          </w:p>
        </w:tc>
        <w:tc>
          <w:tcPr>
            <w:tcW w:w="240" w:type="dxa"/>
            <w:vAlign w:val="bottom"/>
            <w:tcBorders>
              <w:top w:val="single" w:sz="8" w:color="auto"/>
            </w:tcBorders>
            <w:shd w:val="clear" w:color="auto" w:fill="C0C0C0"/>
          </w:tcPr>
          <w:p>
            <w:pPr>
              <w:spacing w:after="0"/>
              <w:rPr>
                <w:sz w:val="11"/>
                <w:szCs w:val="11"/>
                <w:color w:val="auto"/>
              </w:rPr>
            </w:pPr>
          </w:p>
        </w:tc>
        <w:tc>
          <w:tcPr>
            <w:tcW w:w="360" w:type="dxa"/>
            <w:vAlign w:val="bottom"/>
            <w:tcBorders>
              <w:top w:val="single" w:sz="8" w:color="C0C0C0"/>
            </w:tcBorders>
            <w:shd w:val="clear" w:color="auto" w:fill="C0C0C0"/>
          </w:tcPr>
          <w:p>
            <w:pPr>
              <w:spacing w:after="0"/>
              <w:rPr>
                <w:sz w:val="11"/>
                <w:szCs w:val="11"/>
                <w:color w:val="auto"/>
              </w:rPr>
            </w:pPr>
          </w:p>
        </w:tc>
        <w:tc>
          <w:tcPr>
            <w:tcW w:w="440" w:type="dxa"/>
            <w:vAlign w:val="bottom"/>
            <w:tcBorders>
              <w:top w:val="single" w:sz="8" w:color="C0C0C0"/>
            </w:tcBorders>
            <w:shd w:val="clear" w:color="auto" w:fill="C0C0C0"/>
          </w:tcPr>
          <w:p>
            <w:pPr>
              <w:spacing w:after="0"/>
              <w:rPr>
                <w:sz w:val="11"/>
                <w:szCs w:val="11"/>
                <w:color w:val="auto"/>
              </w:rPr>
            </w:pPr>
          </w:p>
        </w:tc>
        <w:tc>
          <w:tcPr>
            <w:tcW w:w="80" w:type="dxa"/>
            <w:vAlign w:val="bottom"/>
            <w:tcBorders>
              <w:top w:val="single" w:sz="8" w:color="C0C0C0"/>
            </w:tcBorders>
            <w:shd w:val="clear" w:color="auto" w:fill="C0C0C0"/>
          </w:tcPr>
          <w:p>
            <w:pPr>
              <w:spacing w:after="0"/>
              <w:rPr>
                <w:sz w:val="11"/>
                <w:szCs w:val="11"/>
                <w:color w:val="auto"/>
              </w:rPr>
            </w:pPr>
          </w:p>
        </w:tc>
        <w:tc>
          <w:tcPr>
            <w:tcW w:w="420" w:type="dxa"/>
            <w:vAlign w:val="bottom"/>
            <w:tcBorders>
              <w:top w:val="single" w:sz="8" w:color="auto"/>
            </w:tcBorders>
            <w:shd w:val="clear" w:color="auto" w:fill="C0C0C0"/>
          </w:tcPr>
          <w:p>
            <w:pPr>
              <w:spacing w:after="0"/>
              <w:rPr>
                <w:sz w:val="11"/>
                <w:szCs w:val="11"/>
                <w:color w:val="auto"/>
              </w:rPr>
            </w:pPr>
          </w:p>
        </w:tc>
        <w:tc>
          <w:tcPr>
            <w:tcW w:w="360" w:type="dxa"/>
            <w:vAlign w:val="bottom"/>
            <w:tcBorders>
              <w:top w:val="single" w:sz="8" w:color="C0C0C0"/>
            </w:tcBorders>
            <w:shd w:val="clear" w:color="auto" w:fill="C0C0C0"/>
          </w:tcPr>
          <w:p>
            <w:pPr>
              <w:spacing w:after="0"/>
              <w:rPr>
                <w:sz w:val="11"/>
                <w:szCs w:val="11"/>
                <w:color w:val="auto"/>
              </w:rPr>
            </w:pPr>
          </w:p>
        </w:tc>
        <w:tc>
          <w:tcPr>
            <w:tcW w:w="440" w:type="dxa"/>
            <w:vAlign w:val="bottom"/>
            <w:tcBorders>
              <w:top w:val="single" w:sz="8" w:color="C0C0C0"/>
            </w:tcBorders>
            <w:shd w:val="clear" w:color="auto" w:fill="C0C0C0"/>
          </w:tcPr>
          <w:p>
            <w:pPr>
              <w:spacing w:after="0"/>
              <w:rPr>
                <w:sz w:val="11"/>
                <w:szCs w:val="11"/>
                <w:color w:val="auto"/>
              </w:rPr>
            </w:pPr>
          </w:p>
        </w:tc>
        <w:tc>
          <w:tcPr>
            <w:tcW w:w="40" w:type="dxa"/>
            <w:vAlign w:val="bottom"/>
            <w:tcBorders>
              <w:top w:val="single" w:sz="8" w:color="auto"/>
            </w:tcBorders>
            <w:shd w:val="clear" w:color="auto" w:fill="C0C0C0"/>
          </w:tcPr>
          <w:p>
            <w:pPr>
              <w:spacing w:after="0"/>
              <w:rPr>
                <w:sz w:val="11"/>
                <w:szCs w:val="11"/>
                <w:color w:val="auto"/>
              </w:rPr>
            </w:pPr>
          </w:p>
        </w:tc>
        <w:tc>
          <w:tcPr>
            <w:tcW w:w="480" w:type="dxa"/>
            <w:vAlign w:val="bottom"/>
            <w:tcBorders>
              <w:top w:val="single" w:sz="8" w:color="auto"/>
            </w:tcBorders>
            <w:shd w:val="clear" w:color="auto" w:fill="C0C0C0"/>
          </w:tcPr>
          <w:p>
            <w:pPr>
              <w:spacing w:after="0"/>
              <w:rPr>
                <w:sz w:val="11"/>
                <w:szCs w:val="11"/>
                <w:color w:val="auto"/>
              </w:rPr>
            </w:pPr>
          </w:p>
        </w:tc>
        <w:tc>
          <w:tcPr>
            <w:tcW w:w="120" w:type="dxa"/>
            <w:vAlign w:val="bottom"/>
            <w:tcBorders>
              <w:top w:val="single" w:sz="8" w:color="C0C0C0"/>
            </w:tcBorders>
            <w:shd w:val="clear" w:color="auto" w:fill="C0C0C0"/>
          </w:tcPr>
          <w:p>
            <w:pPr>
              <w:spacing w:after="0"/>
              <w:rPr>
                <w:sz w:val="11"/>
                <w:szCs w:val="11"/>
                <w:color w:val="auto"/>
              </w:rPr>
            </w:pPr>
          </w:p>
        </w:tc>
      </w:tr>
      <w:tr>
        <w:trPr>
          <w:trHeight w:val="325"/>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Market Price Range Per Share of Common Stock</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11"/>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High</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4"/>
          </w:tcPr>
          <w:p>
            <w:pPr>
              <w:jc w:val="right"/>
              <w:ind w:right="340"/>
              <w:spacing w:after="0"/>
              <w:rPr>
                <w:sz w:val="20"/>
                <w:szCs w:val="20"/>
                <w:color w:val="auto"/>
              </w:rPr>
            </w:pPr>
            <w:r>
              <w:rPr>
                <w:rFonts w:ascii="Arial" w:cs="Arial" w:eastAsia="Arial" w:hAnsi="Arial"/>
                <w:sz w:val="34"/>
                <w:szCs w:val="34"/>
                <w:color w:val="auto"/>
                <w:w w:val="85"/>
                <w:vertAlign w:val="subscript"/>
              </w:rPr>
              <w:t>46</w:t>
            </w:r>
            <w:r>
              <w:rPr>
                <w:rFonts w:ascii="Arial" w:cs="Arial" w:eastAsia="Arial" w:hAnsi="Arial"/>
                <w:sz w:val="14"/>
                <w:szCs w:val="14"/>
                <w:color w:val="auto"/>
                <w:w w:val="85"/>
              </w:rPr>
              <w:t xml:space="preserve"> 7/16</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4"/>
              </w:rPr>
              <w:t>47</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color w:val="auto"/>
              </w:rPr>
              <w:t>3/4</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360"/>
              <w:spacing w:after="0"/>
              <w:rPr>
                <w:sz w:val="20"/>
                <w:szCs w:val="20"/>
                <w:color w:val="auto"/>
              </w:rPr>
            </w:pPr>
            <w:r>
              <w:rPr>
                <w:rFonts w:ascii="Arial" w:cs="Arial" w:eastAsia="Arial" w:hAnsi="Arial"/>
                <w:sz w:val="34"/>
                <w:szCs w:val="34"/>
                <w:color w:val="auto"/>
                <w:w w:val="85"/>
                <w:vertAlign w:val="subscript"/>
              </w:rPr>
              <w:t>54</w:t>
            </w:r>
            <w:r>
              <w:rPr>
                <w:rFonts w:ascii="Arial" w:cs="Arial" w:eastAsia="Arial" w:hAnsi="Arial"/>
                <w:sz w:val="14"/>
                <w:szCs w:val="14"/>
                <w:color w:val="auto"/>
                <w:w w:val="85"/>
              </w:rPr>
              <w:t xml:space="preserve"> 1/16</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34"/>
                <w:szCs w:val="34"/>
                <w:color w:val="auto"/>
                <w:w w:val="94"/>
                <w:vertAlign w:val="subscript"/>
              </w:rPr>
              <w:t>46</w:t>
            </w:r>
            <w:r>
              <w:rPr>
                <w:rFonts w:ascii="Arial" w:cs="Arial" w:eastAsia="Arial" w:hAnsi="Arial"/>
                <w:sz w:val="14"/>
                <w:szCs w:val="14"/>
                <w:color w:val="auto"/>
                <w:w w:val="94"/>
              </w:rPr>
              <w:t xml:space="preserve"> 1/4</w:t>
            </w:r>
          </w:p>
        </w:tc>
      </w:tr>
      <w:tr>
        <w:trPr>
          <w:trHeight w:val="485"/>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Low</w:t>
            </w:r>
          </w:p>
        </w:tc>
        <w:tc>
          <w:tcPr>
            <w:tcW w:w="100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36</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5/8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4"/>
              </w:rPr>
              <w:t>40</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color w:val="auto"/>
              </w:rPr>
              <w:t>3/8</w:t>
            </w:r>
          </w:p>
        </w:tc>
        <w:tc>
          <w:tcPr>
            <w:tcW w:w="440" w:type="dxa"/>
            <w:vAlign w:val="bottom"/>
          </w:tcPr>
          <w:p>
            <w:pPr>
              <w:spacing w:after="0"/>
              <w:rPr>
                <w:sz w:val="24"/>
                <w:szCs w:val="2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34"/>
                <w:szCs w:val="34"/>
                <w:color w:val="auto"/>
                <w:w w:val="98"/>
                <w:vertAlign w:val="subscript"/>
              </w:rPr>
              <w:t>41</w:t>
            </w:r>
            <w:r>
              <w:rPr>
                <w:rFonts w:ascii="Arial" w:cs="Arial" w:eastAsia="Arial" w:hAnsi="Arial"/>
                <w:sz w:val="14"/>
                <w:szCs w:val="14"/>
                <w:color w:val="auto"/>
                <w:w w:val="98"/>
              </w:rPr>
              <w:t xml:space="preserve"> 3/8</w:t>
            </w:r>
          </w:p>
        </w:tc>
        <w:tc>
          <w:tcPr>
            <w:tcW w:w="1080" w:type="dxa"/>
            <w:vAlign w:val="bottom"/>
            <w:gridSpan w:val="4"/>
          </w:tcPr>
          <w:p>
            <w:pPr>
              <w:jc w:val="right"/>
              <w:ind w:right="120"/>
              <w:spacing w:after="0"/>
              <w:rPr>
                <w:sz w:val="20"/>
                <w:szCs w:val="20"/>
                <w:color w:val="auto"/>
              </w:rPr>
            </w:pPr>
            <w:r>
              <w:rPr>
                <w:rFonts w:ascii="Arial" w:cs="Arial" w:eastAsia="Arial" w:hAnsi="Arial"/>
                <w:sz w:val="34"/>
                <w:szCs w:val="34"/>
                <w:color w:val="auto"/>
                <w:vertAlign w:val="subscript"/>
              </w:rPr>
              <w:t>28</w:t>
            </w:r>
            <w:r>
              <w:rPr>
                <w:rFonts w:ascii="Arial" w:cs="Arial" w:eastAsia="Arial" w:hAnsi="Arial"/>
                <w:sz w:val="14"/>
                <w:szCs w:val="14"/>
                <w:color w:val="auto"/>
              </w:rPr>
              <w:t>15/16</w:t>
            </w:r>
          </w:p>
        </w:tc>
      </w:tr>
      <w:tr>
        <w:trPr>
          <w:trHeight w:val="484"/>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Close</w:t>
            </w:r>
          </w:p>
        </w:tc>
        <w:tc>
          <w:tcPr>
            <w:tcW w:w="1000" w:type="dxa"/>
            <w:vAlign w:val="bottom"/>
          </w:tcPr>
          <w:p>
            <w:pPr>
              <w:spacing w:after="0"/>
              <w:rPr>
                <w:sz w:val="24"/>
                <w:szCs w:val="24"/>
                <w:color w:val="auto"/>
              </w:rPr>
            </w:pPr>
          </w:p>
        </w:tc>
        <w:tc>
          <w:tcPr>
            <w:tcW w:w="840" w:type="dxa"/>
            <w:vAlign w:val="bottom"/>
            <w:gridSpan w:val="4"/>
          </w:tcPr>
          <w:p>
            <w:pPr>
              <w:jc w:val="right"/>
              <w:ind w:right="340"/>
              <w:spacing w:after="0"/>
              <w:rPr>
                <w:sz w:val="20"/>
                <w:szCs w:val="20"/>
                <w:color w:val="auto"/>
              </w:rPr>
            </w:pPr>
            <w:r>
              <w:rPr>
                <w:rFonts w:ascii="Arial" w:cs="Arial" w:eastAsia="Arial" w:hAnsi="Arial"/>
                <w:sz w:val="34"/>
                <w:szCs w:val="34"/>
                <w:color w:val="auto"/>
                <w:w w:val="79"/>
                <w:vertAlign w:val="subscript"/>
              </w:rPr>
              <w:t>41</w:t>
            </w:r>
            <w:r>
              <w:rPr>
                <w:rFonts w:ascii="Arial" w:cs="Arial" w:eastAsia="Arial" w:hAnsi="Arial"/>
                <w:sz w:val="14"/>
                <w:szCs w:val="14"/>
                <w:color w:val="auto"/>
                <w:w w:val="79"/>
              </w:rPr>
              <w:t>15/16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34"/>
                <w:szCs w:val="34"/>
                <w:color w:val="auto"/>
                <w:w w:val="79"/>
                <w:vertAlign w:val="subscript"/>
              </w:rPr>
              <w:t>41</w:t>
            </w:r>
            <w:r>
              <w:rPr>
                <w:rFonts w:ascii="Arial" w:cs="Arial" w:eastAsia="Arial" w:hAnsi="Arial"/>
                <w:sz w:val="14"/>
                <w:szCs w:val="14"/>
                <w:color w:val="auto"/>
                <w:w w:val="79"/>
              </w:rPr>
              <w:t>11/16</w:t>
            </w:r>
          </w:p>
        </w:tc>
        <w:tc>
          <w:tcPr>
            <w:tcW w:w="440" w:type="dxa"/>
            <w:vAlign w:val="bottom"/>
          </w:tcPr>
          <w:p>
            <w:pPr>
              <w:spacing w:after="0"/>
              <w:rPr>
                <w:sz w:val="24"/>
                <w:szCs w:val="2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34"/>
                <w:szCs w:val="34"/>
                <w:color w:val="auto"/>
                <w:w w:val="79"/>
                <w:vertAlign w:val="subscript"/>
              </w:rPr>
              <w:t>43</w:t>
            </w:r>
            <w:r>
              <w:rPr>
                <w:rFonts w:ascii="Arial" w:cs="Arial" w:eastAsia="Arial" w:hAnsi="Arial"/>
                <w:sz w:val="14"/>
                <w:szCs w:val="14"/>
                <w:color w:val="auto"/>
                <w:w w:val="79"/>
              </w:rPr>
              <w:t>15/16</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34"/>
                <w:szCs w:val="34"/>
                <w:color w:val="auto"/>
                <w:w w:val="81"/>
                <w:vertAlign w:val="subscript"/>
              </w:rPr>
              <w:t>34</w:t>
            </w:r>
            <w:r>
              <w:rPr>
                <w:rFonts w:ascii="Arial" w:cs="Arial" w:eastAsia="Arial" w:hAnsi="Arial"/>
                <w:sz w:val="14"/>
                <w:szCs w:val="14"/>
                <w:color w:val="auto"/>
                <w:w w:val="81"/>
              </w:rPr>
              <w:t xml:space="preserve"> 3/16</w:t>
            </w:r>
          </w:p>
        </w:tc>
      </w:tr>
      <w:tr>
        <w:trPr>
          <w:trHeight w:val="445"/>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Dividends paid per common share</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4"/>
          </w:tcPr>
          <w:p>
            <w:pPr>
              <w:jc w:val="right"/>
              <w:ind w:right="340"/>
              <w:spacing w:after="0"/>
              <w:rPr>
                <w:sz w:val="20"/>
                <w:szCs w:val="20"/>
                <w:color w:val="auto"/>
              </w:rPr>
            </w:pPr>
            <w:r>
              <w:rPr>
                <w:rFonts w:ascii="Arial" w:cs="Arial" w:eastAsia="Arial" w:hAnsi="Arial"/>
                <w:sz w:val="17"/>
                <w:szCs w:val="17"/>
                <w:color w:val="auto"/>
              </w:rPr>
              <w:t>0.025</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0.025</w:t>
            </w: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360"/>
              <w:spacing w:after="0"/>
              <w:rPr>
                <w:sz w:val="20"/>
                <w:szCs w:val="20"/>
                <w:color w:val="auto"/>
              </w:rPr>
            </w:pPr>
            <w:r>
              <w:rPr>
                <w:rFonts w:ascii="Arial" w:cs="Arial" w:eastAsia="Arial" w:hAnsi="Arial"/>
                <w:sz w:val="17"/>
                <w:szCs w:val="17"/>
                <w:color w:val="auto"/>
              </w:rPr>
              <w:t>0.025</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0.025</w:t>
            </w:r>
          </w:p>
        </w:tc>
      </w:tr>
    </w:tbl>
    <w:p>
      <w:pPr>
        <w:spacing w:after="0" w:line="200" w:lineRule="exact"/>
        <w:rPr>
          <w:sz w:val="20"/>
          <w:szCs w:val="20"/>
          <w:color w:val="auto"/>
        </w:rPr>
      </w:pPr>
    </w:p>
    <w:p>
      <w:pPr>
        <w:spacing w:after="0" w:line="392" w:lineRule="exact"/>
        <w:rPr>
          <w:sz w:val="20"/>
          <w:szCs w:val="20"/>
          <w:color w:val="auto"/>
        </w:rPr>
      </w:pPr>
    </w:p>
    <w:tbl>
      <w:tblPr>
        <w:tblLayout w:type="fixed"/>
        <w:tblInd w:w="760" w:type="dxa"/>
        <w:tblCellMar>
          <w:top w:w="0" w:type="dxa"/>
          <w:left w:w="0" w:type="dxa"/>
          <w:bottom w:w="0" w:type="dxa"/>
          <w:right w:w="0" w:type="dxa"/>
        </w:tblCellMar>
      </w:tblPr>
      <w:tr>
        <w:trPr>
          <w:trHeight w:val="288"/>
        </w:trPr>
        <w:tc>
          <w:tcPr>
            <w:tcW w:w="100" w:type="dxa"/>
            <w:vAlign w:val="bottom"/>
            <w:shd w:val="clear" w:color="auto" w:fill="C0C0C0"/>
          </w:tcPr>
          <w:p>
            <w:pPr>
              <w:spacing w:after="0"/>
              <w:rPr>
                <w:sz w:val="24"/>
                <w:szCs w:val="24"/>
                <w:color w:val="auto"/>
              </w:rPr>
            </w:pPr>
          </w:p>
        </w:tc>
        <w:tc>
          <w:tcPr>
            <w:tcW w:w="4280" w:type="dxa"/>
            <w:vAlign w:val="bottom"/>
            <w:gridSpan w:val="2"/>
            <w:shd w:val="clear" w:color="auto" w:fill="C0C0C0"/>
          </w:tcPr>
          <w:p>
            <w:pPr>
              <w:spacing w:after="0"/>
              <w:rPr>
                <w:sz w:val="20"/>
                <w:szCs w:val="20"/>
                <w:color w:val="auto"/>
              </w:rPr>
            </w:pPr>
            <w:r>
              <w:rPr>
                <w:rFonts w:ascii="Arial" w:cs="Arial" w:eastAsia="Arial" w:hAnsi="Arial"/>
                <w:sz w:val="17"/>
                <w:szCs w:val="17"/>
                <w:b w:val="1"/>
                <w:bCs w:val="1"/>
                <w:color w:val="auto"/>
              </w:rPr>
              <w:t>1999 Quarters</w:t>
            </w:r>
          </w:p>
        </w:tc>
        <w:tc>
          <w:tcPr>
            <w:tcW w:w="1860" w:type="dxa"/>
            <w:vAlign w:val="bottom"/>
            <w:gridSpan w:val="3"/>
            <w:shd w:val="clear" w:color="auto" w:fill="C0C0C0"/>
          </w:tcPr>
          <w:p>
            <w:pPr>
              <w:jc w:val="right"/>
              <w:ind w:right="360"/>
              <w:spacing w:after="0"/>
              <w:rPr>
                <w:sz w:val="20"/>
                <w:szCs w:val="20"/>
                <w:color w:val="auto"/>
              </w:rPr>
            </w:pPr>
            <w:r>
              <w:rPr>
                <w:rFonts w:ascii="Arial" w:cs="Arial" w:eastAsia="Arial" w:hAnsi="Arial"/>
                <w:sz w:val="17"/>
                <w:szCs w:val="17"/>
                <w:b w:val="1"/>
                <w:bCs w:val="1"/>
                <w:color w:val="auto"/>
              </w:rPr>
              <w:t>First</w:t>
            </w:r>
          </w:p>
        </w:tc>
        <w:tc>
          <w:tcPr>
            <w:tcW w:w="420" w:type="dxa"/>
            <w:vAlign w:val="bottom"/>
            <w:shd w:val="clear" w:color="auto" w:fill="C0C0C0"/>
          </w:tcPr>
          <w:p>
            <w:pPr>
              <w:spacing w:after="0"/>
              <w:rPr>
                <w:sz w:val="24"/>
                <w:szCs w:val="24"/>
                <w:color w:val="auto"/>
              </w:rPr>
            </w:pPr>
          </w:p>
        </w:tc>
        <w:tc>
          <w:tcPr>
            <w:tcW w:w="860" w:type="dxa"/>
            <w:vAlign w:val="bottom"/>
            <w:gridSpan w:val="2"/>
            <w:shd w:val="clear" w:color="auto" w:fill="C0C0C0"/>
          </w:tcPr>
          <w:p>
            <w:pPr>
              <w:jc w:val="right"/>
              <w:ind w:right="340"/>
              <w:spacing w:after="0"/>
              <w:rPr>
                <w:sz w:val="20"/>
                <w:szCs w:val="20"/>
                <w:color w:val="auto"/>
              </w:rPr>
            </w:pPr>
            <w:r>
              <w:rPr>
                <w:rFonts w:ascii="Arial" w:cs="Arial" w:eastAsia="Arial" w:hAnsi="Arial"/>
                <w:sz w:val="17"/>
                <w:szCs w:val="17"/>
                <w:b w:val="1"/>
                <w:bCs w:val="1"/>
                <w:color w:val="auto"/>
                <w:w w:val="81"/>
              </w:rPr>
              <w:t>Second</w:t>
            </w:r>
          </w:p>
        </w:tc>
        <w:tc>
          <w:tcPr>
            <w:tcW w:w="540" w:type="dxa"/>
            <w:vAlign w:val="bottom"/>
            <w:shd w:val="clear" w:color="auto" w:fill="C0C0C0"/>
          </w:tcPr>
          <w:p>
            <w:pPr>
              <w:spacing w:after="0"/>
              <w:rPr>
                <w:sz w:val="24"/>
                <w:szCs w:val="24"/>
                <w:color w:val="auto"/>
              </w:rPr>
            </w:pPr>
          </w:p>
        </w:tc>
        <w:tc>
          <w:tcPr>
            <w:tcW w:w="780" w:type="dxa"/>
            <w:vAlign w:val="bottom"/>
            <w:gridSpan w:val="2"/>
            <w:shd w:val="clear" w:color="auto" w:fill="C0C0C0"/>
          </w:tcPr>
          <w:p>
            <w:pPr>
              <w:jc w:val="right"/>
              <w:ind w:right="360"/>
              <w:spacing w:after="0"/>
              <w:rPr>
                <w:sz w:val="20"/>
                <w:szCs w:val="20"/>
                <w:color w:val="auto"/>
              </w:rPr>
            </w:pPr>
            <w:r>
              <w:rPr>
                <w:rFonts w:ascii="Arial" w:cs="Arial" w:eastAsia="Arial" w:hAnsi="Arial"/>
                <w:sz w:val="17"/>
                <w:szCs w:val="17"/>
                <w:b w:val="1"/>
                <w:bCs w:val="1"/>
                <w:color w:val="auto"/>
                <w:w w:val="93"/>
              </w:rPr>
              <w:t>Third</w:t>
            </w:r>
          </w:p>
        </w:tc>
        <w:tc>
          <w:tcPr>
            <w:tcW w:w="440" w:type="dxa"/>
            <w:vAlign w:val="bottom"/>
            <w:shd w:val="clear" w:color="auto" w:fill="C0C0C0"/>
          </w:tcPr>
          <w:p>
            <w:pPr>
              <w:spacing w:after="0"/>
              <w:rPr>
                <w:sz w:val="24"/>
                <w:szCs w:val="24"/>
                <w:color w:val="auto"/>
              </w:rPr>
            </w:pPr>
          </w:p>
        </w:tc>
        <w:tc>
          <w:tcPr>
            <w:tcW w:w="640" w:type="dxa"/>
            <w:vAlign w:val="bottom"/>
            <w:gridSpan w:val="2"/>
            <w:shd w:val="clear" w:color="auto" w:fill="C0C0C0"/>
          </w:tcPr>
          <w:p>
            <w:pPr>
              <w:spacing w:after="0"/>
              <w:rPr>
                <w:sz w:val="20"/>
                <w:szCs w:val="20"/>
                <w:color w:val="auto"/>
              </w:rPr>
            </w:pPr>
            <w:r>
              <w:rPr>
                <w:rFonts w:ascii="Arial" w:cs="Arial" w:eastAsia="Arial" w:hAnsi="Arial"/>
                <w:sz w:val="17"/>
                <w:szCs w:val="17"/>
                <w:b w:val="1"/>
                <w:bCs w:val="1"/>
                <w:color w:val="auto"/>
              </w:rPr>
              <w:t>Fourth</w:t>
            </w:r>
          </w:p>
        </w:tc>
      </w:tr>
      <w:tr>
        <w:trPr>
          <w:trHeight w:val="137"/>
        </w:trPr>
        <w:tc>
          <w:tcPr>
            <w:tcW w:w="100" w:type="dxa"/>
            <w:vAlign w:val="bottom"/>
            <w:tcBorders>
              <w:top w:val="single" w:sz="8" w:color="C0C0C0"/>
            </w:tcBorders>
            <w:shd w:val="clear" w:color="auto" w:fill="C0C0C0"/>
          </w:tcPr>
          <w:p>
            <w:pPr>
              <w:spacing w:after="0"/>
              <w:rPr>
                <w:sz w:val="11"/>
                <w:szCs w:val="11"/>
                <w:color w:val="auto"/>
              </w:rPr>
            </w:pPr>
          </w:p>
        </w:tc>
        <w:tc>
          <w:tcPr>
            <w:tcW w:w="1060" w:type="dxa"/>
            <w:vAlign w:val="bottom"/>
            <w:tcBorders>
              <w:top w:val="single" w:sz="8" w:color="auto"/>
            </w:tcBorders>
            <w:shd w:val="clear" w:color="auto" w:fill="C0C0C0"/>
          </w:tcPr>
          <w:p>
            <w:pPr>
              <w:spacing w:after="0"/>
              <w:rPr>
                <w:sz w:val="11"/>
                <w:szCs w:val="11"/>
                <w:color w:val="auto"/>
              </w:rPr>
            </w:pPr>
          </w:p>
        </w:tc>
        <w:tc>
          <w:tcPr>
            <w:tcW w:w="3220" w:type="dxa"/>
            <w:vAlign w:val="bottom"/>
            <w:tcBorders>
              <w:top w:val="single" w:sz="8" w:color="C0C0C0"/>
            </w:tcBorders>
            <w:shd w:val="clear" w:color="auto" w:fill="C0C0C0"/>
          </w:tcPr>
          <w:p>
            <w:pPr>
              <w:spacing w:after="0"/>
              <w:rPr>
                <w:sz w:val="11"/>
                <w:szCs w:val="11"/>
                <w:color w:val="auto"/>
              </w:rPr>
            </w:pPr>
          </w:p>
        </w:tc>
        <w:tc>
          <w:tcPr>
            <w:tcW w:w="1160" w:type="dxa"/>
            <w:vAlign w:val="bottom"/>
            <w:tcBorders>
              <w:top w:val="single" w:sz="8" w:color="C0C0C0"/>
            </w:tcBorders>
            <w:shd w:val="clear" w:color="auto" w:fill="C0C0C0"/>
          </w:tcPr>
          <w:p>
            <w:pPr>
              <w:spacing w:after="0"/>
              <w:rPr>
                <w:sz w:val="11"/>
                <w:szCs w:val="11"/>
                <w:color w:val="auto"/>
              </w:rPr>
            </w:pPr>
          </w:p>
        </w:tc>
        <w:tc>
          <w:tcPr>
            <w:tcW w:w="340" w:type="dxa"/>
            <w:vAlign w:val="bottom"/>
            <w:tcBorders>
              <w:top w:val="single" w:sz="8" w:color="auto"/>
            </w:tcBorders>
            <w:shd w:val="clear" w:color="auto" w:fill="C0C0C0"/>
          </w:tcPr>
          <w:p>
            <w:pPr>
              <w:spacing w:after="0"/>
              <w:rPr>
                <w:sz w:val="11"/>
                <w:szCs w:val="11"/>
                <w:color w:val="auto"/>
              </w:rPr>
            </w:pPr>
          </w:p>
        </w:tc>
        <w:tc>
          <w:tcPr>
            <w:tcW w:w="360" w:type="dxa"/>
            <w:vAlign w:val="bottom"/>
            <w:tcBorders>
              <w:top w:val="single" w:sz="8" w:color="C0C0C0"/>
            </w:tcBorders>
            <w:shd w:val="clear" w:color="auto" w:fill="C0C0C0"/>
          </w:tcPr>
          <w:p>
            <w:pPr>
              <w:spacing w:after="0"/>
              <w:rPr>
                <w:sz w:val="11"/>
                <w:szCs w:val="11"/>
                <w:color w:val="auto"/>
              </w:rPr>
            </w:pPr>
          </w:p>
        </w:tc>
        <w:tc>
          <w:tcPr>
            <w:tcW w:w="420" w:type="dxa"/>
            <w:vAlign w:val="bottom"/>
            <w:tcBorders>
              <w:top w:val="single" w:sz="8" w:color="C0C0C0"/>
            </w:tcBorders>
            <w:shd w:val="clear" w:color="auto" w:fill="C0C0C0"/>
          </w:tcPr>
          <w:p>
            <w:pPr>
              <w:spacing w:after="0"/>
              <w:rPr>
                <w:sz w:val="11"/>
                <w:szCs w:val="11"/>
                <w:color w:val="auto"/>
              </w:rPr>
            </w:pPr>
          </w:p>
        </w:tc>
        <w:tc>
          <w:tcPr>
            <w:tcW w:w="520" w:type="dxa"/>
            <w:vAlign w:val="bottom"/>
            <w:tcBorders>
              <w:top w:val="single" w:sz="8" w:color="auto"/>
            </w:tcBorders>
            <w:shd w:val="clear" w:color="auto" w:fill="C0C0C0"/>
          </w:tcPr>
          <w:p>
            <w:pPr>
              <w:spacing w:after="0"/>
              <w:rPr>
                <w:sz w:val="11"/>
                <w:szCs w:val="11"/>
                <w:color w:val="auto"/>
              </w:rPr>
            </w:pPr>
          </w:p>
        </w:tc>
        <w:tc>
          <w:tcPr>
            <w:tcW w:w="340" w:type="dxa"/>
            <w:vAlign w:val="bottom"/>
            <w:tcBorders>
              <w:top w:val="single" w:sz="8" w:color="C0C0C0"/>
            </w:tcBorders>
            <w:shd w:val="clear" w:color="auto" w:fill="C0C0C0"/>
          </w:tcPr>
          <w:p>
            <w:pPr>
              <w:spacing w:after="0"/>
              <w:rPr>
                <w:sz w:val="11"/>
                <w:szCs w:val="11"/>
                <w:color w:val="auto"/>
              </w:rPr>
            </w:pPr>
          </w:p>
        </w:tc>
        <w:tc>
          <w:tcPr>
            <w:tcW w:w="540" w:type="dxa"/>
            <w:vAlign w:val="bottom"/>
            <w:tcBorders>
              <w:top w:val="single" w:sz="8" w:color="C0C0C0"/>
            </w:tcBorders>
            <w:shd w:val="clear" w:color="auto" w:fill="C0C0C0"/>
          </w:tcPr>
          <w:p>
            <w:pPr>
              <w:spacing w:after="0"/>
              <w:rPr>
                <w:sz w:val="11"/>
                <w:szCs w:val="11"/>
                <w:color w:val="auto"/>
              </w:rPr>
            </w:pPr>
          </w:p>
        </w:tc>
        <w:tc>
          <w:tcPr>
            <w:tcW w:w="420" w:type="dxa"/>
            <w:vAlign w:val="bottom"/>
            <w:tcBorders>
              <w:top w:val="single" w:sz="8" w:color="auto"/>
            </w:tcBorders>
            <w:shd w:val="clear" w:color="auto" w:fill="C0C0C0"/>
          </w:tcPr>
          <w:p>
            <w:pPr>
              <w:spacing w:after="0"/>
              <w:rPr>
                <w:sz w:val="11"/>
                <w:szCs w:val="11"/>
                <w:color w:val="auto"/>
              </w:rPr>
            </w:pPr>
          </w:p>
        </w:tc>
        <w:tc>
          <w:tcPr>
            <w:tcW w:w="360" w:type="dxa"/>
            <w:vAlign w:val="bottom"/>
            <w:tcBorders>
              <w:top w:val="single" w:sz="8" w:color="C0C0C0"/>
            </w:tcBorders>
            <w:shd w:val="clear" w:color="auto" w:fill="C0C0C0"/>
          </w:tcPr>
          <w:p>
            <w:pPr>
              <w:spacing w:after="0"/>
              <w:rPr>
                <w:sz w:val="11"/>
                <w:szCs w:val="11"/>
                <w:color w:val="auto"/>
              </w:rPr>
            </w:pPr>
          </w:p>
        </w:tc>
        <w:tc>
          <w:tcPr>
            <w:tcW w:w="440" w:type="dxa"/>
            <w:vAlign w:val="bottom"/>
            <w:tcBorders>
              <w:top w:val="single" w:sz="8" w:color="C0C0C0"/>
            </w:tcBorders>
            <w:shd w:val="clear" w:color="auto" w:fill="C0C0C0"/>
          </w:tcPr>
          <w:p>
            <w:pPr>
              <w:spacing w:after="0"/>
              <w:rPr>
                <w:sz w:val="11"/>
                <w:szCs w:val="11"/>
                <w:color w:val="auto"/>
              </w:rPr>
            </w:pPr>
          </w:p>
        </w:tc>
        <w:tc>
          <w:tcPr>
            <w:tcW w:w="520" w:type="dxa"/>
            <w:vAlign w:val="bottom"/>
            <w:tcBorders>
              <w:top w:val="single" w:sz="8" w:color="auto"/>
            </w:tcBorders>
            <w:shd w:val="clear" w:color="auto" w:fill="C0C0C0"/>
          </w:tcPr>
          <w:p>
            <w:pPr>
              <w:spacing w:after="0"/>
              <w:rPr>
                <w:sz w:val="11"/>
                <w:szCs w:val="11"/>
                <w:color w:val="auto"/>
              </w:rPr>
            </w:pPr>
          </w:p>
        </w:tc>
        <w:tc>
          <w:tcPr>
            <w:tcW w:w="120" w:type="dxa"/>
            <w:vAlign w:val="bottom"/>
            <w:tcBorders>
              <w:top w:val="single" w:sz="8" w:color="C0C0C0"/>
            </w:tcBorders>
            <w:shd w:val="clear" w:color="auto" w:fill="C0C0C0"/>
          </w:tcPr>
          <w:p>
            <w:pPr>
              <w:spacing w:after="0"/>
              <w:rPr>
                <w:sz w:val="11"/>
                <w:szCs w:val="11"/>
                <w:color w:val="auto"/>
              </w:rPr>
            </w:pPr>
          </w:p>
        </w:tc>
      </w:tr>
      <w:tr>
        <w:trPr>
          <w:trHeight w:val="325"/>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Market Price Range Per Share of Common Stock</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27"/>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High</w:t>
            </w:r>
          </w:p>
        </w:tc>
        <w:tc>
          <w:tcPr>
            <w:tcW w:w="1860" w:type="dxa"/>
            <w:vAlign w:val="bottom"/>
            <w:gridSpan w:val="3"/>
          </w:tcPr>
          <w:p>
            <w:pPr>
              <w:jc w:val="right"/>
              <w:ind w:right="360"/>
              <w:spacing w:after="0"/>
              <w:rPr>
                <w:sz w:val="20"/>
                <w:szCs w:val="20"/>
                <w:color w:val="auto"/>
              </w:rPr>
            </w:pPr>
            <w:r>
              <w:rPr>
                <w:rFonts w:ascii="Arial" w:cs="Arial" w:eastAsia="Arial" w:hAnsi="Arial"/>
                <w:sz w:val="34"/>
                <w:szCs w:val="34"/>
                <w:color w:val="auto"/>
                <w:vertAlign w:val="subscript"/>
              </w:rPr>
              <w:t>$ 49</w:t>
            </w:r>
            <w:r>
              <w:rPr>
                <w:rFonts w:ascii="Arial" w:cs="Arial" w:eastAsia="Arial" w:hAnsi="Arial"/>
                <w:sz w:val="14"/>
                <w:szCs w:val="14"/>
                <w:color w:val="auto"/>
              </w:rPr>
              <w:t>1/16</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$ 56</w:t>
            </w:r>
            <w:r>
              <w:rPr>
                <w:rFonts w:ascii="Arial" w:cs="Arial" w:eastAsia="Arial" w:hAnsi="Arial"/>
                <w:sz w:val="28"/>
                <w:szCs w:val="28"/>
                <w:color w:val="auto"/>
                <w:vertAlign w:val="superscript"/>
              </w:rPr>
              <w:t>1/2</w:t>
            </w:r>
          </w:p>
        </w:tc>
        <w:tc>
          <w:tcPr>
            <w:tcW w:w="340" w:type="dxa"/>
            <w:vAlign w:val="bottom"/>
          </w:tcPr>
          <w:p>
            <w:pPr>
              <w:spacing w:after="0"/>
              <w:rPr>
                <w:sz w:val="24"/>
                <w:szCs w:val="2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34"/>
                <w:szCs w:val="34"/>
                <w:color w:val="auto"/>
                <w:vertAlign w:val="subscript"/>
              </w:rPr>
              <w:t>$ 56</w:t>
            </w:r>
            <w:r>
              <w:rPr>
                <w:rFonts w:ascii="Arial" w:cs="Arial" w:eastAsia="Arial" w:hAnsi="Arial"/>
                <w:sz w:val="14"/>
                <w:szCs w:val="14"/>
                <w:color w:val="auto"/>
              </w:rPr>
              <w:t>13/16</w:t>
            </w:r>
          </w:p>
        </w:tc>
        <w:tc>
          <w:tcPr>
            <w:tcW w:w="1080" w:type="dxa"/>
            <w:vAlign w:val="bottom"/>
            <w:gridSpan w:val="3"/>
          </w:tcPr>
          <w:p>
            <w:pPr>
              <w:jc w:val="right"/>
              <w:ind w:right="120"/>
              <w:spacing w:after="0"/>
              <w:rPr>
                <w:sz w:val="20"/>
                <w:szCs w:val="20"/>
                <w:color w:val="auto"/>
              </w:rPr>
            </w:pPr>
            <w:r>
              <w:rPr>
                <w:rFonts w:ascii="Arial" w:cs="Arial" w:eastAsia="Arial" w:hAnsi="Arial"/>
                <w:sz w:val="34"/>
                <w:szCs w:val="34"/>
                <w:color w:val="auto"/>
                <w:vertAlign w:val="subscript"/>
              </w:rPr>
              <w:t>$ 50</w:t>
            </w:r>
            <w:r>
              <w:rPr>
                <w:rFonts w:ascii="Arial" w:cs="Arial" w:eastAsia="Arial" w:hAnsi="Arial"/>
                <w:sz w:val="14"/>
                <w:szCs w:val="14"/>
                <w:color w:val="auto"/>
              </w:rPr>
              <w:t>9/16</w:t>
            </w:r>
          </w:p>
        </w:tc>
      </w:tr>
      <w:tr>
        <w:trPr>
          <w:trHeight w:val="443"/>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Low</w:t>
            </w:r>
          </w:p>
        </w:tc>
        <w:tc>
          <w:tcPr>
            <w:tcW w:w="1860" w:type="dxa"/>
            <w:vAlign w:val="bottom"/>
            <w:gridSpan w:val="3"/>
          </w:tcPr>
          <w:p>
            <w:pPr>
              <w:jc w:val="right"/>
              <w:ind w:right="360"/>
              <w:spacing w:after="0"/>
              <w:rPr>
                <w:sz w:val="20"/>
                <w:szCs w:val="20"/>
                <w:color w:val="auto"/>
              </w:rPr>
            </w:pPr>
            <w:r>
              <w:rPr>
                <w:rFonts w:ascii="Arial" w:cs="Arial" w:eastAsia="Arial" w:hAnsi="Arial"/>
                <w:sz w:val="34"/>
                <w:szCs w:val="34"/>
                <w:color w:val="auto"/>
                <w:vertAlign w:val="subscript"/>
              </w:rPr>
              <w:t>38</w:t>
            </w:r>
            <w:r>
              <w:rPr>
                <w:rFonts w:ascii="Arial" w:cs="Arial" w:eastAsia="Arial" w:hAnsi="Arial"/>
                <w:sz w:val="14"/>
                <w:szCs w:val="14"/>
                <w:color w:val="auto"/>
              </w:rPr>
              <w:t xml:space="preserve"> 1/2</w:t>
            </w: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46</w:t>
            </w:r>
          </w:p>
        </w:tc>
        <w:tc>
          <w:tcPr>
            <w:tcW w:w="340" w:type="dxa"/>
            <w:vAlign w:val="bottom"/>
          </w:tcPr>
          <w:p>
            <w:pPr>
              <w:spacing w:after="0"/>
              <w:rPr>
                <w:sz w:val="24"/>
                <w:szCs w:val="2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34"/>
                <w:szCs w:val="34"/>
                <w:color w:val="auto"/>
                <w:vertAlign w:val="subscript"/>
              </w:rPr>
              <w:t>43</w:t>
            </w:r>
            <w:r>
              <w:rPr>
                <w:rFonts w:ascii="Arial" w:cs="Arial" w:eastAsia="Arial" w:hAnsi="Arial"/>
                <w:sz w:val="14"/>
                <w:szCs w:val="14"/>
                <w:color w:val="auto"/>
              </w:rPr>
              <w:t>13/16</w:t>
            </w:r>
          </w:p>
        </w:tc>
        <w:tc>
          <w:tcPr>
            <w:tcW w:w="960" w:type="dxa"/>
            <w:vAlign w:val="bottom"/>
            <w:gridSpan w:val="2"/>
          </w:tcPr>
          <w:p>
            <w:pPr>
              <w:jc w:val="right"/>
              <w:ind w:right="135"/>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4"/>
                <w:szCs w:val="24"/>
                <w:color w:val="auto"/>
              </w:rPr>
            </w:pPr>
          </w:p>
        </w:tc>
      </w:tr>
      <w:tr>
        <w:trPr>
          <w:trHeight w:val="443"/>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Close</w:t>
            </w:r>
          </w:p>
        </w:tc>
        <w:tc>
          <w:tcPr>
            <w:tcW w:w="1860" w:type="dxa"/>
            <w:vAlign w:val="bottom"/>
            <w:gridSpan w:val="3"/>
          </w:tcPr>
          <w:p>
            <w:pPr>
              <w:jc w:val="right"/>
              <w:ind w:right="360"/>
              <w:spacing w:after="0"/>
              <w:rPr>
                <w:sz w:val="20"/>
                <w:szCs w:val="20"/>
                <w:color w:val="auto"/>
              </w:rPr>
            </w:pPr>
            <w:r>
              <w:rPr>
                <w:rFonts w:ascii="Arial" w:cs="Arial" w:eastAsia="Arial" w:hAnsi="Arial"/>
                <w:sz w:val="34"/>
                <w:szCs w:val="34"/>
                <w:color w:val="auto"/>
                <w:vertAlign w:val="subscript"/>
              </w:rPr>
              <w:t>47</w:t>
            </w:r>
            <w:r>
              <w:rPr>
                <w:rFonts w:ascii="Arial" w:cs="Arial" w:eastAsia="Arial" w:hAnsi="Arial"/>
                <w:sz w:val="14"/>
                <w:szCs w:val="14"/>
                <w:color w:val="auto"/>
              </w:rPr>
              <w:t xml:space="preserve"> 3/8</w:t>
            </w:r>
          </w:p>
        </w:tc>
        <w:tc>
          <w:tcPr>
            <w:tcW w:w="1280" w:type="dxa"/>
            <w:vAlign w:val="bottom"/>
            <w:gridSpan w:val="3"/>
          </w:tcPr>
          <w:p>
            <w:pPr>
              <w:jc w:val="right"/>
              <w:ind w:right="340"/>
              <w:spacing w:after="0"/>
              <w:rPr>
                <w:sz w:val="20"/>
                <w:szCs w:val="20"/>
                <w:color w:val="auto"/>
              </w:rPr>
            </w:pPr>
            <w:r>
              <w:rPr>
                <w:rFonts w:ascii="Arial" w:cs="Arial" w:eastAsia="Arial" w:hAnsi="Arial"/>
                <w:sz w:val="34"/>
                <w:szCs w:val="34"/>
                <w:color w:val="auto"/>
                <w:vertAlign w:val="subscript"/>
              </w:rPr>
              <w:t>56</w:t>
            </w:r>
            <w:r>
              <w:rPr>
                <w:rFonts w:ascii="Arial" w:cs="Arial" w:eastAsia="Arial" w:hAnsi="Arial"/>
                <w:sz w:val="14"/>
                <w:szCs w:val="14"/>
                <w:color w:val="auto"/>
              </w:rPr>
              <w:t>1/16</w:t>
            </w:r>
          </w:p>
        </w:tc>
        <w:tc>
          <w:tcPr>
            <w:tcW w:w="1320" w:type="dxa"/>
            <w:vAlign w:val="bottom"/>
            <w:gridSpan w:val="3"/>
          </w:tcPr>
          <w:p>
            <w:pPr>
              <w:jc w:val="right"/>
              <w:ind w:right="360"/>
              <w:spacing w:after="0"/>
              <w:rPr>
                <w:sz w:val="20"/>
                <w:szCs w:val="20"/>
                <w:color w:val="auto"/>
              </w:rPr>
            </w:pPr>
            <w:r>
              <w:rPr>
                <w:rFonts w:ascii="Arial" w:cs="Arial" w:eastAsia="Arial" w:hAnsi="Arial"/>
                <w:sz w:val="34"/>
                <w:szCs w:val="34"/>
                <w:color w:val="auto"/>
                <w:vertAlign w:val="subscript"/>
              </w:rPr>
              <w:t>43</w:t>
            </w:r>
            <w:r>
              <w:rPr>
                <w:rFonts w:ascii="Arial" w:cs="Arial" w:eastAsia="Arial" w:hAnsi="Arial"/>
                <w:sz w:val="14"/>
                <w:szCs w:val="14"/>
                <w:color w:val="auto"/>
              </w:rPr>
              <w:t>13/16</w:t>
            </w:r>
          </w:p>
        </w:tc>
        <w:tc>
          <w:tcPr>
            <w:tcW w:w="1080" w:type="dxa"/>
            <w:vAlign w:val="bottom"/>
            <w:gridSpan w:val="3"/>
          </w:tcPr>
          <w:p>
            <w:pPr>
              <w:jc w:val="right"/>
              <w:ind w:right="120"/>
              <w:spacing w:after="0"/>
              <w:rPr>
                <w:sz w:val="20"/>
                <w:szCs w:val="20"/>
                <w:color w:val="auto"/>
              </w:rPr>
            </w:pPr>
            <w:r>
              <w:rPr>
                <w:rFonts w:ascii="Arial" w:cs="Arial" w:eastAsia="Arial" w:hAnsi="Arial"/>
                <w:sz w:val="34"/>
                <w:szCs w:val="34"/>
                <w:color w:val="auto"/>
                <w:vertAlign w:val="subscript"/>
              </w:rPr>
              <w:t>40</w:t>
            </w:r>
            <w:r>
              <w:rPr>
                <w:rFonts w:ascii="Arial" w:cs="Arial" w:eastAsia="Arial" w:hAnsi="Arial"/>
                <w:sz w:val="14"/>
                <w:szCs w:val="14"/>
                <w:color w:val="auto"/>
              </w:rPr>
              <w:t>1/16</w:t>
            </w:r>
          </w:p>
        </w:tc>
      </w:tr>
      <w:tr>
        <w:trPr>
          <w:trHeight w:val="412"/>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Dividends paid per common share</w:t>
            </w:r>
          </w:p>
        </w:tc>
        <w:tc>
          <w:tcPr>
            <w:tcW w:w="1860" w:type="dxa"/>
            <w:vAlign w:val="bottom"/>
            <w:gridSpan w:val="3"/>
          </w:tcPr>
          <w:p>
            <w:pPr>
              <w:jc w:val="right"/>
              <w:ind w:right="360"/>
              <w:spacing w:after="0"/>
              <w:rPr>
                <w:sz w:val="20"/>
                <w:szCs w:val="20"/>
                <w:color w:val="auto"/>
              </w:rPr>
            </w:pPr>
            <w:r>
              <w:rPr>
                <w:rFonts w:ascii="Arial" w:cs="Arial" w:eastAsia="Arial" w:hAnsi="Arial"/>
                <w:sz w:val="17"/>
                <w:szCs w:val="17"/>
                <w:color w:val="auto"/>
              </w:rPr>
              <w:t>$  0.025</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  0.025</w:t>
            </w:r>
          </w:p>
        </w:tc>
        <w:tc>
          <w:tcPr>
            <w:tcW w:w="340" w:type="dxa"/>
            <w:vAlign w:val="bottom"/>
          </w:tcPr>
          <w:p>
            <w:pPr>
              <w:spacing w:after="0"/>
              <w:rPr>
                <w:sz w:val="24"/>
                <w:szCs w:val="2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7"/>
                <w:szCs w:val="17"/>
                <w:color w:val="auto"/>
              </w:rPr>
              <w:t>$  0.025</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  0.025</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00" w:firstLine="213"/>
        <w:spacing w:after="0" w:line="282" w:lineRule="auto"/>
        <w:rPr>
          <w:sz w:val="20"/>
          <w:szCs w:val="20"/>
          <w:color w:val="auto"/>
        </w:rPr>
      </w:pPr>
      <w:r>
        <w:rPr>
          <w:rFonts w:ascii="Arial" w:cs="Arial" w:eastAsia="Arial" w:hAnsi="Arial"/>
          <w:sz w:val="17"/>
          <w:szCs w:val="17"/>
          <w:color w:val="auto"/>
        </w:rPr>
        <w:t>On March 2, 2001, the last reported sale price on the NYSE was $36.99 per share. As of March 2, 2001, there were approximately 239 holders of record of the common stock.</w:t>
      </w:r>
    </w:p>
    <w:p>
      <w:pPr>
        <w:spacing w:after="0" w:line="130" w:lineRule="exact"/>
        <w:rPr>
          <w:sz w:val="20"/>
          <w:szCs w:val="20"/>
          <w:color w:val="auto"/>
        </w:rPr>
      </w:pPr>
    </w:p>
    <w:p>
      <w:pPr>
        <w:ind w:firstLine="213"/>
        <w:spacing w:after="0" w:line="283" w:lineRule="auto"/>
        <w:rPr>
          <w:sz w:val="20"/>
          <w:szCs w:val="20"/>
          <w:color w:val="auto"/>
        </w:rPr>
      </w:pPr>
      <w:r>
        <w:rPr>
          <w:rFonts w:ascii="Arial" w:cs="Arial" w:eastAsia="Arial" w:hAnsi="Arial"/>
          <w:sz w:val="16"/>
          <w:szCs w:val="16"/>
          <w:color w:val="auto"/>
        </w:rPr>
        <w:t>On January 25, 2001, the Company's Board of Directors declared a regular quarterly dividend on its common stock of $0.025 per share. Subject to satisfactory financial results and declaration by the Board, the Company currently intends to pay quarterly cash dividends of at least $0.025 per share on its common stock. Although the Company believes its historical earnings indicate that this dividend policy is appropriate, it will be reviewed by the Board from time to time in light of the Company's financial condition, results of operations, current and anticipated capital requirements, contractual restrictions and other factors deemed relevant by the Board. No dividend will be payable unless declared by the Board and unless funds are legally available for payment thereof.</w:t>
      </w:r>
    </w:p>
    <w:p>
      <w:pPr>
        <w:spacing w:after="0" w:line="133" w:lineRule="exact"/>
        <w:rPr>
          <w:sz w:val="20"/>
          <w:szCs w:val="20"/>
          <w:color w:val="auto"/>
        </w:rPr>
      </w:pPr>
    </w:p>
    <w:p>
      <w:pPr>
        <w:jc w:val="both"/>
        <w:ind w:right="100" w:firstLine="213"/>
        <w:spacing w:after="0" w:line="269" w:lineRule="auto"/>
        <w:rPr>
          <w:sz w:val="20"/>
          <w:szCs w:val="20"/>
          <w:color w:val="auto"/>
        </w:rPr>
      </w:pPr>
      <w:r>
        <w:rPr>
          <w:rFonts w:ascii="Arial" w:cs="Arial" w:eastAsia="Arial" w:hAnsi="Arial"/>
          <w:sz w:val="17"/>
          <w:szCs w:val="17"/>
          <w:color w:val="auto"/>
        </w:rPr>
        <w:t>On February 26, 1998, the Company's Board of Directors authorized a $150 million stock repurchase program. The stock is being purchased on the open market from time to time. As of January 28, 2001, the Company had repurchased approximately 3.1 million shares under this program, at an average price of approximately $44 per share.</w:t>
      </w:r>
    </w:p>
    <w:p>
      <w:pPr>
        <w:spacing w:after="0" w:line="141" w:lineRule="exact"/>
        <w:rPr>
          <w:sz w:val="20"/>
          <w:szCs w:val="20"/>
          <w:color w:val="auto"/>
        </w:rPr>
      </w:pPr>
    </w:p>
    <w:p>
      <w:pPr>
        <w:ind w:right="360" w:firstLine="210"/>
        <w:spacing w:after="0" w:line="282" w:lineRule="auto"/>
        <w:rPr>
          <w:sz w:val="20"/>
          <w:szCs w:val="20"/>
          <w:color w:val="auto"/>
        </w:rPr>
      </w:pPr>
      <w:r>
        <w:rPr>
          <w:rFonts w:ascii="Arial" w:cs="Arial" w:eastAsia="Arial" w:hAnsi="Arial"/>
          <w:sz w:val="17"/>
          <w:szCs w:val="17"/>
          <w:color w:val="auto"/>
        </w:rPr>
        <w:t>The Company expects to complete its current share repurchase program in the second quarter of 2001. The Board has authorized the Company's Management Committee to repurchase up to $25 million in additional shares per year over the next three-year period, at its discretion.</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20"/>
                <w:szCs w:val="20"/>
                <w:color w:val="auto"/>
              </w:rPr>
            </w:pPr>
            <w:r>
              <w:rPr>
                <w:rFonts w:ascii="Arial" w:cs="Arial" w:eastAsia="Arial" w:hAnsi="Arial"/>
                <w:sz w:val="17"/>
                <w:szCs w:val="17"/>
                <w:b w:val="1"/>
                <w:bCs w:val="1"/>
                <w:color w:val="auto"/>
              </w:rPr>
              <w:t>Item 6. Selected Financial Data</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0C0C0"/>
          </w:tcPr>
          <w:p>
            <w:pPr>
              <w:spacing w:after="0" w:line="171" w:lineRule="exact"/>
              <w:rPr>
                <w:sz w:val="20"/>
                <w:szCs w:val="20"/>
                <w:color w:val="auto"/>
              </w:rPr>
            </w:pPr>
            <w:r>
              <w:rPr>
                <w:rFonts w:ascii="Arial" w:cs="Arial" w:eastAsia="Arial" w:hAnsi="Arial"/>
                <w:sz w:val="17"/>
                <w:szCs w:val="17"/>
                <w:b w:val="1"/>
                <w:bCs w:val="1"/>
                <w:color w:val="auto"/>
              </w:rPr>
              <w:t>Thousands, Except Per Share Data</w:t>
            </w:r>
          </w:p>
        </w:tc>
        <w:tc>
          <w:tcPr>
            <w:tcW w:w="740" w:type="dxa"/>
            <w:vAlign w:val="bottom"/>
            <w:shd w:val="clear" w:color="auto" w:fill="C0C0C0"/>
          </w:tcPr>
          <w:p>
            <w:pPr>
              <w:spacing w:after="0"/>
              <w:rPr>
                <w:sz w:val="14"/>
                <w:szCs w:val="14"/>
                <w:color w:val="auto"/>
              </w:rPr>
            </w:pPr>
          </w:p>
        </w:tc>
        <w:tc>
          <w:tcPr>
            <w:tcW w:w="500" w:type="dxa"/>
            <w:vAlign w:val="bottom"/>
            <w:gridSpan w:val="3"/>
            <w:shd w:val="clear" w:color="auto" w:fill="C0C0C0"/>
          </w:tcPr>
          <w:p>
            <w:pPr>
              <w:jc w:val="right"/>
              <w:spacing w:after="0" w:line="171" w:lineRule="exact"/>
              <w:rPr>
                <w:sz w:val="20"/>
                <w:szCs w:val="20"/>
                <w:color w:val="auto"/>
              </w:rPr>
            </w:pPr>
            <w:r>
              <w:rPr>
                <w:rFonts w:ascii="Arial" w:cs="Arial" w:eastAsia="Arial" w:hAnsi="Arial"/>
                <w:sz w:val="17"/>
                <w:szCs w:val="17"/>
                <w:b w:val="1"/>
                <w:bCs w:val="1"/>
                <w:color w:val="auto"/>
              </w:rPr>
              <w:t>2000</w:t>
            </w:r>
          </w:p>
        </w:tc>
        <w:tc>
          <w:tcPr>
            <w:tcW w:w="740" w:type="dxa"/>
            <w:vAlign w:val="bottom"/>
            <w:shd w:val="clear" w:color="auto" w:fill="C0C0C0"/>
          </w:tcPr>
          <w:p>
            <w:pPr>
              <w:spacing w:after="0"/>
              <w:rPr>
                <w:sz w:val="14"/>
                <w:szCs w:val="14"/>
                <w:color w:val="auto"/>
              </w:rPr>
            </w:pPr>
          </w:p>
        </w:tc>
        <w:tc>
          <w:tcPr>
            <w:tcW w:w="820" w:type="dxa"/>
            <w:vAlign w:val="bottom"/>
            <w:gridSpan w:val="4"/>
            <w:shd w:val="clear" w:color="auto" w:fill="C0C0C0"/>
          </w:tcPr>
          <w:p>
            <w:pPr>
              <w:jc w:val="right"/>
              <w:ind w:right="320"/>
              <w:spacing w:after="0" w:line="171" w:lineRule="exact"/>
              <w:rPr>
                <w:sz w:val="20"/>
                <w:szCs w:val="20"/>
                <w:color w:val="auto"/>
              </w:rPr>
            </w:pPr>
            <w:r>
              <w:rPr>
                <w:rFonts w:ascii="Arial" w:cs="Arial" w:eastAsia="Arial" w:hAnsi="Arial"/>
                <w:sz w:val="17"/>
                <w:szCs w:val="17"/>
                <w:b w:val="1"/>
                <w:bCs w:val="1"/>
                <w:color w:val="auto"/>
              </w:rPr>
              <w:t>1999</w:t>
            </w:r>
          </w:p>
        </w:tc>
        <w:tc>
          <w:tcPr>
            <w:tcW w:w="380" w:type="dxa"/>
            <w:vAlign w:val="bottom"/>
            <w:shd w:val="clear" w:color="auto" w:fill="C0C0C0"/>
          </w:tcPr>
          <w:p>
            <w:pPr>
              <w:spacing w:after="0"/>
              <w:rPr>
                <w:sz w:val="14"/>
                <w:szCs w:val="14"/>
                <w:color w:val="auto"/>
              </w:rPr>
            </w:pPr>
          </w:p>
        </w:tc>
        <w:tc>
          <w:tcPr>
            <w:tcW w:w="560" w:type="dxa"/>
            <w:vAlign w:val="bottom"/>
            <w:gridSpan w:val="3"/>
            <w:shd w:val="clear" w:color="auto" w:fill="C0C0C0"/>
          </w:tcPr>
          <w:p>
            <w:pPr>
              <w:jc w:val="right"/>
              <w:spacing w:after="0" w:line="171" w:lineRule="exact"/>
              <w:rPr>
                <w:sz w:val="20"/>
                <w:szCs w:val="20"/>
                <w:color w:val="auto"/>
              </w:rPr>
            </w:pPr>
            <w:r>
              <w:rPr>
                <w:rFonts w:ascii="Arial" w:cs="Arial" w:eastAsia="Arial" w:hAnsi="Arial"/>
                <w:sz w:val="17"/>
                <w:szCs w:val="17"/>
                <w:b w:val="1"/>
                <w:bCs w:val="1"/>
                <w:color w:val="auto"/>
              </w:rPr>
              <w:t>1998</w:t>
            </w:r>
          </w:p>
        </w:tc>
        <w:tc>
          <w:tcPr>
            <w:tcW w:w="700" w:type="dxa"/>
            <w:vAlign w:val="bottom"/>
            <w:shd w:val="clear" w:color="auto" w:fill="C0C0C0"/>
          </w:tcPr>
          <w:p>
            <w:pPr>
              <w:spacing w:after="0"/>
              <w:rPr>
                <w:sz w:val="14"/>
                <w:szCs w:val="14"/>
                <w:color w:val="auto"/>
              </w:rPr>
            </w:pPr>
          </w:p>
        </w:tc>
        <w:tc>
          <w:tcPr>
            <w:tcW w:w="860" w:type="dxa"/>
            <w:vAlign w:val="bottom"/>
            <w:gridSpan w:val="4"/>
            <w:shd w:val="clear" w:color="auto" w:fill="C0C0C0"/>
          </w:tcPr>
          <w:p>
            <w:pPr>
              <w:jc w:val="right"/>
              <w:ind w:right="300"/>
              <w:spacing w:after="0" w:line="171" w:lineRule="exact"/>
              <w:rPr>
                <w:sz w:val="20"/>
                <w:szCs w:val="20"/>
                <w:color w:val="auto"/>
              </w:rPr>
            </w:pPr>
            <w:r>
              <w:rPr>
                <w:rFonts w:ascii="Arial" w:cs="Arial" w:eastAsia="Arial" w:hAnsi="Arial"/>
                <w:sz w:val="17"/>
                <w:szCs w:val="17"/>
                <w:b w:val="1"/>
                <w:bCs w:val="1"/>
                <w:color w:val="auto"/>
              </w:rPr>
              <w:t>1997</w:t>
            </w:r>
          </w:p>
        </w:tc>
        <w:tc>
          <w:tcPr>
            <w:tcW w:w="400" w:type="dxa"/>
            <w:vAlign w:val="bottom"/>
            <w:shd w:val="clear" w:color="auto" w:fill="C0C0C0"/>
          </w:tcPr>
          <w:p>
            <w:pPr>
              <w:spacing w:after="0"/>
              <w:rPr>
                <w:sz w:val="14"/>
                <w:szCs w:val="14"/>
                <w:color w:val="auto"/>
              </w:rPr>
            </w:pPr>
          </w:p>
        </w:tc>
        <w:tc>
          <w:tcPr>
            <w:tcW w:w="560" w:type="dxa"/>
            <w:vAlign w:val="bottom"/>
            <w:gridSpan w:val="3"/>
            <w:shd w:val="clear" w:color="auto" w:fill="C0C0C0"/>
          </w:tcPr>
          <w:p>
            <w:pPr>
              <w:jc w:val="right"/>
              <w:spacing w:after="0" w:line="171" w:lineRule="exact"/>
              <w:rPr>
                <w:sz w:val="20"/>
                <w:szCs w:val="20"/>
                <w:color w:val="auto"/>
              </w:rPr>
            </w:pPr>
            <w:r>
              <w:rPr>
                <w:rFonts w:ascii="Arial" w:cs="Arial" w:eastAsia="Arial" w:hAnsi="Arial"/>
                <w:sz w:val="17"/>
                <w:szCs w:val="17"/>
                <w:b w:val="1"/>
                <w:bCs w:val="1"/>
                <w:color w:val="auto"/>
              </w:rPr>
              <w:t>1996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80" w:type="dxa"/>
            <w:vAlign w:val="bottom"/>
            <w:tcBorders>
              <w:top w:val="single" w:sz="8" w:color="C0C0C0"/>
              <w:bottom w:val="single" w:sz="8" w:color="C0C0C0"/>
            </w:tcBorders>
            <w:shd w:val="clear" w:color="auto" w:fill="C0C0C0"/>
          </w:tcPr>
          <w:p>
            <w:pPr>
              <w:spacing w:after="0"/>
              <w:rPr>
                <w:sz w:val="20"/>
                <w:szCs w:val="20"/>
                <w:color w:val="auto"/>
              </w:rPr>
            </w:pPr>
            <w:r>
              <w:rPr>
                <w:rFonts w:ascii="Arial" w:cs="Arial" w:eastAsia="Arial" w:hAnsi="Arial"/>
                <w:sz w:val="17"/>
                <w:szCs w:val="17"/>
                <w:b w:val="1"/>
                <w:bCs w:val="1"/>
                <w:color w:val="auto"/>
              </w:rPr>
              <w:t>Income Statement Data:</w:t>
            </w:r>
          </w:p>
        </w:tc>
        <w:tc>
          <w:tcPr>
            <w:tcW w:w="740" w:type="dxa"/>
            <w:vAlign w:val="bottom"/>
            <w:tcBorders>
              <w:top w:val="single" w:sz="8" w:color="C0C0C0"/>
              <w:bottom w:val="single" w:sz="8" w:color="C0C0C0"/>
            </w:tcBorders>
            <w:shd w:val="clear" w:color="auto" w:fill="C0C0C0"/>
          </w:tcPr>
          <w:p>
            <w:pPr>
              <w:spacing w:after="0"/>
              <w:rPr>
                <w:sz w:val="20"/>
                <w:szCs w:val="20"/>
                <w:color w:val="auto"/>
              </w:rPr>
            </w:pPr>
          </w:p>
        </w:tc>
        <w:tc>
          <w:tcPr>
            <w:tcW w:w="4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340" w:type="dxa"/>
            <w:vAlign w:val="bottom"/>
            <w:tcBorders>
              <w:top w:val="single" w:sz="8" w:color="auto"/>
              <w:bottom w:val="single" w:sz="8" w:color="C0C0C0"/>
            </w:tcBorders>
            <w:shd w:val="clear" w:color="auto" w:fill="C0C0C0"/>
          </w:tcPr>
          <w:p>
            <w:pPr>
              <w:spacing w:after="0"/>
              <w:rPr>
                <w:sz w:val="20"/>
                <w:szCs w:val="20"/>
                <w:color w:val="auto"/>
              </w:rPr>
            </w:pPr>
          </w:p>
        </w:tc>
        <w:tc>
          <w:tcPr>
            <w:tcW w:w="740" w:type="dxa"/>
            <w:vAlign w:val="bottom"/>
            <w:tcBorders>
              <w:top w:val="single" w:sz="8" w:color="C0C0C0"/>
              <w:bottom w:val="single" w:sz="8" w:color="C0C0C0"/>
            </w:tcBorders>
            <w:shd w:val="clear" w:color="auto" w:fill="C0C0C0"/>
          </w:tcPr>
          <w:p>
            <w:pPr>
              <w:spacing w:after="0"/>
              <w:rPr>
                <w:sz w:val="20"/>
                <w:szCs w:val="20"/>
                <w:color w:val="auto"/>
              </w:rPr>
            </w:pPr>
          </w:p>
        </w:tc>
        <w:tc>
          <w:tcPr>
            <w:tcW w:w="6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340" w:type="dxa"/>
            <w:vAlign w:val="bottom"/>
            <w:tcBorders>
              <w:top w:val="single" w:sz="8" w:color="auto"/>
              <w:bottom w:val="single" w:sz="8" w:color="C0C0C0"/>
            </w:tcBorders>
            <w:shd w:val="clear" w:color="auto" w:fill="C0C0C0"/>
          </w:tcPr>
          <w:p>
            <w:pPr>
              <w:spacing w:after="0"/>
              <w:rPr>
                <w:sz w:val="20"/>
                <w:szCs w:val="20"/>
                <w:color w:val="auto"/>
              </w:rPr>
            </w:pPr>
          </w:p>
        </w:tc>
        <w:tc>
          <w:tcPr>
            <w:tcW w:w="320" w:type="dxa"/>
            <w:vAlign w:val="bottom"/>
            <w:tcBorders>
              <w:top w:val="single" w:sz="8" w:color="C0C0C0"/>
              <w:bottom w:val="single" w:sz="8" w:color="C0C0C0"/>
            </w:tcBorders>
            <w:shd w:val="clear" w:color="auto" w:fill="C0C0C0"/>
          </w:tcPr>
          <w:p>
            <w:pPr>
              <w:spacing w:after="0"/>
              <w:rPr>
                <w:sz w:val="20"/>
                <w:szCs w:val="20"/>
                <w:color w:val="auto"/>
              </w:rPr>
            </w:pPr>
          </w:p>
        </w:tc>
        <w:tc>
          <w:tcPr>
            <w:tcW w:w="38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340" w:type="dxa"/>
            <w:vAlign w:val="bottom"/>
            <w:tcBorders>
              <w:top w:val="single" w:sz="8" w:color="auto"/>
              <w:bottom w:val="single" w:sz="8" w:color="C0C0C0"/>
            </w:tcBorders>
            <w:shd w:val="clear" w:color="auto" w:fill="C0C0C0"/>
          </w:tcPr>
          <w:p>
            <w:pPr>
              <w:spacing w:after="0"/>
              <w:rPr>
                <w:sz w:val="20"/>
                <w:szCs w:val="20"/>
                <w:color w:val="auto"/>
              </w:rPr>
            </w:pPr>
          </w:p>
        </w:tc>
        <w:tc>
          <w:tcPr>
            <w:tcW w:w="70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340" w:type="dxa"/>
            <w:vAlign w:val="bottom"/>
            <w:tcBorders>
              <w:top w:val="single" w:sz="8" w:color="auto"/>
              <w:bottom w:val="single" w:sz="8" w:color="C0C0C0"/>
            </w:tcBorders>
            <w:shd w:val="clear" w:color="auto" w:fill="C0C0C0"/>
          </w:tcPr>
          <w:p>
            <w:pPr>
              <w:spacing w:after="0"/>
              <w:rPr>
                <w:sz w:val="20"/>
                <w:szCs w:val="20"/>
                <w:color w:val="auto"/>
              </w:rPr>
            </w:pPr>
          </w:p>
        </w:tc>
        <w:tc>
          <w:tcPr>
            <w:tcW w:w="300" w:type="dxa"/>
            <w:vAlign w:val="bottom"/>
            <w:tcBorders>
              <w:top w:val="single" w:sz="8" w:color="C0C0C0"/>
              <w:bottom w:val="single" w:sz="8" w:color="C0C0C0"/>
            </w:tcBorders>
            <w:shd w:val="clear" w:color="auto" w:fill="C0C0C0"/>
          </w:tcPr>
          <w:p>
            <w:pPr>
              <w:spacing w:after="0"/>
              <w:rPr>
                <w:sz w:val="20"/>
                <w:szCs w:val="20"/>
                <w:color w:val="auto"/>
              </w:rPr>
            </w:pPr>
          </w:p>
        </w:tc>
        <w:tc>
          <w:tcPr>
            <w:tcW w:w="40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340" w:type="dxa"/>
            <w:vAlign w:val="bottom"/>
            <w:tcBorders>
              <w:top w:val="single" w:sz="8" w:color="auto"/>
              <w:bottom w:val="single" w:sz="8" w:color="C0C0C0"/>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080" w:type="dxa"/>
            <w:vAlign w:val="bottom"/>
          </w:tcPr>
          <w:p>
            <w:pPr>
              <w:spacing w:after="0"/>
              <w:rPr>
                <w:sz w:val="20"/>
                <w:szCs w:val="20"/>
                <w:color w:val="auto"/>
              </w:rPr>
            </w:pPr>
            <w:r>
              <w:rPr>
                <w:rFonts w:ascii="Arial" w:cs="Arial" w:eastAsia="Arial" w:hAnsi="Arial"/>
                <w:sz w:val="17"/>
                <w:szCs w:val="17"/>
                <w:color w:val="auto"/>
              </w:rPr>
              <w:t>Net sales</w:t>
            </w: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$670,917</w:t>
            </w:r>
          </w:p>
        </w:tc>
        <w:tc>
          <w:tcPr>
            <w:tcW w:w="1560" w:type="dxa"/>
            <w:vAlign w:val="bottom"/>
            <w:gridSpan w:val="5"/>
          </w:tcPr>
          <w:p>
            <w:pPr>
              <w:jc w:val="right"/>
              <w:ind w:right="320"/>
              <w:spacing w:after="0"/>
              <w:rPr>
                <w:sz w:val="20"/>
                <w:szCs w:val="20"/>
                <w:color w:val="auto"/>
              </w:rPr>
            </w:pPr>
            <w:r>
              <w:rPr>
                <w:rFonts w:ascii="Arial" w:cs="Arial" w:eastAsia="Arial" w:hAnsi="Arial"/>
                <w:sz w:val="17"/>
                <w:szCs w:val="17"/>
                <w:color w:val="auto"/>
              </w:rPr>
              <w:t>$662,475</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631,622</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w w:val="87"/>
              </w:rPr>
              <w:t>625,547</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580,179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7"/>
                <w:szCs w:val="17"/>
                <w:color w:val="auto"/>
              </w:rPr>
              <w:t>Cost of goods sold</w:t>
            </w: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477,512</w:t>
            </w:r>
          </w:p>
        </w:tc>
        <w:tc>
          <w:tcPr>
            <w:tcW w:w="1560" w:type="dxa"/>
            <w:vAlign w:val="bottom"/>
            <w:gridSpan w:val="5"/>
          </w:tcPr>
          <w:p>
            <w:pPr>
              <w:jc w:val="right"/>
              <w:ind w:right="320"/>
              <w:spacing w:after="0"/>
              <w:rPr>
                <w:sz w:val="20"/>
                <w:szCs w:val="20"/>
                <w:color w:val="auto"/>
              </w:rPr>
            </w:pPr>
            <w:r>
              <w:rPr>
                <w:rFonts w:ascii="Arial" w:cs="Arial" w:eastAsia="Arial" w:hAnsi="Arial"/>
                <w:sz w:val="17"/>
                <w:szCs w:val="17"/>
                <w:color w:val="auto"/>
              </w:rPr>
              <w:t>466,702</w:t>
            </w:r>
          </w:p>
        </w:tc>
        <w:tc>
          <w:tcPr>
            <w:tcW w:w="3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442,562</w:t>
            </w:r>
          </w:p>
        </w:tc>
        <w:tc>
          <w:tcPr>
            <w:tcW w:w="70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w w:val="87"/>
              </w:rPr>
              <w:t>451,849</w:t>
            </w:r>
          </w:p>
        </w:tc>
        <w:tc>
          <w:tcPr>
            <w:tcW w:w="40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w w:val="87"/>
              </w:rPr>
              <w:t>424,922</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7"/>
                <w:szCs w:val="17"/>
                <w:color w:val="auto"/>
              </w:rPr>
              <w:t>Marketing and administrative expenses</w:t>
            </w:r>
          </w:p>
        </w:tc>
        <w:tc>
          <w:tcPr>
            <w:tcW w:w="7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2"/>
              </w:rPr>
              <w:t>71,404</w:t>
            </w:r>
          </w:p>
        </w:tc>
        <w:tc>
          <w:tcPr>
            <w:tcW w:w="740" w:type="dxa"/>
            <w:vAlign w:val="bottom"/>
          </w:tcPr>
          <w:p>
            <w:pPr>
              <w:spacing w:after="0"/>
              <w:rPr>
                <w:sz w:val="18"/>
                <w:szCs w:val="18"/>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w w:val="92"/>
              </w:rPr>
              <w:t>72,208</w:t>
            </w:r>
          </w:p>
        </w:tc>
        <w:tc>
          <w:tcPr>
            <w:tcW w:w="3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75,068</w:t>
            </w:r>
          </w:p>
        </w:tc>
        <w:tc>
          <w:tcPr>
            <w:tcW w:w="70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71,525</w:t>
            </w:r>
          </w:p>
        </w:tc>
        <w:tc>
          <w:tcPr>
            <w:tcW w:w="40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rPr>
              <w:t>68,020</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7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2"/>
              </w:rPr>
              <w:t>26,331</w:t>
            </w:r>
          </w:p>
        </w:tc>
        <w:tc>
          <w:tcPr>
            <w:tcW w:w="740" w:type="dxa"/>
            <w:vAlign w:val="bottom"/>
          </w:tcPr>
          <w:p>
            <w:pPr>
              <w:spacing w:after="0"/>
              <w:rPr>
                <w:sz w:val="18"/>
                <w:szCs w:val="18"/>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w w:val="92"/>
              </w:rPr>
              <w:t>24,788</w:t>
            </w:r>
          </w:p>
        </w:tc>
        <w:tc>
          <w:tcPr>
            <w:tcW w:w="3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21,038</w:t>
            </w:r>
          </w:p>
        </w:tc>
        <w:tc>
          <w:tcPr>
            <w:tcW w:w="70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20,391</w:t>
            </w:r>
          </w:p>
        </w:tc>
        <w:tc>
          <w:tcPr>
            <w:tcW w:w="40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rPr>
              <w:t>19,740</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7"/>
                <w:szCs w:val="17"/>
                <w:color w:val="auto"/>
              </w:rPr>
              <w:t>Bad debt expenses</w:t>
            </w:r>
          </w:p>
        </w:tc>
        <w:tc>
          <w:tcPr>
            <w:tcW w:w="7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5,964</w:t>
            </w:r>
          </w:p>
        </w:tc>
        <w:tc>
          <w:tcPr>
            <w:tcW w:w="740" w:type="dxa"/>
            <w:vAlign w:val="bottom"/>
          </w:tcPr>
          <w:p>
            <w:pPr>
              <w:spacing w:after="0"/>
              <w:rPr>
                <w:sz w:val="18"/>
                <w:szCs w:val="18"/>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rPr>
              <w:t>1,234</w:t>
            </w:r>
          </w:p>
        </w:tc>
        <w:tc>
          <w:tcPr>
            <w:tcW w:w="3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507</w:t>
            </w:r>
          </w:p>
        </w:tc>
        <w:tc>
          <w:tcPr>
            <w:tcW w:w="70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1,554</w:t>
            </w:r>
          </w:p>
        </w:tc>
        <w:tc>
          <w:tcPr>
            <w:tcW w:w="40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79"/>
        </w:trPr>
        <w:tc>
          <w:tcPr>
            <w:tcW w:w="4080" w:type="dxa"/>
            <w:vAlign w:val="bottom"/>
          </w:tcPr>
          <w:p>
            <w:pPr>
              <w:spacing w:after="0" w:line="179" w:lineRule="exact"/>
              <w:rPr>
                <w:sz w:val="20"/>
                <w:szCs w:val="20"/>
                <w:color w:val="auto"/>
              </w:rPr>
            </w:pPr>
            <w:r>
              <w:rPr>
                <w:rFonts w:ascii="Arial" w:cs="Arial" w:eastAsia="Arial" w:hAnsi="Arial"/>
                <w:sz w:val="17"/>
                <w:szCs w:val="17"/>
                <w:color w:val="auto"/>
              </w:rPr>
              <w:t>Write-down of impaired assets</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4,900</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ind w:right="320"/>
              <w:spacing w:after="0" w:line="17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5"/>
                <w:szCs w:val="15"/>
                <w:color w:val="auto"/>
              </w:rPr>
            </w:pPr>
          </w:p>
        </w:tc>
        <w:tc>
          <w:tcPr>
            <w:tcW w:w="560" w:type="dxa"/>
            <w:vAlign w:val="bottom"/>
            <w:gridSpan w:val="3"/>
          </w:tcPr>
          <w:p>
            <w:pPr>
              <w:jc w:val="right"/>
              <w:spacing w:after="0" w:line="17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5"/>
                <w:szCs w:val="15"/>
                <w:color w:val="auto"/>
              </w:rPr>
            </w:pPr>
          </w:p>
        </w:tc>
        <w:tc>
          <w:tcPr>
            <w:tcW w:w="860" w:type="dxa"/>
            <w:vAlign w:val="bottom"/>
            <w:gridSpan w:val="4"/>
          </w:tcPr>
          <w:p>
            <w:pPr>
              <w:jc w:val="right"/>
              <w:ind w:right="300"/>
              <w:spacing w:after="0" w:line="179"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5"/>
                <w:szCs w:val="15"/>
                <w:color w:val="auto"/>
              </w:rPr>
            </w:pPr>
          </w:p>
        </w:tc>
        <w:tc>
          <w:tcPr>
            <w:tcW w:w="580" w:type="dxa"/>
            <w:vAlign w:val="bottom"/>
            <w:gridSpan w:val="4"/>
          </w:tcPr>
          <w:p>
            <w:pPr>
              <w:jc w:val="right"/>
              <w:ind w:right="20"/>
              <w:spacing w:after="0" w:line="17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80" w:type="dxa"/>
            <w:vAlign w:val="bottom"/>
          </w:tcPr>
          <w:p>
            <w:pPr>
              <w:spacing w:after="0"/>
              <w:rPr>
                <w:sz w:val="20"/>
                <w:szCs w:val="20"/>
                <w:color w:val="auto"/>
              </w:rPr>
            </w:pPr>
            <w:r>
              <w:rPr>
                <w:rFonts w:ascii="Arial" w:cs="Arial" w:eastAsia="Arial" w:hAnsi="Arial"/>
                <w:sz w:val="17"/>
                <w:szCs w:val="17"/>
                <w:color w:val="auto"/>
              </w:rPr>
              <w:t>Income from operations</w:t>
            </w:r>
          </w:p>
        </w:tc>
        <w:tc>
          <w:tcPr>
            <w:tcW w:w="7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2"/>
              </w:rPr>
              <w:t>84,806</w:t>
            </w:r>
          </w:p>
        </w:tc>
        <w:tc>
          <w:tcPr>
            <w:tcW w:w="740" w:type="dxa"/>
            <w:vAlign w:val="bottom"/>
          </w:tcPr>
          <w:p>
            <w:pPr>
              <w:spacing w:after="0"/>
              <w:rPr>
                <w:sz w:val="19"/>
                <w:szCs w:val="19"/>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w w:val="92"/>
              </w:rPr>
              <w:t>97,543</w:t>
            </w:r>
          </w:p>
        </w:tc>
        <w:tc>
          <w:tcPr>
            <w:tcW w:w="3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92,447</w:t>
            </w:r>
          </w:p>
        </w:tc>
        <w:tc>
          <w:tcPr>
            <w:tcW w:w="700" w:type="dxa"/>
            <w:vAlign w:val="bottom"/>
          </w:tcPr>
          <w:p>
            <w:pPr>
              <w:spacing w:after="0"/>
              <w:rPr>
                <w:sz w:val="19"/>
                <w:szCs w:val="19"/>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80,228</w:t>
            </w:r>
          </w:p>
        </w:tc>
        <w:tc>
          <w:tcPr>
            <w:tcW w:w="400" w:type="dxa"/>
            <w:vAlign w:val="bottom"/>
          </w:tcPr>
          <w:p>
            <w:pPr>
              <w:spacing w:after="0"/>
              <w:rPr>
                <w:sz w:val="19"/>
                <w:szCs w:val="19"/>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rPr>
              <w:t>67,418</w:t>
            </w:r>
          </w:p>
        </w:tc>
        <w:tc>
          <w:tcPr>
            <w:tcW w:w="0" w:type="dxa"/>
            <w:vAlign w:val="bottom"/>
          </w:tcPr>
          <w:p>
            <w:pPr>
              <w:spacing w:after="0"/>
              <w:rPr>
                <w:sz w:val="1"/>
                <w:szCs w:val="1"/>
                <w:color w:val="auto"/>
              </w:rPr>
            </w:pPr>
          </w:p>
        </w:tc>
      </w:tr>
      <w:tr>
        <w:trPr>
          <w:trHeight w:val="445"/>
        </w:trPr>
        <w:tc>
          <w:tcPr>
            <w:tcW w:w="4080" w:type="dxa"/>
            <w:vAlign w:val="bottom"/>
          </w:tcPr>
          <w:p>
            <w:pPr>
              <w:spacing w:after="0"/>
              <w:rPr>
                <w:sz w:val="20"/>
                <w:szCs w:val="20"/>
                <w:color w:val="auto"/>
              </w:rPr>
            </w:pPr>
            <w:r>
              <w:rPr>
                <w:rFonts w:ascii="Arial" w:cs="Arial" w:eastAsia="Arial" w:hAnsi="Arial"/>
                <w:sz w:val="17"/>
                <w:szCs w:val="17"/>
                <w:color w:val="auto"/>
              </w:rPr>
              <w:t>Net income</w:t>
            </w:r>
          </w:p>
        </w:tc>
        <w:tc>
          <w:tcPr>
            <w:tcW w:w="74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2"/>
              </w:rPr>
              <w:t>54,208</w:t>
            </w:r>
          </w:p>
        </w:tc>
        <w:tc>
          <w:tcPr>
            <w:tcW w:w="740" w:type="dxa"/>
            <w:vAlign w:val="bottom"/>
          </w:tcPr>
          <w:p>
            <w:pPr>
              <w:spacing w:after="0"/>
              <w:rPr>
                <w:sz w:val="24"/>
                <w:szCs w:val="24"/>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w w:val="92"/>
              </w:rPr>
              <w:t>62,116</w:t>
            </w:r>
          </w:p>
        </w:tc>
        <w:tc>
          <w:tcPr>
            <w:tcW w:w="3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57,224</w:t>
            </w:r>
          </w:p>
        </w:tc>
        <w:tc>
          <w:tcPr>
            <w:tcW w:w="700" w:type="dxa"/>
            <w:vAlign w:val="bottom"/>
          </w:tcPr>
          <w:p>
            <w:pPr>
              <w:spacing w:after="0"/>
              <w:rPr>
                <w:sz w:val="24"/>
                <w:szCs w:val="24"/>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50,312</w:t>
            </w:r>
          </w:p>
        </w:tc>
        <w:tc>
          <w:tcPr>
            <w:tcW w:w="400" w:type="dxa"/>
            <w:vAlign w:val="bottom"/>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rPr>
              <w:t>43,097</w:t>
            </w:r>
          </w:p>
        </w:tc>
        <w:tc>
          <w:tcPr>
            <w:tcW w:w="0" w:type="dxa"/>
            <w:vAlign w:val="bottom"/>
          </w:tcPr>
          <w:p>
            <w:pPr>
              <w:spacing w:after="0"/>
              <w:rPr>
                <w:sz w:val="1"/>
                <w:szCs w:val="1"/>
                <w:color w:val="auto"/>
              </w:rPr>
            </w:pPr>
          </w:p>
        </w:tc>
      </w:tr>
      <w:tr>
        <w:trPr>
          <w:trHeight w:val="474"/>
        </w:trPr>
        <w:tc>
          <w:tcPr>
            <w:tcW w:w="4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Earnings Per Share</w:t>
            </w:r>
          </w:p>
        </w:tc>
        <w:tc>
          <w:tcPr>
            <w:tcW w:w="74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080" w:type="dxa"/>
            <w:vAlign w:val="bottom"/>
          </w:tcPr>
          <w:p>
            <w:pPr>
              <w:spacing w:after="0"/>
              <w:rPr>
                <w:sz w:val="20"/>
                <w:szCs w:val="20"/>
                <w:color w:val="auto"/>
              </w:rPr>
            </w:pPr>
            <w:r>
              <w:rPr>
                <w:rFonts w:ascii="Arial" w:cs="Arial" w:eastAsia="Arial" w:hAnsi="Arial"/>
                <w:sz w:val="17"/>
                <w:szCs w:val="17"/>
                <w:color w:val="auto"/>
              </w:rPr>
              <w:t>Basic earnings per share</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2.65</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rPr>
              <w:t>2.90</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2.57</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2.23</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6"/>
              </w:rPr>
              <w:t>=====</w:t>
            </w:r>
          </w:p>
        </w:tc>
        <w:tc>
          <w:tcPr>
            <w:tcW w:w="740" w:type="dxa"/>
            <w:vAlign w:val="bottom"/>
          </w:tcPr>
          <w:p>
            <w:pPr>
              <w:spacing w:after="0"/>
              <w:rPr>
                <w:sz w:val="18"/>
                <w:szCs w:val="18"/>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w w:val="96"/>
              </w:rPr>
              <w:t>=====</w:t>
            </w:r>
          </w:p>
        </w:tc>
        <w:tc>
          <w:tcPr>
            <w:tcW w:w="3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39"/>
        </w:trPr>
        <w:tc>
          <w:tcPr>
            <w:tcW w:w="4080" w:type="dxa"/>
            <w:vAlign w:val="bottom"/>
          </w:tcPr>
          <w:p>
            <w:pPr>
              <w:spacing w:after="0"/>
              <w:rPr>
                <w:sz w:val="20"/>
                <w:szCs w:val="20"/>
                <w:color w:val="auto"/>
              </w:rPr>
            </w:pPr>
            <w:r>
              <w:rPr>
                <w:rFonts w:ascii="Arial" w:cs="Arial" w:eastAsia="Arial" w:hAnsi="Arial"/>
                <w:sz w:val="17"/>
                <w:szCs w:val="17"/>
                <w:color w:val="auto"/>
              </w:rPr>
              <w:t>Diluted earnings per share</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2.58</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rPr>
              <w:t>2.80</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2.50</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2.18</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6"/>
              </w:rPr>
              <w:t>=====</w:t>
            </w:r>
          </w:p>
        </w:tc>
        <w:tc>
          <w:tcPr>
            <w:tcW w:w="740" w:type="dxa"/>
            <w:vAlign w:val="bottom"/>
          </w:tcPr>
          <w:p>
            <w:pPr>
              <w:spacing w:after="0"/>
              <w:rPr>
                <w:sz w:val="18"/>
                <w:szCs w:val="18"/>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w w:val="96"/>
              </w:rPr>
              <w:t>=====</w:t>
            </w:r>
          </w:p>
        </w:tc>
        <w:tc>
          <w:tcPr>
            <w:tcW w:w="3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5"/>
        </w:trPr>
        <w:tc>
          <w:tcPr>
            <w:tcW w:w="4080" w:type="dxa"/>
            <w:vAlign w:val="bottom"/>
          </w:tcPr>
          <w:p>
            <w:pPr>
              <w:spacing w:after="0"/>
              <w:rPr>
                <w:sz w:val="20"/>
                <w:szCs w:val="20"/>
                <w:color w:val="auto"/>
              </w:rPr>
            </w:pPr>
            <w:r>
              <w:rPr>
                <w:rFonts w:ascii="Arial" w:cs="Arial" w:eastAsia="Arial" w:hAnsi="Arial"/>
                <w:sz w:val="17"/>
                <w:szCs w:val="17"/>
                <w:color w:val="auto"/>
                <w:w w:val="92"/>
              </w:rPr>
              <w:t>Weighted average number of common shares outstanding</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80" w:type="dxa"/>
            <w:vAlign w:val="bottom"/>
          </w:tcPr>
          <w:p>
            <w:pPr>
              <w:spacing w:after="0"/>
              <w:rPr>
                <w:sz w:val="20"/>
                <w:szCs w:val="20"/>
                <w:color w:val="auto"/>
              </w:rPr>
            </w:pPr>
            <w:r>
              <w:rPr>
                <w:rFonts w:ascii="Arial" w:cs="Arial" w:eastAsia="Arial" w:hAnsi="Arial"/>
                <w:sz w:val="17"/>
                <w:szCs w:val="17"/>
                <w:color w:val="auto"/>
              </w:rPr>
              <w:t>Basic</w:t>
            </w:r>
          </w:p>
        </w:tc>
        <w:tc>
          <w:tcPr>
            <w:tcW w:w="74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2"/>
              </w:rPr>
              <w:t>20,479</w:t>
            </w:r>
          </w:p>
        </w:tc>
        <w:tc>
          <w:tcPr>
            <w:tcW w:w="740" w:type="dxa"/>
            <w:vAlign w:val="bottom"/>
          </w:tcPr>
          <w:p>
            <w:pPr>
              <w:spacing w:after="0"/>
              <w:rPr>
                <w:sz w:val="20"/>
                <w:szCs w:val="20"/>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7"/>
                <w:szCs w:val="17"/>
                <w:color w:val="auto"/>
                <w:w w:val="92"/>
              </w:rPr>
              <w:t>21,394</w:t>
            </w:r>
          </w:p>
        </w:tc>
        <w:tc>
          <w:tcPr>
            <w:tcW w:w="38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22,281</w:t>
            </w:r>
          </w:p>
        </w:tc>
        <w:tc>
          <w:tcPr>
            <w:tcW w:w="700" w:type="dxa"/>
            <w:vAlign w:val="bottom"/>
          </w:tcPr>
          <w:p>
            <w:pPr>
              <w:spacing w:after="0"/>
              <w:rPr>
                <w:sz w:val="20"/>
                <w:szCs w:val="20"/>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7"/>
                <w:szCs w:val="17"/>
                <w:color w:val="auto"/>
              </w:rPr>
              <w:t>22,558</w:t>
            </w:r>
          </w:p>
        </w:tc>
        <w:tc>
          <w:tcPr>
            <w:tcW w:w="40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7"/>
                <w:szCs w:val="17"/>
                <w:color w:val="auto"/>
              </w:rPr>
              <w:t>22,621</w:t>
            </w:r>
          </w:p>
        </w:tc>
        <w:tc>
          <w:tcPr>
            <w:tcW w:w="0" w:type="dxa"/>
            <w:vAlign w:val="bottom"/>
          </w:tcPr>
          <w:p>
            <w:pPr>
              <w:spacing w:after="0"/>
              <w:rPr>
                <w:sz w:val="1"/>
                <w:szCs w:val="1"/>
                <w:color w:val="auto"/>
              </w:rPr>
            </w:pPr>
          </w:p>
        </w:tc>
      </w:tr>
    </w:tbl>
    <w:p>
      <w:pPr>
        <w:sectPr>
          <w:pgSz w:w="11900" w:h="16838" w:orient="portrait"/>
          <w:cols w:equalWidth="0" w:num="1">
            <w:col w:w="11320"/>
          </w:cols>
          <w:pgMar w:left="240" w:top="519"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7"/>
                <w:szCs w:val="17"/>
                <w:color w:val="auto"/>
              </w:rPr>
              <w:t>Dividends declared per common share</w:t>
            </w:r>
          </w:p>
        </w:tc>
        <w:tc>
          <w:tcPr>
            <w:tcW w:w="1960" w:type="dxa"/>
            <w:vAlign w:val="bottom"/>
          </w:tcPr>
          <w:p>
            <w:pPr>
              <w:jc w:val="right"/>
              <w:ind w:right="215"/>
              <w:spacing w:after="0"/>
              <w:rPr>
                <w:sz w:val="20"/>
                <w:szCs w:val="20"/>
                <w:color w:val="auto"/>
              </w:rPr>
            </w:pPr>
            <w:r>
              <w:rPr>
                <w:rFonts w:ascii="Arial" w:cs="Arial" w:eastAsia="Arial" w:hAnsi="Arial"/>
                <w:sz w:val="17"/>
                <w:szCs w:val="17"/>
                <w:color w:val="auto"/>
              </w:rPr>
              <w:t>$   0.10</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   0.10</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35"/>
              <w:spacing w:after="0"/>
              <w:rPr>
                <w:sz w:val="20"/>
                <w:szCs w:val="20"/>
                <w:color w:val="auto"/>
              </w:rPr>
            </w:pPr>
            <w:r>
              <w:rPr>
                <w:rFonts w:ascii="Arial" w:cs="Arial" w:eastAsia="Arial" w:hAnsi="Arial"/>
                <w:sz w:val="17"/>
                <w:szCs w:val="17"/>
                <w:color w:val="auto"/>
              </w:rPr>
              <w:t>0.10</w:t>
            </w:r>
          </w:p>
        </w:tc>
        <w:tc>
          <w:tcPr>
            <w:tcW w:w="1240" w:type="dxa"/>
            <w:vAlign w:val="bottom"/>
          </w:tcPr>
          <w:p>
            <w:pPr>
              <w:jc w:val="right"/>
              <w:ind w:right="215"/>
              <w:spacing w:after="0"/>
              <w:rPr>
                <w:sz w:val="20"/>
                <w:szCs w:val="20"/>
                <w:color w:val="auto"/>
              </w:rPr>
            </w:pPr>
            <w:r>
              <w:rPr>
                <w:rFonts w:ascii="Arial" w:cs="Arial" w:eastAsia="Arial" w:hAnsi="Arial"/>
                <w:sz w:val="17"/>
                <w:szCs w:val="17"/>
                <w:color w:val="auto"/>
              </w:rPr>
              <w:t>$   0.10</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0.10</w:t>
            </w:r>
          </w:p>
        </w:tc>
      </w:tr>
      <w:tr>
        <w:trPr>
          <w:trHeight w:val="448"/>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6"/>
        </w:trPr>
        <w:tc>
          <w:tcPr>
            <w:tcW w:w="366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Balance Sheet Data:</w:t>
            </w:r>
          </w:p>
        </w:tc>
        <w:tc>
          <w:tcPr>
            <w:tcW w:w="1960" w:type="dxa"/>
            <w:vAlign w:val="bottom"/>
            <w:shd w:val="clear" w:color="auto" w:fill="C0C0C0"/>
          </w:tcPr>
          <w:p>
            <w:pPr>
              <w:spacing w:after="0"/>
              <w:rPr>
                <w:sz w:val="20"/>
                <w:szCs w:val="20"/>
                <w:color w:val="auto"/>
              </w:rPr>
            </w:pPr>
          </w:p>
        </w:tc>
        <w:tc>
          <w:tcPr>
            <w:tcW w:w="126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4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r>
      <w:tr>
        <w:trPr>
          <w:trHeight w:val="201"/>
        </w:trPr>
        <w:tc>
          <w:tcPr>
            <w:tcW w:w="3660" w:type="dxa"/>
            <w:vAlign w:val="bottom"/>
          </w:tcPr>
          <w:p>
            <w:pPr>
              <w:spacing w:after="0"/>
              <w:rPr>
                <w:sz w:val="20"/>
                <w:szCs w:val="20"/>
                <w:color w:val="auto"/>
              </w:rPr>
            </w:pPr>
            <w:r>
              <w:rPr>
                <w:rFonts w:ascii="Arial" w:cs="Arial" w:eastAsia="Arial" w:hAnsi="Arial"/>
                <w:sz w:val="17"/>
                <w:szCs w:val="17"/>
                <w:color w:val="auto"/>
              </w:rPr>
              <w:t>Working capital</w:t>
            </w:r>
          </w:p>
        </w:tc>
        <w:tc>
          <w:tcPr>
            <w:tcW w:w="1960" w:type="dxa"/>
            <w:vAlign w:val="bottom"/>
          </w:tcPr>
          <w:p>
            <w:pPr>
              <w:jc w:val="right"/>
              <w:ind w:right="215"/>
              <w:spacing w:after="0"/>
              <w:rPr>
                <w:sz w:val="20"/>
                <w:szCs w:val="20"/>
                <w:color w:val="auto"/>
              </w:rPr>
            </w:pPr>
            <w:r>
              <w:rPr>
                <w:rFonts w:ascii="Arial" w:cs="Arial" w:eastAsia="Arial" w:hAnsi="Arial"/>
                <w:sz w:val="17"/>
                <w:szCs w:val="17"/>
                <w:color w:val="auto"/>
              </w:rPr>
              <w:t>$ 81,830</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$102,405</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35"/>
              <w:spacing w:after="0"/>
              <w:rPr>
                <w:sz w:val="20"/>
                <w:szCs w:val="20"/>
                <w:color w:val="auto"/>
              </w:rPr>
            </w:pPr>
            <w:r>
              <w:rPr>
                <w:rFonts w:ascii="Arial" w:cs="Arial" w:eastAsia="Arial" w:hAnsi="Arial"/>
                <w:sz w:val="17"/>
                <w:szCs w:val="17"/>
                <w:color w:val="auto"/>
                <w:w w:val="84"/>
              </w:rPr>
              <w:t>112,892</w:t>
            </w:r>
          </w:p>
        </w:tc>
        <w:tc>
          <w:tcPr>
            <w:tcW w:w="1240" w:type="dxa"/>
            <w:vAlign w:val="bottom"/>
          </w:tcPr>
          <w:p>
            <w:pPr>
              <w:jc w:val="right"/>
              <w:ind w:right="215"/>
              <w:spacing w:after="0"/>
              <w:rPr>
                <w:sz w:val="20"/>
                <w:szCs w:val="20"/>
                <w:color w:val="auto"/>
              </w:rPr>
            </w:pPr>
            <w:r>
              <w:rPr>
                <w:rFonts w:ascii="Arial" w:cs="Arial" w:eastAsia="Arial" w:hAnsi="Arial"/>
                <w:sz w:val="17"/>
                <w:szCs w:val="17"/>
                <w:color w:val="auto"/>
              </w:rPr>
              <w:t>$132,364</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115,540</w:t>
            </w: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Total assets</w:t>
            </w:r>
          </w:p>
        </w:tc>
        <w:tc>
          <w:tcPr>
            <w:tcW w:w="1960" w:type="dxa"/>
            <w:vAlign w:val="bottom"/>
          </w:tcPr>
          <w:p>
            <w:pPr>
              <w:jc w:val="right"/>
              <w:ind w:right="215"/>
              <w:spacing w:after="0"/>
              <w:rPr>
                <w:sz w:val="20"/>
                <w:szCs w:val="20"/>
                <w:color w:val="auto"/>
              </w:rPr>
            </w:pPr>
            <w:r>
              <w:rPr>
                <w:rFonts w:ascii="Arial" w:cs="Arial" w:eastAsia="Arial" w:hAnsi="Arial"/>
                <w:sz w:val="17"/>
                <w:szCs w:val="17"/>
                <w:color w:val="auto"/>
              </w:rPr>
              <w:t>799,832</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769,131</w:t>
            </w:r>
          </w:p>
        </w:tc>
        <w:tc>
          <w:tcPr>
            <w:tcW w:w="1260" w:type="dxa"/>
            <w:vAlign w:val="bottom"/>
            <w:gridSpan w:val="2"/>
          </w:tcPr>
          <w:p>
            <w:pPr>
              <w:jc w:val="right"/>
              <w:ind w:right="235"/>
              <w:spacing w:after="0"/>
              <w:rPr>
                <w:sz w:val="20"/>
                <w:szCs w:val="20"/>
                <w:color w:val="auto"/>
              </w:rPr>
            </w:pPr>
            <w:r>
              <w:rPr>
                <w:rFonts w:ascii="Arial" w:cs="Arial" w:eastAsia="Arial" w:hAnsi="Arial"/>
                <w:sz w:val="17"/>
                <w:szCs w:val="17"/>
                <w:color w:val="auto"/>
              </w:rPr>
              <w:t>760,912</w:t>
            </w:r>
          </w:p>
        </w:tc>
        <w:tc>
          <w:tcPr>
            <w:tcW w:w="1240" w:type="dxa"/>
            <w:vAlign w:val="bottom"/>
          </w:tcPr>
          <w:p>
            <w:pPr>
              <w:jc w:val="right"/>
              <w:ind w:right="215"/>
              <w:spacing w:after="0"/>
              <w:rPr>
                <w:sz w:val="20"/>
                <w:szCs w:val="20"/>
                <w:color w:val="auto"/>
              </w:rPr>
            </w:pPr>
            <w:r>
              <w:rPr>
                <w:rFonts w:ascii="Arial" w:cs="Arial" w:eastAsia="Arial" w:hAnsi="Arial"/>
                <w:sz w:val="17"/>
                <w:szCs w:val="17"/>
                <w:color w:val="auto"/>
              </w:rPr>
              <w:t>741,407</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713,861</w:t>
            </w: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Long-term debt</w:t>
            </w:r>
          </w:p>
        </w:tc>
        <w:tc>
          <w:tcPr>
            <w:tcW w:w="1960" w:type="dxa"/>
            <w:vAlign w:val="bottom"/>
          </w:tcPr>
          <w:p>
            <w:pPr>
              <w:jc w:val="right"/>
              <w:ind w:right="215"/>
              <w:spacing w:after="0"/>
              <w:rPr>
                <w:sz w:val="20"/>
                <w:szCs w:val="20"/>
                <w:color w:val="auto"/>
              </w:rPr>
            </w:pPr>
            <w:r>
              <w:rPr>
                <w:rFonts w:ascii="Arial" w:cs="Arial" w:eastAsia="Arial" w:hAnsi="Arial"/>
                <w:sz w:val="17"/>
                <w:szCs w:val="17"/>
                <w:color w:val="auto"/>
              </w:rPr>
              <w:t>89,857</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75,238</w:t>
            </w:r>
          </w:p>
        </w:tc>
        <w:tc>
          <w:tcPr>
            <w:tcW w:w="400" w:type="dxa"/>
            <w:vAlign w:val="bottom"/>
          </w:tcPr>
          <w:p>
            <w:pPr>
              <w:spacing w:after="0"/>
              <w:rPr>
                <w:sz w:val="18"/>
                <w:szCs w:val="18"/>
                <w:color w:val="auto"/>
              </w:rPr>
            </w:pPr>
          </w:p>
        </w:tc>
        <w:tc>
          <w:tcPr>
            <w:tcW w:w="860" w:type="dxa"/>
            <w:vAlign w:val="bottom"/>
          </w:tcPr>
          <w:p>
            <w:pPr>
              <w:jc w:val="right"/>
              <w:ind w:right="235"/>
              <w:spacing w:after="0"/>
              <w:rPr>
                <w:sz w:val="20"/>
                <w:szCs w:val="20"/>
                <w:color w:val="auto"/>
              </w:rPr>
            </w:pPr>
            <w:r>
              <w:rPr>
                <w:rFonts w:ascii="Arial" w:cs="Arial" w:eastAsia="Arial" w:hAnsi="Arial"/>
                <w:sz w:val="17"/>
                <w:szCs w:val="17"/>
                <w:color w:val="auto"/>
                <w:w w:val="99"/>
              </w:rPr>
              <w:t>88,167</w:t>
            </w:r>
          </w:p>
        </w:tc>
        <w:tc>
          <w:tcPr>
            <w:tcW w:w="1240" w:type="dxa"/>
            <w:vAlign w:val="bottom"/>
          </w:tcPr>
          <w:p>
            <w:pPr>
              <w:jc w:val="right"/>
              <w:ind w:right="215"/>
              <w:spacing w:after="0"/>
              <w:rPr>
                <w:sz w:val="20"/>
                <w:szCs w:val="20"/>
                <w:color w:val="auto"/>
              </w:rPr>
            </w:pPr>
            <w:r>
              <w:rPr>
                <w:rFonts w:ascii="Arial" w:cs="Arial" w:eastAsia="Arial" w:hAnsi="Arial"/>
                <w:sz w:val="17"/>
                <w:szCs w:val="17"/>
                <w:color w:val="auto"/>
              </w:rPr>
              <w:t>101,571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104,900</w:t>
            </w: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Total debt</w:t>
            </w:r>
          </w:p>
        </w:tc>
        <w:tc>
          <w:tcPr>
            <w:tcW w:w="1960" w:type="dxa"/>
            <w:vAlign w:val="bottom"/>
          </w:tcPr>
          <w:p>
            <w:pPr>
              <w:jc w:val="right"/>
              <w:ind w:right="215"/>
              <w:spacing w:after="0"/>
              <w:rPr>
                <w:sz w:val="20"/>
                <w:szCs w:val="20"/>
                <w:color w:val="auto"/>
              </w:rPr>
            </w:pPr>
            <w:r>
              <w:rPr>
                <w:rFonts w:ascii="Arial" w:cs="Arial" w:eastAsia="Arial" w:hAnsi="Arial"/>
                <w:sz w:val="17"/>
                <w:szCs w:val="17"/>
                <w:color w:val="auto"/>
              </w:rPr>
              <w:t>138,727</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88,677</w:t>
            </w:r>
          </w:p>
        </w:tc>
        <w:tc>
          <w:tcPr>
            <w:tcW w:w="1260" w:type="dxa"/>
            <w:vAlign w:val="bottom"/>
            <w:gridSpan w:val="2"/>
          </w:tcPr>
          <w:p>
            <w:pPr>
              <w:jc w:val="right"/>
              <w:ind w:right="235"/>
              <w:spacing w:after="0"/>
              <w:rPr>
                <w:sz w:val="20"/>
                <w:szCs w:val="20"/>
                <w:color w:val="auto"/>
              </w:rPr>
            </w:pPr>
            <w:r>
              <w:rPr>
                <w:rFonts w:ascii="Arial" w:cs="Arial" w:eastAsia="Arial" w:hAnsi="Arial"/>
                <w:sz w:val="17"/>
                <w:szCs w:val="17"/>
                <w:color w:val="auto"/>
              </w:rPr>
              <w:t>101,678</w:t>
            </w:r>
          </w:p>
        </w:tc>
        <w:tc>
          <w:tcPr>
            <w:tcW w:w="1240" w:type="dxa"/>
            <w:vAlign w:val="bottom"/>
          </w:tcPr>
          <w:p>
            <w:pPr>
              <w:jc w:val="right"/>
              <w:ind w:right="215"/>
              <w:spacing w:after="0"/>
              <w:rPr>
                <w:sz w:val="20"/>
                <w:szCs w:val="20"/>
                <w:color w:val="auto"/>
              </w:rPr>
            </w:pPr>
            <w:r>
              <w:rPr>
                <w:rFonts w:ascii="Arial" w:cs="Arial" w:eastAsia="Arial" w:hAnsi="Arial"/>
                <w:sz w:val="17"/>
                <w:szCs w:val="17"/>
                <w:color w:val="auto"/>
              </w:rPr>
              <w:t>115,560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130,239</w:t>
            </w:r>
          </w:p>
        </w:tc>
      </w:tr>
      <w:tr>
        <w:trPr>
          <w:trHeight w:val="216"/>
        </w:trPr>
        <w:tc>
          <w:tcPr>
            <w:tcW w:w="366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1960" w:type="dxa"/>
            <w:vAlign w:val="bottom"/>
          </w:tcPr>
          <w:p>
            <w:pPr>
              <w:jc w:val="right"/>
              <w:ind w:right="215"/>
              <w:spacing w:after="0"/>
              <w:rPr>
                <w:sz w:val="20"/>
                <w:szCs w:val="20"/>
                <w:color w:val="auto"/>
              </w:rPr>
            </w:pPr>
            <w:r>
              <w:rPr>
                <w:rFonts w:ascii="Arial" w:cs="Arial" w:eastAsia="Arial" w:hAnsi="Arial"/>
                <w:sz w:val="17"/>
                <w:szCs w:val="17"/>
                <w:color w:val="auto"/>
              </w:rPr>
              <w:t>483,639</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485,036</w:t>
            </w:r>
          </w:p>
        </w:tc>
        <w:tc>
          <w:tcPr>
            <w:tcW w:w="1260" w:type="dxa"/>
            <w:vAlign w:val="bottom"/>
            <w:gridSpan w:val="2"/>
          </w:tcPr>
          <w:p>
            <w:pPr>
              <w:jc w:val="right"/>
              <w:ind w:right="235"/>
              <w:spacing w:after="0"/>
              <w:rPr>
                <w:sz w:val="20"/>
                <w:szCs w:val="20"/>
                <w:color w:val="auto"/>
              </w:rPr>
            </w:pPr>
            <w:r>
              <w:rPr>
                <w:rFonts w:ascii="Arial" w:cs="Arial" w:eastAsia="Arial" w:hAnsi="Arial"/>
                <w:sz w:val="17"/>
                <w:szCs w:val="17"/>
                <w:color w:val="auto"/>
              </w:rPr>
              <w:t>489,163</w:t>
            </w:r>
          </w:p>
        </w:tc>
        <w:tc>
          <w:tcPr>
            <w:tcW w:w="1240" w:type="dxa"/>
            <w:vAlign w:val="bottom"/>
          </w:tcPr>
          <w:p>
            <w:pPr>
              <w:jc w:val="right"/>
              <w:ind w:right="215"/>
              <w:spacing w:after="0"/>
              <w:rPr>
                <w:sz w:val="20"/>
                <w:szCs w:val="20"/>
                <w:color w:val="auto"/>
              </w:rPr>
            </w:pPr>
            <w:r>
              <w:rPr>
                <w:rFonts w:ascii="Arial" w:cs="Arial" w:eastAsia="Arial" w:hAnsi="Arial"/>
                <w:sz w:val="17"/>
                <w:szCs w:val="17"/>
                <w:color w:val="auto"/>
              </w:rPr>
              <w:t>466,997</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448,250</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5100" w:type="dxa"/>
            <w:vAlign w:val="bottom"/>
            <w:shd w:val="clear" w:color="auto" w:fill="C0C0C0"/>
          </w:tcPr>
          <w:p>
            <w:pPr>
              <w:ind w:left="120"/>
              <w:spacing w:after="0"/>
              <w:rPr>
                <w:sz w:val="20"/>
                <w:szCs w:val="20"/>
                <w:color w:val="auto"/>
              </w:rPr>
            </w:pPr>
            <w:r>
              <w:rPr>
                <w:rFonts w:ascii="Arial" w:cs="Arial" w:eastAsia="Arial" w:hAnsi="Arial"/>
                <w:sz w:val="17"/>
                <w:szCs w:val="17"/>
                <w:b w:val="1"/>
                <w:bCs w:val="1"/>
                <w:color w:val="auto"/>
              </w:rPr>
              <w:t>Income and Expense Items as a Percentage of Net Sales</w:t>
            </w:r>
          </w:p>
        </w:tc>
        <w:tc>
          <w:tcPr>
            <w:tcW w:w="104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126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22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20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r>
      <w:tr>
        <w:trPr>
          <w:trHeight w:val="408"/>
        </w:trPr>
        <w:tc>
          <w:tcPr>
            <w:tcW w:w="5100" w:type="dxa"/>
            <w:vAlign w:val="bottom"/>
            <w:shd w:val="clear" w:color="auto" w:fill="C0C0C0"/>
          </w:tcPr>
          <w:p>
            <w:pPr>
              <w:ind w:left="120"/>
              <w:spacing w:after="0"/>
              <w:rPr>
                <w:sz w:val="20"/>
                <w:szCs w:val="20"/>
                <w:color w:val="auto"/>
              </w:rPr>
            </w:pPr>
            <w:r>
              <w:rPr>
                <w:rFonts w:ascii="Arial" w:cs="Arial" w:eastAsia="Arial" w:hAnsi="Arial"/>
                <w:sz w:val="17"/>
                <w:szCs w:val="17"/>
                <w:b w:val="1"/>
                <w:bCs w:val="1"/>
                <w:color w:val="auto"/>
              </w:rPr>
              <w:t>Year Ended December 31,</w:t>
            </w:r>
          </w:p>
        </w:tc>
        <w:tc>
          <w:tcPr>
            <w:tcW w:w="1500" w:type="dxa"/>
            <w:vAlign w:val="bottom"/>
            <w:gridSpan w:val="4"/>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2240" w:type="dxa"/>
            <w:vAlign w:val="bottom"/>
            <w:gridSpan w:val="5"/>
            <w:shd w:val="clear" w:color="auto" w:fill="C0C0C0"/>
          </w:tcPr>
          <w:p>
            <w:pPr>
              <w:jc w:val="right"/>
              <w:ind w:right="540"/>
              <w:spacing w:after="0"/>
              <w:rPr>
                <w:sz w:val="20"/>
                <w:szCs w:val="20"/>
                <w:color w:val="auto"/>
              </w:rPr>
            </w:pPr>
            <w:r>
              <w:rPr>
                <w:rFonts w:ascii="Arial" w:cs="Arial" w:eastAsia="Arial" w:hAnsi="Arial"/>
                <w:sz w:val="17"/>
                <w:szCs w:val="17"/>
                <w:b w:val="1"/>
                <w:bCs w:val="1"/>
                <w:color w:val="auto"/>
              </w:rPr>
              <w:t>1999</w:t>
            </w:r>
          </w:p>
        </w:tc>
        <w:tc>
          <w:tcPr>
            <w:tcW w:w="1200" w:type="dxa"/>
            <w:vAlign w:val="bottom"/>
            <w:gridSpan w:val="5"/>
            <w:shd w:val="clear" w:color="auto" w:fill="C0C0C0"/>
          </w:tcPr>
          <w:p>
            <w:pPr>
              <w:jc w:val="right"/>
              <w:ind w:right="120"/>
              <w:spacing w:after="0"/>
              <w:rPr>
                <w:sz w:val="20"/>
                <w:szCs w:val="20"/>
                <w:color w:val="auto"/>
              </w:rPr>
            </w:pPr>
            <w:r>
              <w:rPr>
                <w:rFonts w:ascii="Arial" w:cs="Arial" w:eastAsia="Arial" w:hAnsi="Arial"/>
                <w:sz w:val="17"/>
                <w:szCs w:val="17"/>
                <w:b w:val="1"/>
                <w:bCs w:val="1"/>
                <w:color w:val="auto"/>
              </w:rPr>
              <w:t>1998</w:t>
            </w:r>
          </w:p>
        </w:tc>
      </w:tr>
      <w:tr>
        <w:trPr>
          <w:trHeight w:val="137"/>
        </w:trPr>
        <w:tc>
          <w:tcPr>
            <w:tcW w:w="5100" w:type="dxa"/>
            <w:vAlign w:val="bottom"/>
            <w:tcBorders>
              <w:top w:val="single" w:sz="8" w:color="C0C0C0"/>
            </w:tcBorders>
            <w:shd w:val="clear" w:color="auto" w:fill="C0C0C0"/>
          </w:tcPr>
          <w:p>
            <w:pPr>
              <w:spacing w:after="0"/>
              <w:rPr>
                <w:sz w:val="11"/>
                <w:szCs w:val="11"/>
                <w:color w:val="auto"/>
              </w:rPr>
            </w:pPr>
          </w:p>
        </w:tc>
        <w:tc>
          <w:tcPr>
            <w:tcW w:w="1040" w:type="dxa"/>
            <w:vAlign w:val="bottom"/>
            <w:tcBorders>
              <w:top w:val="single" w:sz="8" w:color="C0C0C0"/>
            </w:tcBorders>
            <w:shd w:val="clear" w:color="auto" w:fill="C0C0C0"/>
          </w:tcPr>
          <w:p>
            <w:pPr>
              <w:spacing w:after="0"/>
              <w:rPr>
                <w:sz w:val="11"/>
                <w:szCs w:val="11"/>
                <w:color w:val="auto"/>
              </w:rPr>
            </w:pPr>
          </w:p>
        </w:tc>
        <w:tc>
          <w:tcPr>
            <w:tcW w:w="120" w:type="dxa"/>
            <w:vAlign w:val="bottom"/>
            <w:tcBorders>
              <w:top w:val="single" w:sz="8" w:color="C0C0C0"/>
            </w:tcBorders>
            <w:shd w:val="clear" w:color="auto" w:fill="C0C0C0"/>
          </w:tcPr>
          <w:p>
            <w:pPr>
              <w:spacing w:after="0"/>
              <w:rPr>
                <w:sz w:val="11"/>
                <w:szCs w:val="11"/>
                <w:color w:val="auto"/>
              </w:rPr>
            </w:pPr>
          </w:p>
        </w:tc>
        <w:tc>
          <w:tcPr>
            <w:tcW w:w="220" w:type="dxa"/>
            <w:vAlign w:val="bottom"/>
            <w:tcBorders>
              <w:top w:val="single" w:sz="8" w:color="auto"/>
            </w:tcBorders>
            <w:shd w:val="clear" w:color="auto" w:fill="C0C0C0"/>
          </w:tcPr>
          <w:p>
            <w:pPr>
              <w:spacing w:after="0"/>
              <w:rPr>
                <w:sz w:val="11"/>
                <w:szCs w:val="11"/>
                <w:color w:val="auto"/>
              </w:rPr>
            </w:pPr>
          </w:p>
        </w:tc>
        <w:tc>
          <w:tcPr>
            <w:tcW w:w="120" w:type="dxa"/>
            <w:vAlign w:val="bottom"/>
            <w:tcBorders>
              <w:top w:val="single" w:sz="8" w:color="auto"/>
            </w:tcBorders>
            <w:shd w:val="clear" w:color="auto" w:fill="C0C0C0"/>
          </w:tcPr>
          <w:p>
            <w:pPr>
              <w:spacing w:after="0"/>
              <w:rPr>
                <w:sz w:val="11"/>
                <w:szCs w:val="11"/>
                <w:color w:val="auto"/>
              </w:rPr>
            </w:pPr>
          </w:p>
        </w:tc>
        <w:tc>
          <w:tcPr>
            <w:tcW w:w="1260" w:type="dxa"/>
            <w:vAlign w:val="bottom"/>
            <w:tcBorders>
              <w:top w:val="single" w:sz="8" w:color="C0C0C0"/>
            </w:tcBorders>
            <w:shd w:val="clear" w:color="auto" w:fill="C0C0C0"/>
          </w:tcPr>
          <w:p>
            <w:pPr>
              <w:spacing w:after="0"/>
              <w:rPr>
                <w:sz w:val="11"/>
                <w:szCs w:val="11"/>
                <w:color w:val="auto"/>
              </w:rPr>
            </w:pPr>
          </w:p>
        </w:tc>
        <w:tc>
          <w:tcPr>
            <w:tcW w:w="100" w:type="dxa"/>
            <w:vAlign w:val="bottom"/>
            <w:tcBorders>
              <w:top w:val="single" w:sz="8" w:color="C0C0C0"/>
            </w:tcBorders>
            <w:shd w:val="clear" w:color="auto" w:fill="C0C0C0"/>
          </w:tcPr>
          <w:p>
            <w:pPr>
              <w:spacing w:after="0"/>
              <w:rPr>
                <w:sz w:val="11"/>
                <w:szCs w:val="11"/>
                <w:color w:val="auto"/>
              </w:rPr>
            </w:pPr>
          </w:p>
        </w:tc>
        <w:tc>
          <w:tcPr>
            <w:tcW w:w="220" w:type="dxa"/>
            <w:vAlign w:val="bottom"/>
            <w:tcBorders>
              <w:top w:val="single" w:sz="8" w:color="auto"/>
            </w:tcBorders>
            <w:shd w:val="clear" w:color="auto" w:fill="C0C0C0"/>
          </w:tcPr>
          <w:p>
            <w:pPr>
              <w:spacing w:after="0"/>
              <w:rPr>
                <w:sz w:val="11"/>
                <w:szCs w:val="11"/>
                <w:color w:val="auto"/>
              </w:rPr>
            </w:pPr>
          </w:p>
        </w:tc>
        <w:tc>
          <w:tcPr>
            <w:tcW w:w="120" w:type="dxa"/>
            <w:vAlign w:val="bottom"/>
            <w:tcBorders>
              <w:top w:val="single" w:sz="8" w:color="auto"/>
            </w:tcBorders>
            <w:shd w:val="clear" w:color="auto" w:fill="C0C0C0"/>
          </w:tcPr>
          <w:p>
            <w:pPr>
              <w:spacing w:after="0"/>
              <w:rPr>
                <w:sz w:val="11"/>
                <w:szCs w:val="11"/>
                <w:color w:val="auto"/>
              </w:rPr>
            </w:pPr>
          </w:p>
        </w:tc>
        <w:tc>
          <w:tcPr>
            <w:tcW w:w="540" w:type="dxa"/>
            <w:vAlign w:val="bottom"/>
            <w:tcBorders>
              <w:top w:val="single" w:sz="8" w:color="C0C0C0"/>
            </w:tcBorders>
            <w:shd w:val="clear" w:color="auto" w:fill="C0C0C0"/>
          </w:tcPr>
          <w:p>
            <w:pPr>
              <w:spacing w:after="0"/>
              <w:rPr>
                <w:sz w:val="11"/>
                <w:szCs w:val="11"/>
                <w:color w:val="auto"/>
              </w:rPr>
            </w:pPr>
          </w:p>
        </w:tc>
        <w:tc>
          <w:tcPr>
            <w:tcW w:w="620" w:type="dxa"/>
            <w:vAlign w:val="bottom"/>
            <w:tcBorders>
              <w:top w:val="single" w:sz="8" w:color="C0C0C0"/>
            </w:tcBorders>
            <w:shd w:val="clear" w:color="auto" w:fill="C0C0C0"/>
          </w:tcPr>
          <w:p>
            <w:pPr>
              <w:spacing w:after="0"/>
              <w:rPr>
                <w:sz w:val="11"/>
                <w:szCs w:val="11"/>
                <w:color w:val="auto"/>
              </w:rPr>
            </w:pPr>
          </w:p>
        </w:tc>
        <w:tc>
          <w:tcPr>
            <w:tcW w:w="120" w:type="dxa"/>
            <w:vAlign w:val="bottom"/>
            <w:tcBorders>
              <w:top w:val="single" w:sz="8" w:color="C0C0C0"/>
            </w:tcBorders>
            <w:shd w:val="clear" w:color="auto" w:fill="C0C0C0"/>
          </w:tcPr>
          <w:p>
            <w:pPr>
              <w:spacing w:after="0"/>
              <w:rPr>
                <w:sz w:val="11"/>
                <w:szCs w:val="11"/>
                <w:color w:val="auto"/>
              </w:rPr>
            </w:pPr>
          </w:p>
        </w:tc>
        <w:tc>
          <w:tcPr>
            <w:tcW w:w="200" w:type="dxa"/>
            <w:vAlign w:val="bottom"/>
            <w:tcBorders>
              <w:top w:val="single" w:sz="8" w:color="auto"/>
            </w:tcBorders>
            <w:shd w:val="clear" w:color="auto" w:fill="C0C0C0"/>
          </w:tcPr>
          <w:p>
            <w:pPr>
              <w:spacing w:after="0"/>
              <w:rPr>
                <w:sz w:val="11"/>
                <w:szCs w:val="11"/>
                <w:color w:val="auto"/>
              </w:rPr>
            </w:pPr>
          </w:p>
        </w:tc>
        <w:tc>
          <w:tcPr>
            <w:tcW w:w="140" w:type="dxa"/>
            <w:vAlign w:val="bottom"/>
            <w:tcBorders>
              <w:top w:val="single" w:sz="8" w:color="auto"/>
            </w:tcBorders>
            <w:shd w:val="clear" w:color="auto" w:fill="C0C0C0"/>
          </w:tcPr>
          <w:p>
            <w:pPr>
              <w:spacing w:after="0"/>
              <w:rPr>
                <w:sz w:val="11"/>
                <w:szCs w:val="11"/>
                <w:color w:val="auto"/>
              </w:rPr>
            </w:pPr>
          </w:p>
        </w:tc>
        <w:tc>
          <w:tcPr>
            <w:tcW w:w="120" w:type="dxa"/>
            <w:vAlign w:val="bottom"/>
            <w:tcBorders>
              <w:top w:val="single" w:sz="8" w:color="C0C0C0"/>
            </w:tcBorders>
            <w:shd w:val="clear" w:color="auto" w:fill="C0C0C0"/>
          </w:tcPr>
          <w:p>
            <w:pPr>
              <w:spacing w:after="0"/>
              <w:rPr>
                <w:sz w:val="11"/>
                <w:szCs w:val="11"/>
                <w:color w:val="auto"/>
              </w:rPr>
            </w:pPr>
          </w:p>
        </w:tc>
      </w:tr>
      <w:tr>
        <w:trPr>
          <w:trHeight w:val="796"/>
        </w:trPr>
        <w:tc>
          <w:tcPr>
            <w:tcW w:w="5100" w:type="dxa"/>
            <w:vAlign w:val="bottom"/>
          </w:tcPr>
          <w:p>
            <w:pPr>
              <w:ind w:left="120"/>
              <w:spacing w:after="0"/>
              <w:rPr>
                <w:sz w:val="20"/>
                <w:szCs w:val="20"/>
                <w:color w:val="auto"/>
              </w:rPr>
            </w:pPr>
            <w:r>
              <w:rPr>
                <w:rFonts w:ascii="Arial" w:cs="Arial" w:eastAsia="Arial" w:hAnsi="Arial"/>
                <w:sz w:val="17"/>
                <w:szCs w:val="17"/>
                <w:color w:val="auto"/>
              </w:rPr>
              <w:t>Net sales</w:t>
            </w: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100.0%</w:t>
            </w:r>
          </w:p>
        </w:tc>
        <w:tc>
          <w:tcPr>
            <w:tcW w:w="2240" w:type="dxa"/>
            <w:vAlign w:val="bottom"/>
            <w:gridSpan w:val="5"/>
          </w:tcPr>
          <w:p>
            <w:pPr>
              <w:jc w:val="right"/>
              <w:ind w:right="540"/>
              <w:spacing w:after="0"/>
              <w:rPr>
                <w:sz w:val="20"/>
                <w:szCs w:val="20"/>
                <w:color w:val="auto"/>
              </w:rPr>
            </w:pPr>
            <w:r>
              <w:rPr>
                <w:rFonts w:ascii="Arial" w:cs="Arial" w:eastAsia="Arial" w:hAnsi="Arial"/>
                <w:sz w:val="17"/>
                <w:szCs w:val="17"/>
                <w:color w:val="auto"/>
              </w:rPr>
              <w:t>100.0%</w:t>
            </w:r>
          </w:p>
        </w:tc>
        <w:tc>
          <w:tcPr>
            <w:tcW w:w="1200" w:type="dxa"/>
            <w:vAlign w:val="bottom"/>
            <w:gridSpan w:val="5"/>
          </w:tcPr>
          <w:p>
            <w:pPr>
              <w:jc w:val="right"/>
              <w:ind w:right="120"/>
              <w:spacing w:after="0"/>
              <w:rPr>
                <w:sz w:val="20"/>
                <w:szCs w:val="20"/>
                <w:color w:val="auto"/>
              </w:rPr>
            </w:pPr>
            <w:r>
              <w:rPr>
                <w:rFonts w:ascii="Arial" w:cs="Arial" w:eastAsia="Arial" w:hAnsi="Arial"/>
                <w:sz w:val="17"/>
                <w:szCs w:val="17"/>
                <w:color w:val="auto"/>
              </w:rPr>
              <w:t>100.0%</w:t>
            </w:r>
          </w:p>
        </w:tc>
      </w:tr>
      <w:tr>
        <w:trPr>
          <w:trHeight w:val="445"/>
        </w:trPr>
        <w:tc>
          <w:tcPr>
            <w:tcW w:w="5100" w:type="dxa"/>
            <w:vAlign w:val="bottom"/>
          </w:tcPr>
          <w:p>
            <w:pPr>
              <w:ind w:left="120"/>
              <w:spacing w:after="0"/>
              <w:rPr>
                <w:sz w:val="20"/>
                <w:szCs w:val="20"/>
                <w:color w:val="auto"/>
              </w:rPr>
            </w:pPr>
            <w:r>
              <w:rPr>
                <w:rFonts w:ascii="Arial" w:cs="Arial" w:eastAsia="Arial" w:hAnsi="Arial"/>
                <w:sz w:val="17"/>
                <w:szCs w:val="17"/>
                <w:color w:val="auto"/>
              </w:rPr>
              <w:t>Cost of goods sold</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71.2</w:t>
            </w:r>
          </w:p>
        </w:tc>
        <w:tc>
          <w:tcPr>
            <w:tcW w:w="12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70.5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70.1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5100" w:type="dxa"/>
            <w:vAlign w:val="bottom"/>
          </w:tcPr>
          <w:p>
            <w:pPr>
              <w:ind w:left="120"/>
              <w:spacing w:after="0"/>
              <w:rPr>
                <w:sz w:val="20"/>
                <w:szCs w:val="20"/>
                <w:color w:val="auto"/>
              </w:rPr>
            </w:pPr>
            <w:r>
              <w:rPr>
                <w:rFonts w:ascii="Arial" w:cs="Arial" w:eastAsia="Arial" w:hAnsi="Arial"/>
                <w:sz w:val="17"/>
                <w:szCs w:val="17"/>
                <w:color w:val="auto"/>
              </w:rPr>
              <w:t>Marketing and administrative expenses</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24"/>
                <w:szCs w:val="24"/>
                <w:color w:val="auto"/>
              </w:rPr>
            </w:pPr>
          </w:p>
        </w:tc>
      </w:tr>
      <w:tr>
        <w:trPr>
          <w:trHeight w:val="445"/>
        </w:trPr>
        <w:tc>
          <w:tcPr>
            <w:tcW w:w="5100" w:type="dxa"/>
            <w:vAlign w:val="bottom"/>
          </w:tcPr>
          <w:p>
            <w:pPr>
              <w:ind w:left="120"/>
              <w:spacing w:after="0"/>
              <w:rPr>
                <w:sz w:val="20"/>
                <w:szCs w:val="20"/>
                <w:color w:val="auto"/>
              </w:rPr>
            </w:pPr>
            <w:r>
              <w:rPr>
                <w:rFonts w:ascii="Arial" w:cs="Arial" w:eastAsia="Arial" w:hAnsi="Arial"/>
                <w:sz w:val="17"/>
                <w:szCs w:val="17"/>
                <w:color w:val="auto"/>
              </w:rPr>
              <w:t>Research and development expenses</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5100" w:type="dxa"/>
            <w:vAlign w:val="bottom"/>
          </w:tcPr>
          <w:p>
            <w:pPr>
              <w:ind w:left="120"/>
              <w:spacing w:after="0"/>
              <w:rPr>
                <w:sz w:val="20"/>
                <w:szCs w:val="20"/>
                <w:color w:val="auto"/>
              </w:rPr>
            </w:pPr>
            <w:r>
              <w:rPr>
                <w:rFonts w:ascii="Arial" w:cs="Arial" w:eastAsia="Arial" w:hAnsi="Arial"/>
                <w:sz w:val="17"/>
                <w:szCs w:val="17"/>
                <w:color w:val="auto"/>
              </w:rPr>
              <w:t>Bad debt expenses</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8"/>
        </w:trPr>
        <w:tc>
          <w:tcPr>
            <w:tcW w:w="5100" w:type="dxa"/>
            <w:vAlign w:val="bottom"/>
          </w:tcPr>
          <w:p>
            <w:pPr>
              <w:ind w:left="120"/>
              <w:spacing w:after="0"/>
              <w:rPr>
                <w:sz w:val="20"/>
                <w:szCs w:val="20"/>
                <w:color w:val="auto"/>
              </w:rPr>
            </w:pPr>
            <w:r>
              <w:rPr>
                <w:rFonts w:ascii="Arial" w:cs="Arial" w:eastAsia="Arial" w:hAnsi="Arial"/>
                <w:sz w:val="17"/>
                <w:szCs w:val="17"/>
                <w:color w:val="auto"/>
              </w:rPr>
              <w:t>Write-down of impaired assets</w:t>
            </w:r>
          </w:p>
        </w:tc>
        <w:tc>
          <w:tcPr>
            <w:tcW w:w="10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r>
      <w:tr>
        <w:trPr>
          <w:trHeight w:val="462"/>
        </w:trPr>
        <w:tc>
          <w:tcPr>
            <w:tcW w:w="5100" w:type="dxa"/>
            <w:vAlign w:val="bottom"/>
          </w:tcPr>
          <w:p>
            <w:pPr>
              <w:ind w:left="120"/>
              <w:spacing w:after="0"/>
              <w:rPr>
                <w:sz w:val="20"/>
                <w:szCs w:val="20"/>
                <w:color w:val="auto"/>
              </w:rPr>
            </w:pPr>
            <w:r>
              <w:rPr>
                <w:rFonts w:ascii="Arial" w:cs="Arial" w:eastAsia="Arial" w:hAnsi="Arial"/>
                <w:sz w:val="17"/>
                <w:szCs w:val="17"/>
                <w:color w:val="auto"/>
              </w:rPr>
              <w:t>Income from operations</w:t>
            </w:r>
          </w:p>
        </w:tc>
        <w:tc>
          <w:tcPr>
            <w:tcW w:w="1040" w:type="dxa"/>
            <w:vAlign w:val="bottom"/>
          </w:tcPr>
          <w:p>
            <w:pPr>
              <w:spacing w:after="0"/>
              <w:rPr>
                <w:sz w:val="24"/>
                <w:szCs w:val="24"/>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6"/>
              </w:rPr>
              <w:t>12.6</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0"/>
              </w:rPr>
              <w:t>14.7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0"/>
              </w:rPr>
              <w:t>14.6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510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8.1%</w:t>
            </w:r>
          </w:p>
        </w:tc>
        <w:tc>
          <w:tcPr>
            <w:tcW w:w="2240" w:type="dxa"/>
            <w:vAlign w:val="bottom"/>
            <w:gridSpan w:val="5"/>
          </w:tcPr>
          <w:p>
            <w:pPr>
              <w:jc w:val="right"/>
              <w:ind w:right="540"/>
              <w:spacing w:after="0"/>
              <w:rPr>
                <w:sz w:val="20"/>
                <w:szCs w:val="20"/>
                <w:color w:val="auto"/>
              </w:rPr>
            </w:pPr>
            <w:r>
              <w:rPr>
                <w:rFonts w:ascii="Arial" w:cs="Arial" w:eastAsia="Arial" w:hAnsi="Arial"/>
                <w:sz w:val="17"/>
                <w:szCs w:val="17"/>
                <w:color w:val="auto"/>
              </w:rPr>
              <w:t>9.4%</w:t>
            </w:r>
          </w:p>
        </w:tc>
        <w:tc>
          <w:tcPr>
            <w:tcW w:w="1200" w:type="dxa"/>
            <w:vAlign w:val="bottom"/>
            <w:gridSpan w:val="5"/>
          </w:tcPr>
          <w:p>
            <w:pPr>
              <w:jc w:val="right"/>
              <w:ind w:right="120"/>
              <w:spacing w:after="0"/>
              <w:rPr>
                <w:sz w:val="20"/>
                <w:szCs w:val="20"/>
                <w:color w:val="auto"/>
              </w:rPr>
            </w:pPr>
            <w:r>
              <w:rPr>
                <w:rFonts w:ascii="Arial" w:cs="Arial" w:eastAsia="Arial" w:hAnsi="Arial"/>
                <w:sz w:val="17"/>
                <w:szCs w:val="17"/>
                <w:color w:val="auto"/>
              </w:rPr>
              <w:t>9.1%</w:t>
            </w:r>
          </w:p>
        </w:tc>
      </w:tr>
      <w:tr>
        <w:trPr>
          <w:trHeight w:val="216"/>
        </w:trPr>
        <w:tc>
          <w:tcPr>
            <w:tcW w:w="5100" w:type="dxa"/>
            <w:vAlign w:val="bottom"/>
          </w:tcPr>
          <w:p>
            <w:pPr>
              <w:spacing w:after="0"/>
              <w:rPr>
                <w:sz w:val="18"/>
                <w:szCs w:val="18"/>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170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2000 and Outlook</w:t>
      </w:r>
    </w:p>
    <w:p>
      <w:pPr>
        <w:spacing w:after="0" w:line="188" w:lineRule="exact"/>
        <w:rPr>
          <w:sz w:val="20"/>
          <w:szCs w:val="20"/>
          <w:color w:val="auto"/>
        </w:rPr>
      </w:pPr>
    </w:p>
    <w:p>
      <w:pPr>
        <w:ind w:right="40" w:firstLine="170"/>
        <w:spacing w:after="0" w:line="321" w:lineRule="auto"/>
        <w:rPr>
          <w:sz w:val="20"/>
          <w:szCs w:val="20"/>
          <w:color w:val="auto"/>
        </w:rPr>
      </w:pPr>
      <w:r>
        <w:rPr>
          <w:rFonts w:ascii="Arial" w:cs="Arial" w:eastAsia="Arial" w:hAnsi="Arial"/>
          <w:sz w:val="15"/>
          <w:szCs w:val="15"/>
          <w:color w:val="auto"/>
        </w:rPr>
        <w:t>In 2000, the Company had a difficult year. The first two quarters of the year were very strong with growth in diluted earnings per share of 15% and 16%, respectively. As a result of weakness in the second half in the paper, steel and construction industries, and approximately $10.5 million in charges, which are described below, diluted earnings per share declined 8% for the year as compared with the prior year. The Company expects continued weakness in the first half of 2001.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591820</wp:posOffset>
            </wp:positionV>
            <wp:extent cx="72758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During the second half of 2000, economic trends in the industries the Company serves, particularly in the United States, deteriorated significantly.</w:t>
      </w:r>
    </w:p>
    <w:p>
      <w:pPr>
        <w:spacing w:after="0" w:line="184" w:lineRule="exact"/>
        <w:rPr>
          <w:sz w:val="20"/>
          <w:szCs w:val="20"/>
          <w:color w:val="auto"/>
        </w:rPr>
      </w:pPr>
    </w:p>
    <w:p>
      <w:pPr>
        <w:ind w:left="520" w:right="240"/>
        <w:spacing w:after="0" w:line="259" w:lineRule="auto"/>
        <w:rPr>
          <w:sz w:val="20"/>
          <w:szCs w:val="20"/>
          <w:color w:val="auto"/>
        </w:rPr>
      </w:pPr>
      <w:r>
        <w:rPr>
          <w:rFonts w:ascii="Arial" w:cs="Arial" w:eastAsia="Arial" w:hAnsi="Arial"/>
          <w:sz w:val="17"/>
          <w:szCs w:val="17"/>
          <w:color w:val="auto"/>
        </w:rPr>
        <w:t>Three paper mills at which the Company has satellite precipitated calcium carbonate (PCC) plants announced their intention to shut down, two owned by International Paper Company and one by Plainwell Inc., which filed a Chapter 11 bankruptcy petition. Other paper makers reduced inventories as a result of weaker paper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-358775</wp:posOffset>
            </wp:positionV>
            <wp:extent cx="58420" cy="58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580"/>
        <w:spacing w:after="0" w:line="257" w:lineRule="auto"/>
        <w:rPr>
          <w:sz w:val="20"/>
          <w:szCs w:val="20"/>
          <w:color w:val="auto"/>
        </w:rPr>
      </w:pPr>
      <w:r>
        <w:rPr>
          <w:rFonts w:ascii="Arial" w:cs="Arial" w:eastAsia="Arial" w:hAnsi="Arial"/>
          <w:sz w:val="17"/>
          <w:szCs w:val="17"/>
          <w:color w:val="auto"/>
        </w:rPr>
        <w:t>The domestic steel industry experienced an extreme downturn: domestic steel production, which increased approximately 13% in the first half of 2000, decreased approximately 12% in the fourth quarter. Several steel manufacturers, including two major customers of the Company, filed for bankruptcy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-359410</wp:posOffset>
            </wp:positionV>
            <wp:extent cx="58420" cy="584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The construction and automotive industries were also affected adversely by the weaker economy and higher energy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-85090</wp:posOffset>
            </wp:positionV>
            <wp:extent cx="58420" cy="584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8" w:lineRule="exact"/>
        <w:rPr>
          <w:sz w:val="20"/>
          <w:szCs w:val="20"/>
          <w:color w:val="auto"/>
        </w:rPr>
      </w:pPr>
    </w:p>
    <w:p>
      <w:pPr>
        <w:ind w:firstLine="203"/>
        <w:spacing w:after="0" w:line="269" w:lineRule="auto"/>
        <w:rPr>
          <w:sz w:val="20"/>
          <w:szCs w:val="20"/>
          <w:color w:val="auto"/>
        </w:rPr>
      </w:pPr>
      <w:r>
        <w:rPr>
          <w:rFonts w:ascii="Arial" w:cs="Arial" w:eastAsia="Arial" w:hAnsi="Arial"/>
          <w:sz w:val="17"/>
          <w:szCs w:val="17"/>
          <w:color w:val="auto"/>
        </w:rPr>
        <w:t>As a consequence of these adverse events the Company recorded a $4.9 million write-down of impaired assets related to the three satellite PCC plants at paper mills that have ceased or will cease operations. The Company also recognized $5.6 million in additional bad debt expenses, primarily related to the bankruptcies of major customers in the steel, paper and construction industries.</w:t>
      </w:r>
    </w:p>
    <w:p>
      <w:pPr>
        <w:spacing w:after="0" w:line="141" w:lineRule="exact"/>
        <w:rPr>
          <w:sz w:val="20"/>
          <w:szCs w:val="20"/>
          <w:color w:val="auto"/>
        </w:rPr>
      </w:pPr>
    </w:p>
    <w:p>
      <w:pPr>
        <w:ind w:right="180" w:firstLine="210"/>
        <w:spacing w:after="0" w:line="293" w:lineRule="auto"/>
        <w:rPr>
          <w:sz w:val="20"/>
          <w:szCs w:val="20"/>
          <w:color w:val="auto"/>
        </w:rPr>
      </w:pPr>
      <w:r>
        <w:rPr>
          <w:rFonts w:ascii="Arial" w:cs="Arial" w:eastAsia="Arial" w:hAnsi="Arial"/>
          <w:sz w:val="15"/>
          <w:szCs w:val="15"/>
          <w:color w:val="auto"/>
        </w:rPr>
        <w:t>The Company adhered to its strategy of expanding its PCC product line within the Specialty Minerals segment. The Company commenced operations at two new satellite PCC plants, one in Japan and the other in Brazil and began operations at a major three-unit expansion of a satellite PCC plant in Portugal. Together, these plants have production capacity equivalent to approximately seven satellite units. (A satellite unit is equivalent to annual production capacity of between 25,000 and 35,000 tons of PCC.) The Company also added another eight units of volume in 2000 through various expansions at existing satellite facilities. In January 2001, the Company announced a new contract with Great Northern Paper Company in Millinocket, Maine to construct a two-unit satellite plant using the Company's patented</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PCC technology. This plant is expected to be in operation in the third quarter of 2001. The 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PCC technology continues to show growth and the groundwood sector of the worldwide paper industry continues to show widespread interest in this product. The Company presently serves 14 groundwood paper mills on 24 paper machines around the world. As a result, sales of PCC as a percentage of the Company's total net sales, which were 37% in 1992, had risen to approximately 60% by 2000.</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expects additional expansions at existing satellite PCC plants to occur in 2001 and also expects to sign contracts for new satellite PCC plants.</w:t>
      </w:r>
    </w:p>
    <w:p>
      <w:pPr>
        <w:sectPr>
          <w:pgSz w:w="11900" w:h="16838" w:orient="portrait"/>
          <w:cols w:equalWidth="0" w:num="1">
            <w:col w:w="11400"/>
          </w:cols>
          <w:pgMar w:left="240" w:top="340" w:right="259" w:bottom="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In 2001, the Company plans to continue its focus on the following growth strategies for the PCC product line:</w:t>
      </w:r>
    </w:p>
    <w:p>
      <w:pPr>
        <w:spacing w:after="0" w:line="18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Continued efforts to increase market penetration in North America, Europe, Latin America, and the Pacific 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-80645</wp:posOffset>
            </wp:positionV>
            <wp:extent cx="58420" cy="58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060" w:right="640"/>
        <w:spacing w:after="0" w:line="265" w:lineRule="auto"/>
        <w:rPr>
          <w:sz w:val="20"/>
          <w:szCs w:val="20"/>
          <w:color w:val="auto"/>
        </w:rPr>
      </w:pPr>
      <w:r>
        <w:rPr>
          <w:rFonts w:ascii="Arial" w:cs="Arial" w:eastAsia="Arial" w:hAnsi="Arial"/>
          <w:sz w:val="17"/>
          <w:szCs w:val="17"/>
          <w:color w:val="auto"/>
        </w:rPr>
        <w:t>Continued expansions of the capacity of existing satellite PCC plants in response to increased demand, which is resulting from increased PCC filler levels in paper, the installation of new paper machines or higher paper machine productivity. Continued research and development and marketing efforts for new and existing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-372110</wp:posOffset>
            </wp:positionV>
            <wp:extent cx="58420" cy="58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-106045</wp:posOffset>
            </wp:positionV>
            <wp:extent cx="58420" cy="58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However, there can be no assurance that the Company will achieve success in implementing any one or more of these strategies.</w:t>
      </w:r>
    </w:p>
    <w:p>
      <w:pPr>
        <w:spacing w:after="0" w:line="184" w:lineRule="exact"/>
        <w:rPr>
          <w:sz w:val="20"/>
          <w:szCs w:val="20"/>
          <w:color w:val="auto"/>
        </w:rPr>
      </w:pPr>
    </w:p>
    <w:p>
      <w:pPr>
        <w:ind w:firstLine="210"/>
        <w:spacing w:after="0" w:line="265" w:lineRule="auto"/>
        <w:rPr>
          <w:sz w:val="20"/>
          <w:szCs w:val="20"/>
          <w:color w:val="auto"/>
        </w:rPr>
      </w:pPr>
      <w:r>
        <w:rPr>
          <w:rFonts w:ascii="Arial" w:cs="Arial" w:eastAsia="Arial" w:hAnsi="Arial"/>
          <w:sz w:val="17"/>
          <w:szCs w:val="17"/>
          <w:color w:val="auto"/>
        </w:rPr>
        <w:t>The Company's sales of PCC are predominantly pursuant to long-term agreements, generally ten years in length, with paper mills at which the Company operates satellite PCC plants. The terms of many of these agreements have been extended, often in connection with an expansion of the satellite PCC plant. Failure of a number of the Company's customers to renew existing agreements on terms as favorable to the Company as those currently in effect could cause the future growth rate of the Company to differ materially from its historical growth rate.</w:t>
      </w:r>
    </w:p>
    <w:p>
      <w:pPr>
        <w:spacing w:after="0" w:line="145" w:lineRule="exact"/>
        <w:rPr>
          <w:sz w:val="20"/>
          <w:szCs w:val="20"/>
          <w:color w:val="auto"/>
        </w:rPr>
      </w:pPr>
    </w:p>
    <w:p>
      <w:pPr>
        <w:jc w:val="both"/>
        <w:ind w:right="160" w:firstLine="213"/>
        <w:spacing w:after="0" w:line="351" w:lineRule="auto"/>
        <w:rPr>
          <w:sz w:val="20"/>
          <w:szCs w:val="20"/>
          <w:color w:val="auto"/>
        </w:rPr>
      </w:pPr>
      <w:r>
        <w:rPr>
          <w:rFonts w:ascii="Arial" w:cs="Arial" w:eastAsia="Arial" w:hAnsi="Arial"/>
          <w:sz w:val="15"/>
          <w:szCs w:val="15"/>
          <w:color w:val="auto"/>
        </w:rPr>
        <w:t>On February 23, 2001, the Company signed an agreement to purchase the refractories business of Martin Marietta Magnesia Specialties Inc. for $34 million. This transaction is expected to close within the second quarter of 2001. Net sales of this business for the year ended December 31, 2000 were approximately $57 million.</w:t>
      </w:r>
    </w:p>
    <w:p>
      <w:pPr>
        <w:spacing w:after="0" w:line="85" w:lineRule="exact"/>
        <w:rPr>
          <w:sz w:val="20"/>
          <w:szCs w:val="20"/>
          <w:color w:val="auto"/>
        </w:rPr>
      </w:pPr>
    </w:p>
    <w:p>
      <w:pPr>
        <w:ind w:right="400" w:firstLine="210"/>
        <w:spacing w:after="0" w:line="282" w:lineRule="auto"/>
        <w:rPr>
          <w:sz w:val="20"/>
          <w:szCs w:val="20"/>
          <w:color w:val="auto"/>
        </w:rPr>
      </w:pPr>
      <w:r>
        <w:rPr>
          <w:rFonts w:ascii="Arial" w:cs="Arial" w:eastAsia="Arial" w:hAnsi="Arial"/>
          <w:sz w:val="17"/>
          <w:szCs w:val="17"/>
          <w:color w:val="auto"/>
        </w:rPr>
        <w:t>The Company will continue to emphasize specialty products in its Refractories segment and to develop and commercialize products, processes and equipment resulting from its research and development efforts.</w:t>
      </w:r>
    </w:p>
    <w:p>
      <w:pPr>
        <w:spacing w:after="0" w:line="130" w:lineRule="exact"/>
        <w:rPr>
          <w:sz w:val="20"/>
          <w:szCs w:val="20"/>
          <w:color w:val="auto"/>
        </w:rPr>
      </w:pPr>
    </w:p>
    <w:p>
      <w:pPr>
        <w:ind w:right="300" w:firstLine="203"/>
        <w:spacing w:after="0" w:line="269" w:lineRule="auto"/>
        <w:rPr>
          <w:sz w:val="20"/>
          <w:szCs w:val="20"/>
          <w:color w:val="auto"/>
        </w:rPr>
      </w:pPr>
      <w:r>
        <w:rPr>
          <w:rFonts w:ascii="Arial" w:cs="Arial" w:eastAsia="Arial" w:hAnsi="Arial"/>
          <w:sz w:val="17"/>
          <w:szCs w:val="17"/>
          <w:color w:val="auto"/>
        </w:rPr>
        <w:t>As the Company continues to expand its operations overseas, it faces the inherent risks of doing business abroad, including exchange rate fluctuations, nationalization, expropriation, limitations on repatriation of funds and other factors. In addition, the Company's performance depends to some extent on that of the industries it serves, particularly the paper manufacturing, steel manufacturing, and construction industries.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125095</wp:posOffset>
            </wp:positionV>
            <wp:extent cx="5330190" cy="448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0190" cy="448945"/>
                    </a:xfrm>
                    <a:prstGeom prst="rect">
                      <a:avLst/>
                    </a:prstGeom>
                    <a:noFill/>
                  </pic:spPr>
                </pic:pic>
              </a:graphicData>
            </a:graphic>
          </wp:anchor>
        </w:drawing>
      </w:r>
    </w:p>
    <w:p>
      <w:pPr>
        <w:spacing w:after="0" w:line="230"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rPr>
        <w:t>Net Sales</w:t>
      </w:r>
    </w:p>
    <w:p>
      <w:pPr>
        <w:spacing w:after="0" w:line="118" w:lineRule="exact"/>
        <w:rPr>
          <w:sz w:val="20"/>
          <w:szCs w:val="20"/>
          <w:color w:val="auto"/>
        </w:rPr>
      </w:pPr>
    </w:p>
    <w:tbl>
      <w:tblPr>
        <w:tblLayout w:type="fixed"/>
        <w:tblInd w:w="158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r>
              <w:rPr>
                <w:rFonts w:ascii="Arial" w:cs="Arial" w:eastAsia="Arial" w:hAnsi="Arial"/>
                <w:sz w:val="17"/>
                <w:szCs w:val="17"/>
                <w:b w:val="1"/>
                <w:bCs w:val="1"/>
                <w:color w:val="auto"/>
              </w:rPr>
              <w:t>Dollars in Millions</w:t>
            </w:r>
          </w:p>
        </w:tc>
        <w:tc>
          <w:tcPr>
            <w:tcW w:w="1080" w:type="dxa"/>
            <w:vAlign w:val="bottom"/>
            <w:gridSpan w:val="3"/>
            <w:shd w:val="clear" w:color="auto" w:fill="C0C0C0"/>
          </w:tcPr>
          <w:p>
            <w:pPr>
              <w:jc w:val="right"/>
              <w:ind w:right="360"/>
              <w:spacing w:after="0"/>
              <w:rPr>
                <w:sz w:val="20"/>
                <w:szCs w:val="20"/>
                <w:color w:val="auto"/>
              </w:rPr>
            </w:pPr>
            <w:r>
              <w:rPr>
                <w:rFonts w:ascii="Arial" w:cs="Arial" w:eastAsia="Arial" w:hAnsi="Arial"/>
                <w:sz w:val="17"/>
                <w:szCs w:val="17"/>
                <w:b w:val="1"/>
                <w:bCs w:val="1"/>
                <w:color w:val="auto"/>
              </w:rPr>
              <w:t>2000</w:t>
            </w:r>
          </w:p>
        </w:tc>
        <w:tc>
          <w:tcPr>
            <w:tcW w:w="860" w:type="dxa"/>
            <w:vAlign w:val="bottom"/>
            <w:gridSpan w:val="2"/>
            <w:shd w:val="clear" w:color="auto" w:fill="C0C0C0"/>
          </w:tcPr>
          <w:p>
            <w:pPr>
              <w:jc w:val="center"/>
              <w:ind w:left="215"/>
              <w:spacing w:after="0"/>
              <w:rPr>
                <w:sz w:val="20"/>
                <w:szCs w:val="20"/>
                <w:color w:val="auto"/>
              </w:rPr>
            </w:pPr>
            <w:r>
              <w:rPr>
                <w:rFonts w:ascii="Arial" w:cs="Arial" w:eastAsia="Arial" w:hAnsi="Arial"/>
                <w:sz w:val="17"/>
                <w:szCs w:val="17"/>
                <w:b w:val="1"/>
                <w:bCs w:val="1"/>
                <w:color w:val="auto"/>
                <w:w w:val="94"/>
              </w:rPr>
              <w:t>Growth</w:t>
            </w:r>
          </w:p>
        </w:tc>
        <w:tc>
          <w:tcPr>
            <w:tcW w:w="100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660" w:type="dxa"/>
            <w:vAlign w:val="bottom"/>
            <w:shd w:val="clear" w:color="auto" w:fill="C0C0C0"/>
          </w:tcPr>
          <w:p>
            <w:pPr>
              <w:spacing w:after="0"/>
              <w:rPr>
                <w:sz w:val="20"/>
                <w:szCs w:val="20"/>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b w:val="1"/>
                <w:bCs w:val="1"/>
                <w:color w:val="auto"/>
                <w:w w:val="94"/>
              </w:rPr>
              <w:t>Growth</w:t>
            </w:r>
          </w:p>
        </w:tc>
        <w:tc>
          <w:tcPr>
            <w:tcW w:w="1400" w:type="dxa"/>
            <w:vAlign w:val="bottom"/>
            <w:gridSpan w:val="3"/>
            <w:shd w:val="clear" w:color="auto" w:fill="C0C0C0"/>
          </w:tcPr>
          <w:p>
            <w:pPr>
              <w:jc w:val="right"/>
              <w:ind w:right="400"/>
              <w:spacing w:after="0"/>
              <w:rPr>
                <w:sz w:val="20"/>
                <w:szCs w:val="20"/>
                <w:color w:val="auto"/>
              </w:rPr>
            </w:pPr>
            <w:r>
              <w:rPr>
                <w:rFonts w:ascii="Arial" w:cs="Arial" w:eastAsia="Arial" w:hAnsi="Arial"/>
                <w:sz w:val="17"/>
                <w:szCs w:val="17"/>
                <w:b w:val="1"/>
                <w:bCs w:val="1"/>
                <w:color w:val="auto"/>
              </w:rPr>
              <w:t>1998</w:t>
            </w:r>
          </w:p>
        </w:tc>
      </w:tr>
      <w:tr>
        <w:trPr>
          <w:trHeight w:val="85"/>
        </w:trPr>
        <w:tc>
          <w:tcPr>
            <w:tcW w:w="2780" w:type="dxa"/>
            <w:vAlign w:val="bottom"/>
          </w:tcPr>
          <w:p>
            <w:pPr>
              <w:spacing w:after="0"/>
              <w:rPr>
                <w:sz w:val="7"/>
                <w:szCs w:val="7"/>
                <w:color w:val="auto"/>
              </w:rPr>
            </w:pPr>
          </w:p>
        </w:tc>
        <w:tc>
          <w:tcPr>
            <w:tcW w:w="380" w:type="dxa"/>
            <w:vAlign w:val="bottom"/>
            <w:tcBorders>
              <w:top w:val="single" w:sz="8" w:color="C0C0C0"/>
            </w:tcBorders>
            <w:shd w:val="clear" w:color="auto" w:fill="C0C0C0"/>
          </w:tcPr>
          <w:p>
            <w:pPr>
              <w:spacing w:after="0"/>
              <w:rPr>
                <w:sz w:val="7"/>
                <w:szCs w:val="7"/>
                <w:color w:val="auto"/>
              </w:rPr>
            </w:pPr>
          </w:p>
        </w:tc>
        <w:tc>
          <w:tcPr>
            <w:tcW w:w="340" w:type="dxa"/>
            <w:vAlign w:val="bottom"/>
            <w:tcBorders>
              <w:top w:val="single" w:sz="8" w:color="auto"/>
            </w:tcBorders>
            <w:shd w:val="clear" w:color="auto" w:fill="C0C0C0"/>
          </w:tcPr>
          <w:p>
            <w:pPr>
              <w:spacing w:after="0"/>
              <w:rPr>
                <w:sz w:val="7"/>
                <w:szCs w:val="7"/>
                <w:color w:val="auto"/>
              </w:rPr>
            </w:pPr>
          </w:p>
        </w:tc>
        <w:tc>
          <w:tcPr>
            <w:tcW w:w="360" w:type="dxa"/>
            <w:vAlign w:val="bottom"/>
            <w:tcBorders>
              <w:top w:val="single" w:sz="8" w:color="C0C0C0"/>
            </w:tcBorders>
            <w:shd w:val="clear" w:color="auto" w:fill="C0C0C0"/>
          </w:tcPr>
          <w:p>
            <w:pPr>
              <w:spacing w:after="0"/>
              <w:rPr>
                <w:sz w:val="7"/>
                <w:szCs w:val="7"/>
                <w:color w:val="auto"/>
              </w:rPr>
            </w:pPr>
          </w:p>
        </w:tc>
        <w:tc>
          <w:tcPr>
            <w:tcW w:w="300" w:type="dxa"/>
            <w:vAlign w:val="bottom"/>
            <w:tcBorders>
              <w:top w:val="single" w:sz="8" w:color="C0C0C0"/>
            </w:tcBorders>
            <w:shd w:val="clear" w:color="auto" w:fill="C0C0C0"/>
          </w:tcPr>
          <w:p>
            <w:pPr>
              <w:spacing w:after="0"/>
              <w:rPr>
                <w:sz w:val="7"/>
                <w:szCs w:val="7"/>
                <w:color w:val="auto"/>
              </w:rPr>
            </w:pPr>
          </w:p>
        </w:tc>
        <w:tc>
          <w:tcPr>
            <w:tcW w:w="560" w:type="dxa"/>
            <w:vAlign w:val="bottom"/>
            <w:tcBorders>
              <w:top w:val="single" w:sz="8" w:color="auto"/>
            </w:tcBorders>
            <w:shd w:val="clear" w:color="auto" w:fill="C0C0C0"/>
          </w:tcPr>
          <w:p>
            <w:pPr>
              <w:spacing w:after="0"/>
              <w:rPr>
                <w:sz w:val="7"/>
                <w:szCs w:val="7"/>
                <w:color w:val="auto"/>
              </w:rPr>
            </w:pPr>
          </w:p>
        </w:tc>
        <w:tc>
          <w:tcPr>
            <w:tcW w:w="660" w:type="dxa"/>
            <w:vAlign w:val="bottom"/>
            <w:tcBorders>
              <w:top w:val="single" w:sz="8" w:color="C0C0C0"/>
            </w:tcBorders>
            <w:shd w:val="clear" w:color="auto" w:fill="C0C0C0"/>
          </w:tcPr>
          <w:p>
            <w:pPr>
              <w:spacing w:after="0"/>
              <w:rPr>
                <w:sz w:val="7"/>
                <w:szCs w:val="7"/>
                <w:color w:val="auto"/>
              </w:rPr>
            </w:pPr>
          </w:p>
        </w:tc>
        <w:tc>
          <w:tcPr>
            <w:tcW w:w="340" w:type="dxa"/>
            <w:vAlign w:val="bottom"/>
            <w:tcBorders>
              <w:top w:val="single" w:sz="8" w:color="auto"/>
            </w:tcBorders>
            <w:shd w:val="clear" w:color="auto" w:fill="C0C0C0"/>
          </w:tcPr>
          <w:p>
            <w:pPr>
              <w:spacing w:after="0"/>
              <w:rPr>
                <w:sz w:val="7"/>
                <w:szCs w:val="7"/>
                <w:color w:val="auto"/>
              </w:rPr>
            </w:pPr>
          </w:p>
        </w:tc>
        <w:tc>
          <w:tcPr>
            <w:tcW w:w="660" w:type="dxa"/>
            <w:vAlign w:val="bottom"/>
            <w:tcBorders>
              <w:top w:val="single" w:sz="8" w:color="C0C0C0"/>
            </w:tcBorders>
            <w:shd w:val="clear" w:color="auto" w:fill="C0C0C0"/>
          </w:tcPr>
          <w:p>
            <w:pPr>
              <w:spacing w:after="0"/>
              <w:rPr>
                <w:sz w:val="7"/>
                <w:szCs w:val="7"/>
                <w:color w:val="auto"/>
              </w:rPr>
            </w:pPr>
          </w:p>
        </w:tc>
        <w:tc>
          <w:tcPr>
            <w:tcW w:w="560" w:type="dxa"/>
            <w:vAlign w:val="bottom"/>
            <w:tcBorders>
              <w:top w:val="single" w:sz="8" w:color="auto"/>
            </w:tcBorders>
            <w:shd w:val="clear" w:color="auto" w:fill="C0C0C0"/>
          </w:tcPr>
          <w:p>
            <w:pPr>
              <w:spacing w:after="0"/>
              <w:rPr>
                <w:sz w:val="7"/>
                <w:szCs w:val="7"/>
                <w:color w:val="auto"/>
              </w:rPr>
            </w:pPr>
          </w:p>
        </w:tc>
        <w:tc>
          <w:tcPr>
            <w:tcW w:w="660" w:type="dxa"/>
            <w:vAlign w:val="bottom"/>
            <w:tcBorders>
              <w:top w:val="single" w:sz="8" w:color="C0C0C0"/>
            </w:tcBorders>
            <w:shd w:val="clear" w:color="auto" w:fill="C0C0C0"/>
          </w:tcPr>
          <w:p>
            <w:pPr>
              <w:spacing w:after="0"/>
              <w:rPr>
                <w:sz w:val="7"/>
                <w:szCs w:val="7"/>
                <w:color w:val="auto"/>
              </w:rPr>
            </w:pPr>
          </w:p>
        </w:tc>
        <w:tc>
          <w:tcPr>
            <w:tcW w:w="340" w:type="dxa"/>
            <w:vAlign w:val="bottom"/>
            <w:tcBorders>
              <w:top w:val="single" w:sz="8" w:color="auto"/>
            </w:tcBorders>
            <w:shd w:val="clear" w:color="auto" w:fill="C0C0C0"/>
          </w:tcPr>
          <w:p>
            <w:pPr>
              <w:spacing w:after="0"/>
              <w:rPr>
                <w:sz w:val="7"/>
                <w:szCs w:val="7"/>
                <w:color w:val="auto"/>
              </w:rPr>
            </w:pPr>
          </w:p>
        </w:tc>
        <w:tc>
          <w:tcPr>
            <w:tcW w:w="400" w:type="dxa"/>
            <w:vAlign w:val="bottom"/>
            <w:tcBorders>
              <w:top w:val="single" w:sz="8" w:color="C0C0C0"/>
            </w:tcBorders>
            <w:shd w:val="clear" w:color="auto" w:fill="C0C0C0"/>
          </w:tcPr>
          <w:p>
            <w:pPr>
              <w:spacing w:after="0"/>
              <w:rPr>
                <w:sz w:val="7"/>
                <w:szCs w:val="7"/>
                <w:color w:val="auto"/>
              </w:rPr>
            </w:pPr>
          </w:p>
        </w:tc>
      </w:tr>
      <w:tr>
        <w:trPr>
          <w:trHeight w:val="273"/>
        </w:trPr>
        <w:tc>
          <w:tcPr>
            <w:tcW w:w="2780" w:type="dxa"/>
            <w:vAlign w:val="bottom"/>
          </w:tcPr>
          <w:p>
            <w:pPr>
              <w:spacing w:after="0"/>
              <w:rPr>
                <w:sz w:val="20"/>
                <w:szCs w:val="20"/>
                <w:color w:val="auto"/>
              </w:rPr>
            </w:pPr>
            <w:r>
              <w:rPr>
                <w:rFonts w:ascii="Arial" w:cs="Arial" w:eastAsia="Arial" w:hAnsi="Arial"/>
                <w:sz w:val="17"/>
                <w:szCs w:val="17"/>
                <w:color w:val="auto"/>
              </w:rPr>
              <w:t>Net sales</w:t>
            </w: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$670.9</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660" w:type="dxa"/>
            <w:vAlign w:val="bottom"/>
            <w:gridSpan w:val="3"/>
          </w:tcPr>
          <w:p>
            <w:pPr>
              <w:jc w:val="right"/>
              <w:ind w:right="600"/>
              <w:spacing w:after="0"/>
              <w:rPr>
                <w:sz w:val="20"/>
                <w:szCs w:val="20"/>
                <w:color w:val="auto"/>
              </w:rPr>
            </w:pPr>
            <w:r>
              <w:rPr>
                <w:rFonts w:ascii="Arial" w:cs="Arial" w:eastAsia="Arial" w:hAnsi="Arial"/>
                <w:sz w:val="17"/>
                <w:szCs w:val="17"/>
                <w:color w:val="auto"/>
              </w:rPr>
              <w:t>$662.5</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1400" w:type="dxa"/>
            <w:vAlign w:val="bottom"/>
            <w:gridSpan w:val="3"/>
          </w:tcPr>
          <w:p>
            <w:pPr>
              <w:jc w:val="right"/>
              <w:ind w:right="340"/>
              <w:spacing w:after="0"/>
              <w:rPr>
                <w:sz w:val="20"/>
                <w:szCs w:val="20"/>
                <w:color w:val="auto"/>
              </w:rPr>
            </w:pPr>
            <w:r>
              <w:rPr>
                <w:rFonts w:ascii="Arial" w:cs="Arial" w:eastAsia="Arial" w:hAnsi="Arial"/>
                <w:sz w:val="17"/>
                <w:szCs w:val="17"/>
                <w:color w:val="auto"/>
              </w:rPr>
              <w:t>$631.6</w:t>
            </w:r>
          </w:p>
        </w:tc>
      </w:tr>
    </w:tbl>
    <w:p>
      <w:pPr>
        <w:spacing w:after="0" w:line="230" w:lineRule="exact"/>
        <w:rPr>
          <w:sz w:val="20"/>
          <w:szCs w:val="20"/>
          <w:color w:val="auto"/>
        </w:rPr>
      </w:pPr>
    </w:p>
    <w:p>
      <w:pPr>
        <w:ind w:firstLine="210"/>
        <w:spacing w:after="0" w:line="263" w:lineRule="auto"/>
        <w:rPr>
          <w:sz w:val="20"/>
          <w:szCs w:val="20"/>
          <w:color w:val="auto"/>
        </w:rPr>
      </w:pPr>
      <w:r>
        <w:rPr>
          <w:rFonts w:ascii="Arial" w:cs="Arial" w:eastAsia="Arial" w:hAnsi="Arial"/>
          <w:sz w:val="17"/>
          <w:szCs w:val="17"/>
          <w:color w:val="auto"/>
        </w:rPr>
        <w:t>Worldwide net sales in 2000 increased 1.3% from the previous year to $670.9 million. The stronger U.S. dollar had an unfavorable effect of approximately 2 percentage points of sales growth. Sales in the Specialty Minerals segment, which includes the PCC and Processed Minerals product lines, grew 1.4% to $486.3 million compared with $479.4 million for the same period in 1999. Sales in the Refractories segment grew approximately 1% over the previous year to $184.6 million. In 1999, worldwide net sales increased 4.9% over the prior year to $662.5 million. Specialty Minerals segment sales increased 7.9% and Refractories segment sales decreased 2.2% in 1999.</w:t>
      </w:r>
    </w:p>
    <w:p>
      <w:pPr>
        <w:spacing w:after="0" w:line="147" w:lineRule="exact"/>
        <w:rPr>
          <w:sz w:val="20"/>
          <w:szCs w:val="20"/>
          <w:color w:val="auto"/>
        </w:rPr>
      </w:pPr>
    </w:p>
    <w:p>
      <w:pPr>
        <w:ind w:firstLine="210"/>
        <w:spacing w:after="0" w:line="280" w:lineRule="auto"/>
        <w:rPr>
          <w:sz w:val="20"/>
          <w:szCs w:val="20"/>
          <w:color w:val="auto"/>
        </w:rPr>
      </w:pPr>
      <w:r>
        <w:rPr>
          <w:rFonts w:ascii="Arial" w:cs="Arial" w:eastAsia="Arial" w:hAnsi="Arial"/>
          <w:sz w:val="16"/>
          <w:szCs w:val="16"/>
          <w:color w:val="auto"/>
        </w:rPr>
        <w:t>Worldwide net sales of PCC in 2000 increased 1.9% to $399.2 million from $391.9 million in the prior year. Foreign exchange had an unfavorable impact on PCC sales of approximately $7.9 million or 2 percentage points of growth. The increase in PCC sales was primarily attributable to the commencement of operation at two new satellite PCC plants, the ramp-up of two satellite plants that began operations in 1999, and to volume increases and expansions at several long-standing PCC plants. This growth was partially offset by a 10% decline in sales of Specialty PCC, which is used for non-paper applications, and by weakness in the paper industry in the second half of 2000. PCC sales in 1999 increased 10.2% to $391.9 million from $355.5 million in 1998. This growth was primarily attributable to the start-up of operations at two of the Company's largest satellite plants in 1999. In addition, a full year of operations at several satellite PCC plants that began operations in 1998 and volume increases from the Company's long-standing satellite PCC plants also contributed to the sales growth.</w:t>
      </w:r>
    </w:p>
    <w:p>
      <w:pPr>
        <w:spacing w:after="0" w:line="134" w:lineRule="exact"/>
        <w:rPr>
          <w:sz w:val="20"/>
          <w:szCs w:val="20"/>
          <w:color w:val="auto"/>
        </w:rPr>
      </w:pPr>
    </w:p>
    <w:p>
      <w:pPr>
        <w:ind w:right="360" w:firstLine="213"/>
        <w:spacing w:after="0" w:line="293" w:lineRule="auto"/>
        <w:rPr>
          <w:sz w:val="20"/>
          <w:szCs w:val="20"/>
          <w:color w:val="auto"/>
        </w:rPr>
      </w:pPr>
      <w:r>
        <w:rPr>
          <w:rFonts w:ascii="Arial" w:cs="Arial" w:eastAsia="Arial" w:hAnsi="Arial"/>
          <w:sz w:val="16"/>
          <w:szCs w:val="16"/>
          <w:color w:val="auto"/>
        </w:rPr>
        <w:t>Net sales of Processed Minerals products in 2000 decreased slightly to $87.1 million from $87.5 million in 1999. This decline was attributable primarily to a slowdown in the construction-related industries. Net sales of Processed Minerals from ongoing operations in 1999 increased slightly. In April 1998, the Company divested its Midwest limestone business in Port Inland, Michigan. References to ongoing operations exclude the results from this facility.</w:t>
      </w:r>
    </w:p>
    <w:p>
      <w:pPr>
        <w:spacing w:after="0" w:line="125" w:lineRule="exact"/>
        <w:rPr>
          <w:sz w:val="20"/>
          <w:szCs w:val="20"/>
          <w:color w:val="auto"/>
        </w:rPr>
      </w:pPr>
    </w:p>
    <w:p>
      <w:pPr>
        <w:ind w:right="100" w:firstLine="213"/>
        <w:spacing w:after="0" w:line="265" w:lineRule="auto"/>
        <w:rPr>
          <w:sz w:val="20"/>
          <w:szCs w:val="20"/>
          <w:color w:val="auto"/>
        </w:rPr>
      </w:pPr>
      <w:r>
        <w:rPr>
          <w:rFonts w:ascii="Arial" w:cs="Arial" w:eastAsia="Arial" w:hAnsi="Arial"/>
          <w:sz w:val="17"/>
          <w:szCs w:val="17"/>
          <w:color w:val="auto"/>
        </w:rPr>
        <w:t>Net sales in the Refractories segment in 2000 increased approximately 1% to $184.6 million from $183.1 million in the prior year. Foreign exchange had an unfavorable impact on Refractories sales of approximately $4.1 million or 2 percentage points of growth. Unfavorable economic conditions in the worldwide steel industry in the second half of 2000 reduced the 9% sales growth experienced by this product line in the first six months of 2000. In 1999, net sales in the Refractories segment decreased 2.2% from the prior year.</w:t>
      </w:r>
    </w:p>
    <w:p>
      <w:pPr>
        <w:spacing w:after="0" w:line="145" w:lineRule="exact"/>
        <w:rPr>
          <w:sz w:val="20"/>
          <w:szCs w:val="20"/>
          <w:color w:val="auto"/>
        </w:rPr>
      </w:pPr>
    </w:p>
    <w:p>
      <w:pPr>
        <w:ind w:firstLine="213"/>
        <w:spacing w:after="0" w:line="265" w:lineRule="auto"/>
        <w:rPr>
          <w:sz w:val="20"/>
          <w:szCs w:val="20"/>
          <w:color w:val="auto"/>
        </w:rPr>
      </w:pPr>
      <w:r>
        <w:rPr>
          <w:rFonts w:ascii="Arial" w:cs="Arial" w:eastAsia="Arial" w:hAnsi="Arial"/>
          <w:sz w:val="17"/>
          <w:szCs w:val="17"/>
          <w:color w:val="auto"/>
        </w:rPr>
        <w:t>Net sales in the United States decreased less than 1%. This decrease was attributable to the aforementioned weakness in the steel, paper and construction industries. Foreign sales in 2000 increased 4.7% as a result of the continued international expansion of the Company's PCC product line. In 1999, domestic net sales from ongoing operations were 4.2% higher than in the prior year as a result of increased sales in the Specialty Minerals segment. Foreign sales were approximately 7.1% greater than in the prior year, primarily due to growth in the PCC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238760</wp:posOffset>
            </wp:positionV>
            <wp:extent cx="5895340" cy="415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95340" cy="415925"/>
                    </a:xfrm>
                    <a:prstGeom prst="rect">
                      <a:avLst/>
                    </a:prstGeom>
                    <a:noFill/>
                  </pic:spPr>
                </pic:pic>
              </a:graphicData>
            </a:graphic>
          </wp:anchor>
        </w:drawing>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Operating Costs and Expenses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3600" w:type="dxa"/>
            <w:vAlign w:val="bottom"/>
          </w:tcPr>
          <w:p>
            <w:pPr>
              <w:spacing w:after="0"/>
              <w:rPr>
                <w:sz w:val="20"/>
                <w:szCs w:val="20"/>
                <w:color w:val="auto"/>
              </w:rPr>
            </w:pPr>
            <w:r>
              <w:rPr>
                <w:rFonts w:ascii="Arial" w:cs="Arial" w:eastAsia="Arial" w:hAnsi="Arial"/>
                <w:sz w:val="17"/>
                <w:szCs w:val="17"/>
                <w:b w:val="1"/>
                <w:bCs w:val="1"/>
                <w:color w:val="auto"/>
              </w:rPr>
              <w:t>Dollars in Millions</w:t>
            </w:r>
          </w:p>
        </w:tc>
        <w:tc>
          <w:tcPr>
            <w:tcW w:w="680" w:type="dxa"/>
            <w:vAlign w:val="bottom"/>
            <w:shd w:val="clear" w:color="auto" w:fill="C0C0C0"/>
          </w:tcPr>
          <w:p>
            <w:pPr>
              <w:spacing w:after="0"/>
              <w:rPr>
                <w:sz w:val="19"/>
                <w:szCs w:val="19"/>
                <w:color w:val="auto"/>
              </w:rPr>
            </w:pPr>
          </w:p>
        </w:tc>
        <w:tc>
          <w:tcPr>
            <w:tcW w:w="960" w:type="dxa"/>
            <w:vAlign w:val="bottom"/>
            <w:gridSpan w:val="3"/>
            <w:shd w:val="clear" w:color="auto" w:fill="C0C0C0"/>
          </w:tcPr>
          <w:p>
            <w:pPr>
              <w:jc w:val="right"/>
              <w:ind w:right="560"/>
              <w:spacing w:after="0"/>
              <w:rPr>
                <w:sz w:val="20"/>
                <w:szCs w:val="20"/>
                <w:color w:val="auto"/>
              </w:rPr>
            </w:pPr>
            <w:r>
              <w:rPr>
                <w:rFonts w:ascii="Arial" w:cs="Arial" w:eastAsia="Arial" w:hAnsi="Arial"/>
                <w:sz w:val="17"/>
                <w:szCs w:val="17"/>
                <w:b w:val="1"/>
                <w:bCs w:val="1"/>
                <w:color w:val="auto"/>
              </w:rPr>
              <w:t>2000</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90"/>
              </w:rPr>
              <w:t>Growth</w:t>
            </w:r>
          </w:p>
        </w:tc>
        <w:tc>
          <w:tcPr>
            <w:tcW w:w="780" w:type="dxa"/>
            <w:vAlign w:val="bottom"/>
            <w:shd w:val="clear" w:color="auto" w:fill="C0C0C0"/>
          </w:tcPr>
          <w:p>
            <w:pPr>
              <w:spacing w:after="0"/>
              <w:rPr>
                <w:sz w:val="19"/>
                <w:szCs w:val="19"/>
                <w:color w:val="auto"/>
              </w:rPr>
            </w:pPr>
          </w:p>
        </w:tc>
        <w:tc>
          <w:tcPr>
            <w:tcW w:w="62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b w:val="1"/>
                <w:bCs w:val="1"/>
                <w:color w:val="auto"/>
                <w:w w:val="84"/>
              </w:rPr>
              <w:t>1999</w:t>
            </w:r>
          </w:p>
        </w:tc>
        <w:tc>
          <w:tcPr>
            <w:tcW w:w="1180" w:type="dxa"/>
            <w:vAlign w:val="bottom"/>
            <w:gridSpan w:val="3"/>
            <w:shd w:val="clear" w:color="auto" w:fill="C0C0C0"/>
          </w:tcPr>
          <w:p>
            <w:pPr>
              <w:jc w:val="right"/>
              <w:ind w:right="320"/>
              <w:spacing w:after="0"/>
              <w:rPr>
                <w:sz w:val="20"/>
                <w:szCs w:val="20"/>
                <w:color w:val="auto"/>
              </w:rPr>
            </w:pPr>
            <w:r>
              <w:rPr>
                <w:rFonts w:ascii="Arial" w:cs="Arial" w:eastAsia="Arial" w:hAnsi="Arial"/>
                <w:sz w:val="17"/>
                <w:szCs w:val="17"/>
                <w:b w:val="1"/>
                <w:bCs w:val="1"/>
                <w:color w:val="auto"/>
              </w:rPr>
              <w:t>Growth</w:t>
            </w:r>
          </w:p>
        </w:tc>
        <w:tc>
          <w:tcPr>
            <w:tcW w:w="460" w:type="dxa"/>
            <w:vAlign w:val="bottom"/>
            <w:shd w:val="clear" w:color="auto" w:fill="C0C0C0"/>
          </w:tcPr>
          <w:p>
            <w:pPr>
              <w:spacing w:after="0"/>
              <w:rPr>
                <w:sz w:val="19"/>
                <w:szCs w:val="19"/>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84"/>
              </w:rPr>
              <w:t>1998</w:t>
            </w:r>
          </w:p>
        </w:tc>
        <w:tc>
          <w:tcPr>
            <w:tcW w:w="40" w:type="dxa"/>
            <w:vAlign w:val="bottom"/>
            <w:shd w:val="clear" w:color="auto" w:fill="C0C0C0"/>
          </w:tcPr>
          <w:p>
            <w:pPr>
              <w:spacing w:after="0"/>
              <w:rPr>
                <w:sz w:val="19"/>
                <w:szCs w:val="19"/>
                <w:color w:val="auto"/>
              </w:rPr>
            </w:pPr>
          </w:p>
        </w:tc>
      </w:tr>
      <w:tr>
        <w:trPr>
          <w:trHeight w:val="72"/>
        </w:trPr>
        <w:tc>
          <w:tcPr>
            <w:tcW w:w="3600" w:type="dxa"/>
            <w:vAlign w:val="bottom"/>
          </w:tcPr>
          <w:p>
            <w:pPr>
              <w:spacing w:after="0"/>
              <w:rPr>
                <w:sz w:val="6"/>
                <w:szCs w:val="6"/>
                <w:color w:val="auto"/>
              </w:rPr>
            </w:pPr>
          </w:p>
        </w:tc>
        <w:tc>
          <w:tcPr>
            <w:tcW w:w="680" w:type="dxa"/>
            <w:vAlign w:val="bottom"/>
            <w:tcBorders>
              <w:top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560" w:type="dxa"/>
            <w:vAlign w:val="bottom"/>
            <w:tcBorders>
              <w:top w:val="single" w:sz="8" w:color="C0C0C0"/>
            </w:tcBorders>
            <w:shd w:val="clear" w:color="auto" w:fill="C0C0C0"/>
          </w:tcPr>
          <w:p>
            <w:pPr>
              <w:spacing w:after="0"/>
              <w:rPr>
                <w:sz w:val="6"/>
                <w:szCs w:val="6"/>
                <w:color w:val="auto"/>
              </w:rPr>
            </w:pPr>
          </w:p>
        </w:tc>
        <w:tc>
          <w:tcPr>
            <w:tcW w:w="560" w:type="dxa"/>
            <w:vAlign w:val="bottom"/>
            <w:tcBorders>
              <w:top w:val="single" w:sz="8" w:color="auto"/>
            </w:tcBorders>
            <w:shd w:val="clear" w:color="auto" w:fill="C0C0C0"/>
          </w:tcPr>
          <w:p>
            <w:pPr>
              <w:spacing w:after="0"/>
              <w:rPr>
                <w:sz w:val="6"/>
                <w:szCs w:val="6"/>
                <w:color w:val="auto"/>
              </w:rPr>
            </w:pPr>
          </w:p>
        </w:tc>
        <w:tc>
          <w:tcPr>
            <w:tcW w:w="78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280" w:type="dxa"/>
            <w:vAlign w:val="bottom"/>
            <w:tcBorders>
              <w:top w:val="single" w:sz="8" w:color="C0C0C0"/>
            </w:tcBorders>
            <w:shd w:val="clear" w:color="auto" w:fill="C0C0C0"/>
          </w:tcPr>
          <w:p>
            <w:pPr>
              <w:spacing w:after="0"/>
              <w:rPr>
                <w:sz w:val="6"/>
                <w:szCs w:val="6"/>
                <w:color w:val="auto"/>
              </w:rPr>
            </w:pPr>
          </w:p>
        </w:tc>
        <w:tc>
          <w:tcPr>
            <w:tcW w:w="280" w:type="dxa"/>
            <w:vAlign w:val="bottom"/>
            <w:tcBorders>
              <w:top w:val="single" w:sz="8" w:color="C0C0C0"/>
            </w:tcBorders>
            <w:shd w:val="clear" w:color="auto" w:fill="C0C0C0"/>
          </w:tcPr>
          <w:p>
            <w:pPr>
              <w:spacing w:after="0"/>
              <w:rPr>
                <w:sz w:val="6"/>
                <w:szCs w:val="6"/>
                <w:color w:val="auto"/>
              </w:rPr>
            </w:pPr>
          </w:p>
        </w:tc>
        <w:tc>
          <w:tcPr>
            <w:tcW w:w="580" w:type="dxa"/>
            <w:vAlign w:val="bottom"/>
            <w:tcBorders>
              <w:top w:val="single" w:sz="8" w:color="auto"/>
            </w:tcBorders>
            <w:shd w:val="clear" w:color="auto" w:fill="C0C0C0"/>
          </w:tcPr>
          <w:p>
            <w:pPr>
              <w:spacing w:after="0"/>
              <w:rPr>
                <w:sz w:val="6"/>
                <w:szCs w:val="6"/>
                <w:color w:val="auto"/>
              </w:rPr>
            </w:pPr>
          </w:p>
        </w:tc>
        <w:tc>
          <w:tcPr>
            <w:tcW w:w="320" w:type="dxa"/>
            <w:vAlign w:val="bottom"/>
            <w:tcBorders>
              <w:top w:val="single" w:sz="8" w:color="C0C0C0"/>
            </w:tcBorders>
            <w:shd w:val="clear" w:color="auto" w:fill="C0C0C0"/>
          </w:tcPr>
          <w:p>
            <w:pPr>
              <w:spacing w:after="0"/>
              <w:rPr>
                <w:sz w:val="6"/>
                <w:szCs w:val="6"/>
                <w:color w:val="auto"/>
              </w:rPr>
            </w:pPr>
          </w:p>
        </w:tc>
        <w:tc>
          <w:tcPr>
            <w:tcW w:w="46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r>
      <w:tr>
        <w:trPr>
          <w:trHeight w:val="600"/>
        </w:trPr>
        <w:tc>
          <w:tcPr>
            <w:tcW w:w="3600" w:type="dxa"/>
            <w:vAlign w:val="bottom"/>
          </w:tcPr>
          <w:p>
            <w:pPr>
              <w:spacing w:after="0"/>
              <w:rPr>
                <w:sz w:val="20"/>
                <w:szCs w:val="20"/>
                <w:color w:val="auto"/>
              </w:rPr>
            </w:pPr>
            <w:r>
              <w:rPr>
                <w:rFonts w:ascii="Arial" w:cs="Arial" w:eastAsia="Arial" w:hAnsi="Arial"/>
                <w:sz w:val="17"/>
                <w:szCs w:val="17"/>
                <w:color w:val="auto"/>
              </w:rPr>
              <w:t>Cost of goods sold</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560"/>
              <w:spacing w:after="0"/>
              <w:rPr>
                <w:sz w:val="20"/>
                <w:szCs w:val="20"/>
                <w:color w:val="auto"/>
              </w:rPr>
            </w:pPr>
            <w:r>
              <w:rPr>
                <w:rFonts w:ascii="Arial" w:cs="Arial" w:eastAsia="Arial" w:hAnsi="Arial"/>
                <w:sz w:val="17"/>
                <w:szCs w:val="17"/>
                <w:color w:val="auto"/>
                <w:w w:val="89"/>
              </w:rPr>
              <w:t>477.5</w:t>
            </w:r>
          </w:p>
        </w:tc>
        <w:tc>
          <w:tcPr>
            <w:tcW w:w="560" w:type="dxa"/>
            <w:vAlign w:val="bottom"/>
          </w:tcPr>
          <w:p>
            <w:pPr>
              <w:jc w:val="right"/>
              <w:spacing w:after="0"/>
              <w:rPr>
                <w:sz w:val="20"/>
                <w:szCs w:val="20"/>
                <w:color w:val="auto"/>
              </w:rPr>
            </w:pPr>
            <w:r>
              <w:rPr>
                <w:rFonts w:ascii="Arial" w:cs="Arial" w:eastAsia="Arial" w:hAnsi="Arial"/>
                <w:sz w:val="17"/>
                <w:szCs w:val="17"/>
                <w:color w:val="auto"/>
              </w:rPr>
              <w:t>2.3%</w:t>
            </w:r>
          </w:p>
        </w:tc>
        <w:tc>
          <w:tcPr>
            <w:tcW w:w="1400" w:type="dxa"/>
            <w:vAlign w:val="bottom"/>
            <w:gridSpan w:val="3"/>
          </w:tcPr>
          <w:p>
            <w:pPr>
              <w:jc w:val="right"/>
              <w:ind w:right="280"/>
              <w:spacing w:after="0"/>
              <w:rPr>
                <w:sz w:val="20"/>
                <w:szCs w:val="20"/>
                <w:color w:val="auto"/>
              </w:rPr>
            </w:pPr>
            <w:r>
              <w:rPr>
                <w:rFonts w:ascii="Arial" w:cs="Arial" w:eastAsia="Arial" w:hAnsi="Arial"/>
                <w:sz w:val="17"/>
                <w:szCs w:val="17"/>
                <w:color w:val="auto"/>
              </w:rPr>
              <w:t>$466.7</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5.4%</w:t>
            </w:r>
          </w:p>
        </w:tc>
        <w:tc>
          <w:tcPr>
            <w:tcW w:w="3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$442.6</w:t>
            </w:r>
          </w:p>
        </w:tc>
        <w:tc>
          <w:tcPr>
            <w:tcW w:w="40" w:type="dxa"/>
            <w:vAlign w:val="bottom"/>
          </w:tcPr>
          <w:p>
            <w:pPr>
              <w:spacing w:after="0"/>
              <w:rPr>
                <w:sz w:val="24"/>
                <w:szCs w:val="24"/>
                <w:color w:val="auto"/>
              </w:rPr>
            </w:pPr>
          </w:p>
        </w:tc>
      </w:tr>
      <w:tr>
        <w:trPr>
          <w:trHeight w:val="314"/>
        </w:trPr>
        <w:tc>
          <w:tcPr>
            <w:tcW w:w="3600" w:type="dxa"/>
            <w:vAlign w:val="bottom"/>
          </w:tcPr>
          <w:p>
            <w:pPr>
              <w:spacing w:after="0"/>
              <w:rPr>
                <w:sz w:val="20"/>
                <w:szCs w:val="20"/>
                <w:color w:val="auto"/>
              </w:rPr>
            </w:pPr>
            <w:r>
              <w:rPr>
                <w:rFonts w:ascii="Arial" w:cs="Arial" w:eastAsia="Arial" w:hAnsi="Arial"/>
                <w:sz w:val="17"/>
                <w:szCs w:val="17"/>
                <w:color w:val="auto"/>
              </w:rPr>
              <w:t>Marketing and administrative</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560"/>
              <w:spacing w:after="0"/>
              <w:rPr>
                <w:sz w:val="20"/>
                <w:szCs w:val="20"/>
                <w:color w:val="auto"/>
              </w:rPr>
            </w:pPr>
            <w:r>
              <w:rPr>
                <w:rFonts w:ascii="Arial" w:cs="Arial" w:eastAsia="Arial" w:hAnsi="Arial"/>
                <w:sz w:val="17"/>
                <w:szCs w:val="17"/>
                <w:color w:val="auto"/>
              </w:rPr>
              <w:t>71.4</w:t>
            </w:r>
          </w:p>
        </w:tc>
        <w:tc>
          <w:tcPr>
            <w:tcW w:w="560" w:type="dxa"/>
            <w:vAlign w:val="bottom"/>
          </w:tcPr>
          <w:p>
            <w:pPr>
              <w:jc w:val="center"/>
              <w:ind w:left="15"/>
              <w:spacing w:after="0"/>
              <w:rPr>
                <w:sz w:val="20"/>
                <w:szCs w:val="20"/>
                <w:color w:val="auto"/>
              </w:rPr>
            </w:pPr>
            <w:r>
              <w:rPr>
                <w:rFonts w:ascii="Arial" w:cs="Arial" w:eastAsia="Arial" w:hAnsi="Arial"/>
                <w:sz w:val="17"/>
                <w:szCs w:val="17"/>
                <w:color w:val="auto"/>
                <w:w w:val="91"/>
              </w:rPr>
              <w:t>(1.1%)</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72.2</w:t>
            </w:r>
          </w:p>
        </w:tc>
        <w:tc>
          <w:tcPr>
            <w:tcW w:w="1180" w:type="dxa"/>
            <w:vAlign w:val="bottom"/>
            <w:gridSpan w:val="3"/>
          </w:tcPr>
          <w:p>
            <w:pPr>
              <w:jc w:val="right"/>
              <w:ind w:right="320"/>
              <w:spacing w:after="0"/>
              <w:rPr>
                <w:sz w:val="20"/>
                <w:szCs w:val="20"/>
                <w:color w:val="auto"/>
              </w:rPr>
            </w:pPr>
            <w:r>
              <w:rPr>
                <w:rFonts w:ascii="Arial" w:cs="Arial" w:eastAsia="Arial" w:hAnsi="Arial"/>
                <w:sz w:val="17"/>
                <w:szCs w:val="17"/>
                <w:color w:val="auto"/>
              </w:rPr>
              <w:t>(3.9%)</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6"/>
              </w:rPr>
              <w:t>75.1</w:t>
            </w:r>
          </w:p>
        </w:tc>
        <w:tc>
          <w:tcPr>
            <w:tcW w:w="40" w:type="dxa"/>
            <w:vAlign w:val="bottom"/>
          </w:tcPr>
          <w:p>
            <w:pPr>
              <w:spacing w:after="0"/>
              <w:rPr>
                <w:sz w:val="24"/>
                <w:szCs w:val="24"/>
                <w:color w:val="auto"/>
              </w:rPr>
            </w:pPr>
          </w:p>
        </w:tc>
      </w:tr>
      <w:tr>
        <w:trPr>
          <w:trHeight w:val="314"/>
        </w:trPr>
        <w:tc>
          <w:tcPr>
            <w:tcW w:w="36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560"/>
              <w:spacing w:after="0"/>
              <w:rPr>
                <w:sz w:val="20"/>
                <w:szCs w:val="20"/>
                <w:color w:val="auto"/>
              </w:rPr>
            </w:pPr>
            <w:r>
              <w:rPr>
                <w:rFonts w:ascii="Arial" w:cs="Arial" w:eastAsia="Arial" w:hAnsi="Arial"/>
                <w:sz w:val="17"/>
                <w:szCs w:val="17"/>
                <w:color w:val="auto"/>
              </w:rPr>
              <w:t>26.3</w:t>
            </w:r>
          </w:p>
        </w:tc>
        <w:tc>
          <w:tcPr>
            <w:tcW w:w="560" w:type="dxa"/>
            <w:vAlign w:val="bottom"/>
          </w:tcPr>
          <w:p>
            <w:pPr>
              <w:jc w:val="center"/>
              <w:ind w:left="35"/>
              <w:spacing w:after="0"/>
              <w:rPr>
                <w:sz w:val="20"/>
                <w:szCs w:val="20"/>
                <w:color w:val="auto"/>
              </w:rPr>
            </w:pPr>
            <w:r>
              <w:rPr>
                <w:rFonts w:ascii="Arial" w:cs="Arial" w:eastAsia="Arial" w:hAnsi="Arial"/>
                <w:sz w:val="17"/>
                <w:szCs w:val="17"/>
                <w:color w:val="auto"/>
                <w:w w:val="92"/>
              </w:rPr>
              <w:t>6.0%</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24.8</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18.1%</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6"/>
              </w:rPr>
              <w:t>21.0</w:t>
            </w:r>
          </w:p>
        </w:tc>
        <w:tc>
          <w:tcPr>
            <w:tcW w:w="40" w:type="dxa"/>
            <w:vAlign w:val="bottom"/>
          </w:tcPr>
          <w:p>
            <w:pPr>
              <w:spacing w:after="0"/>
              <w:rPr>
                <w:sz w:val="24"/>
                <w:szCs w:val="24"/>
                <w:color w:val="auto"/>
              </w:rPr>
            </w:pPr>
          </w:p>
        </w:tc>
      </w:tr>
      <w:tr>
        <w:trPr>
          <w:trHeight w:val="314"/>
        </w:trPr>
        <w:tc>
          <w:tcPr>
            <w:tcW w:w="3600" w:type="dxa"/>
            <w:vAlign w:val="bottom"/>
          </w:tcPr>
          <w:p>
            <w:pPr>
              <w:spacing w:after="0"/>
              <w:rPr>
                <w:sz w:val="20"/>
                <w:szCs w:val="20"/>
                <w:color w:val="auto"/>
              </w:rPr>
            </w:pPr>
            <w:r>
              <w:rPr>
                <w:rFonts w:ascii="Arial" w:cs="Arial" w:eastAsia="Arial" w:hAnsi="Arial"/>
                <w:sz w:val="17"/>
                <w:szCs w:val="17"/>
                <w:color w:val="auto"/>
              </w:rPr>
              <w:t>Bad debt expenses</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560"/>
              <w:spacing w:after="0"/>
              <w:rPr>
                <w:sz w:val="20"/>
                <w:szCs w:val="20"/>
                <w:color w:val="auto"/>
              </w:rPr>
            </w:pPr>
            <w:r>
              <w:rPr>
                <w:rFonts w:ascii="Arial" w:cs="Arial" w:eastAsia="Arial" w:hAnsi="Arial"/>
                <w:sz w:val="17"/>
                <w:szCs w:val="17"/>
                <w:color w:val="auto"/>
              </w:rPr>
              <w:t>6.0</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rPr>
              <w:t>1.2</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24"/>
                <w:szCs w:val="24"/>
                <w:color w:val="auto"/>
              </w:rPr>
            </w:pPr>
          </w:p>
        </w:tc>
      </w:tr>
      <w:tr>
        <w:trPr>
          <w:trHeight w:val="314"/>
        </w:trPr>
        <w:tc>
          <w:tcPr>
            <w:tcW w:w="3600" w:type="dxa"/>
            <w:vAlign w:val="bottom"/>
          </w:tcPr>
          <w:p>
            <w:pPr>
              <w:spacing w:after="0"/>
              <w:rPr>
                <w:sz w:val="20"/>
                <w:szCs w:val="20"/>
                <w:color w:val="auto"/>
              </w:rPr>
            </w:pPr>
            <w:r>
              <w:rPr>
                <w:rFonts w:ascii="Arial" w:cs="Arial" w:eastAsia="Arial" w:hAnsi="Arial"/>
                <w:sz w:val="17"/>
                <w:szCs w:val="17"/>
                <w:color w:val="auto"/>
              </w:rPr>
              <w:t>Write-down of impaired assets</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560"/>
              <w:spacing w:after="0"/>
              <w:rPr>
                <w:sz w:val="20"/>
                <w:szCs w:val="20"/>
                <w:color w:val="auto"/>
              </w:rPr>
            </w:pPr>
            <w:r>
              <w:rPr>
                <w:rFonts w:ascii="Arial" w:cs="Arial" w:eastAsia="Arial" w:hAnsi="Arial"/>
                <w:sz w:val="17"/>
                <w:szCs w:val="17"/>
                <w:color w:val="auto"/>
              </w:rPr>
              <w:t>4.9</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 Percentage not meaningful</w:t>
      </w:r>
    </w:p>
    <w:p>
      <w:pPr>
        <w:sectPr>
          <w:pgSz w:w="11900" w:h="16838" w:orient="portrait"/>
          <w:cols w:equalWidth="0" w:num="1">
            <w:col w:w="11380"/>
          </w:cols>
          <w:pgMar w:left="240" w:top="131" w:right="279" w:bottom="214" w:gutter="0" w:footer="0" w:header="0"/>
        </w:sectPr>
      </w:pPr>
    </w:p>
    <w:bookmarkStart w:id="14" w:name="page15"/>
    <w:bookmarkEnd w:id="14"/>
    <w:p>
      <w:pPr>
        <w:ind w:firstLine="213"/>
        <w:spacing w:after="0" w:line="265" w:lineRule="auto"/>
        <w:rPr>
          <w:sz w:val="20"/>
          <w:szCs w:val="20"/>
          <w:color w:val="auto"/>
        </w:rPr>
      </w:pPr>
      <w:r>
        <w:rPr>
          <w:rFonts w:ascii="Arial" w:cs="Arial" w:eastAsia="Arial" w:hAnsi="Arial"/>
          <w:sz w:val="17"/>
          <w:szCs w:val="17"/>
          <w:color w:val="auto"/>
        </w:rPr>
        <w:t>Cost of goods sold was 71.2% of sales compared with 70.5% in the prior year. This increase was primarily attributable to the softening of market conditions in the steel, paper and construction industries in the second half of 2000. In addition, the Company was adversely impacted by higher energy costs, the unfavorable impact of foreign exchange, and costs associated with the delayed ramp-up of the Company's new merchant manufacturing plant in Mississippi. Cost of goods sold in 1999 was 0.4 percentage points higher than in the prior year.</w:t>
      </w:r>
    </w:p>
    <w:p>
      <w:pPr>
        <w:spacing w:after="0" w:line="145" w:lineRule="exact"/>
        <w:rPr>
          <w:sz w:val="20"/>
          <w:szCs w:val="20"/>
          <w:color w:val="auto"/>
        </w:rPr>
      </w:pPr>
    </w:p>
    <w:p>
      <w:pPr>
        <w:ind w:right="200" w:firstLine="213"/>
        <w:spacing w:after="0" w:line="282" w:lineRule="auto"/>
        <w:rPr>
          <w:sz w:val="20"/>
          <w:szCs w:val="20"/>
          <w:color w:val="auto"/>
        </w:rPr>
      </w:pPr>
      <w:r>
        <w:rPr>
          <w:rFonts w:ascii="Arial" w:cs="Arial" w:eastAsia="Arial" w:hAnsi="Arial"/>
          <w:sz w:val="17"/>
          <w:szCs w:val="17"/>
          <w:color w:val="auto"/>
        </w:rPr>
        <w:t>Marketing and administrative costs decreased 1.1% to $71.4 million and were 10.7% of net sales. In 1999, marketing and administrative costs decreased 3.9% to $72.2 million and were 10.9% of net sales.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20" w:firstLine="213"/>
        <w:spacing w:after="0" w:line="314" w:lineRule="auto"/>
        <w:rPr>
          <w:sz w:val="20"/>
          <w:szCs w:val="20"/>
          <w:color w:val="auto"/>
        </w:rPr>
      </w:pPr>
      <w:r>
        <w:rPr>
          <w:rFonts w:ascii="Arial" w:cs="Arial" w:eastAsia="Arial" w:hAnsi="Arial"/>
          <w:sz w:val="16"/>
          <w:szCs w:val="16"/>
          <w:color w:val="auto"/>
        </w:rPr>
        <w:t>Research and development expenses during 2000 increased 6.0% to $26.3 million and represented 3.9% of net sales. A planned increase to develop SYNSIL™ products, a family of synthetic silicate products for the glass industry, was the primary reason for the expense growth in 2000 and 1999.</w:t>
      </w:r>
    </w:p>
    <w:p>
      <w:pPr>
        <w:spacing w:after="0" w:line="108" w:lineRule="exact"/>
        <w:rPr>
          <w:sz w:val="20"/>
          <w:szCs w:val="20"/>
          <w:color w:val="auto"/>
        </w:rPr>
      </w:pPr>
    </w:p>
    <w:p>
      <w:pPr>
        <w:ind w:right="320" w:firstLine="210"/>
        <w:spacing w:after="0" w:line="282" w:lineRule="auto"/>
        <w:rPr>
          <w:sz w:val="20"/>
          <w:szCs w:val="20"/>
          <w:color w:val="auto"/>
        </w:rPr>
      </w:pPr>
      <w:r>
        <w:rPr>
          <w:rFonts w:ascii="Arial" w:cs="Arial" w:eastAsia="Arial" w:hAnsi="Arial"/>
          <w:sz w:val="17"/>
          <w:szCs w:val="17"/>
          <w:color w:val="auto"/>
        </w:rPr>
        <w:t>The Company recognized additional bad debt expenses of $5.6 million in the fourth quarter of 2000. This charge was primarily related to bankruptcy filings by several of the Company's major customers serving the steel, paper and construction industries.</w:t>
      </w:r>
    </w:p>
    <w:p>
      <w:pPr>
        <w:spacing w:after="0" w:line="130" w:lineRule="exact"/>
        <w:rPr>
          <w:sz w:val="20"/>
          <w:szCs w:val="20"/>
          <w:color w:val="auto"/>
        </w:rPr>
      </w:pPr>
    </w:p>
    <w:p>
      <w:pPr>
        <w:ind w:right="20" w:firstLine="213"/>
        <w:spacing w:after="0" w:line="282" w:lineRule="auto"/>
        <w:rPr>
          <w:sz w:val="20"/>
          <w:szCs w:val="20"/>
          <w:color w:val="auto"/>
        </w:rPr>
      </w:pPr>
      <w:r>
        <w:rPr>
          <w:rFonts w:ascii="Arial" w:cs="Arial" w:eastAsia="Arial" w:hAnsi="Arial"/>
          <w:sz w:val="17"/>
          <w:szCs w:val="17"/>
          <w:color w:val="auto"/>
        </w:rPr>
        <w:t>During the fourth quarter of 2000, the Company recorded a write-down of impaired assets of $4.9 million for three satellite precipitated calcium carbonate plants at paper mills that have ceased or will cease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5588000" cy="415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8000" cy="415925"/>
                    </a:xfrm>
                    <a:prstGeom prst="rect">
                      <a:avLst/>
                    </a:prstGeom>
                    <a:noFill/>
                  </pic:spPr>
                </pic:pic>
              </a:graphicData>
            </a:graphic>
          </wp:anchor>
        </w:drawing>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Income from Operations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3120" w:type="dxa"/>
            <w:vAlign w:val="bottom"/>
          </w:tcPr>
          <w:p>
            <w:pPr>
              <w:spacing w:after="0"/>
              <w:rPr>
                <w:sz w:val="20"/>
                <w:szCs w:val="20"/>
                <w:color w:val="auto"/>
              </w:rPr>
            </w:pPr>
            <w:r>
              <w:rPr>
                <w:rFonts w:ascii="Arial" w:cs="Arial" w:eastAsia="Arial" w:hAnsi="Arial"/>
                <w:sz w:val="17"/>
                <w:szCs w:val="17"/>
                <w:b w:val="1"/>
                <w:bCs w:val="1"/>
                <w:color w:val="auto"/>
              </w:rPr>
              <w:t>Dollars in Millions</w:t>
            </w:r>
          </w:p>
        </w:tc>
        <w:tc>
          <w:tcPr>
            <w:tcW w:w="1660" w:type="dxa"/>
            <w:vAlign w:val="bottom"/>
            <w:gridSpan w:val="3"/>
            <w:shd w:val="clear" w:color="auto" w:fill="C0C0C0"/>
          </w:tcPr>
          <w:p>
            <w:pPr>
              <w:jc w:val="right"/>
              <w:ind w:right="560"/>
              <w:spacing w:after="0"/>
              <w:rPr>
                <w:sz w:val="20"/>
                <w:szCs w:val="20"/>
                <w:color w:val="auto"/>
              </w:rPr>
            </w:pPr>
            <w:r>
              <w:rPr>
                <w:rFonts w:ascii="Arial" w:cs="Arial" w:eastAsia="Arial" w:hAnsi="Arial"/>
                <w:sz w:val="17"/>
                <w:szCs w:val="17"/>
                <w:b w:val="1"/>
                <w:bCs w:val="1"/>
                <w:color w:val="auto"/>
              </w:rPr>
              <w:t>2000</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94"/>
              </w:rPr>
              <w:t>Growth</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56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94"/>
              </w:rPr>
              <w:t>Growth</w:t>
            </w:r>
          </w:p>
        </w:tc>
        <w:tc>
          <w:tcPr>
            <w:tcW w:w="110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b w:val="1"/>
                <w:bCs w:val="1"/>
                <w:color w:val="auto"/>
              </w:rPr>
              <w:t>1998</w:t>
            </w:r>
          </w:p>
        </w:tc>
      </w:tr>
      <w:tr>
        <w:trPr>
          <w:trHeight w:val="72"/>
        </w:trPr>
        <w:tc>
          <w:tcPr>
            <w:tcW w:w="3120" w:type="dxa"/>
            <w:vAlign w:val="bottom"/>
          </w:tcPr>
          <w:p>
            <w:pPr>
              <w:spacing w:after="0"/>
              <w:rPr>
                <w:sz w:val="6"/>
                <w:szCs w:val="6"/>
                <w:color w:val="auto"/>
              </w:rPr>
            </w:pPr>
          </w:p>
        </w:tc>
        <w:tc>
          <w:tcPr>
            <w:tcW w:w="76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560" w:type="dxa"/>
            <w:vAlign w:val="bottom"/>
            <w:tcBorders>
              <w:top w:val="single" w:sz="8" w:color="C0C0C0"/>
            </w:tcBorders>
            <w:shd w:val="clear" w:color="auto" w:fill="C0C0C0"/>
          </w:tcPr>
          <w:p>
            <w:pPr>
              <w:spacing w:after="0"/>
              <w:rPr>
                <w:sz w:val="6"/>
                <w:szCs w:val="6"/>
                <w:color w:val="auto"/>
              </w:rPr>
            </w:pPr>
          </w:p>
        </w:tc>
        <w:tc>
          <w:tcPr>
            <w:tcW w:w="580" w:type="dxa"/>
            <w:vAlign w:val="bottom"/>
            <w:tcBorders>
              <w:top w:val="single" w:sz="8" w:color="auto"/>
            </w:tcBorders>
            <w:shd w:val="clear" w:color="auto" w:fill="C0C0C0"/>
          </w:tcPr>
          <w:p>
            <w:pPr>
              <w:spacing w:after="0"/>
              <w:rPr>
                <w:sz w:val="6"/>
                <w:szCs w:val="6"/>
                <w:color w:val="auto"/>
              </w:rPr>
            </w:pPr>
          </w:p>
        </w:tc>
        <w:tc>
          <w:tcPr>
            <w:tcW w:w="80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560" w:type="dxa"/>
            <w:vAlign w:val="bottom"/>
            <w:tcBorders>
              <w:top w:val="single" w:sz="8" w:color="C0C0C0"/>
            </w:tcBorders>
            <w:shd w:val="clear" w:color="auto" w:fill="C0C0C0"/>
          </w:tcPr>
          <w:p>
            <w:pPr>
              <w:spacing w:after="0"/>
              <w:rPr>
                <w:sz w:val="6"/>
                <w:szCs w:val="6"/>
                <w:color w:val="auto"/>
              </w:rPr>
            </w:pPr>
          </w:p>
        </w:tc>
        <w:tc>
          <w:tcPr>
            <w:tcW w:w="580" w:type="dxa"/>
            <w:vAlign w:val="bottom"/>
            <w:tcBorders>
              <w:top w:val="single" w:sz="8" w:color="auto"/>
            </w:tcBorders>
            <w:shd w:val="clear" w:color="auto" w:fill="C0C0C0"/>
          </w:tcPr>
          <w:p>
            <w:pPr>
              <w:spacing w:after="0"/>
              <w:rPr>
                <w:sz w:val="6"/>
                <w:szCs w:val="6"/>
                <w:color w:val="auto"/>
              </w:rPr>
            </w:pPr>
          </w:p>
        </w:tc>
        <w:tc>
          <w:tcPr>
            <w:tcW w:w="72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r>
      <w:tr>
        <w:trPr>
          <w:trHeight w:val="260"/>
        </w:trPr>
        <w:tc>
          <w:tcPr>
            <w:tcW w:w="312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660" w:type="dxa"/>
            <w:vAlign w:val="bottom"/>
            <w:gridSpan w:val="3"/>
          </w:tcPr>
          <w:p>
            <w:pPr>
              <w:jc w:val="right"/>
              <w:ind w:right="560"/>
              <w:spacing w:after="0"/>
              <w:rPr>
                <w:sz w:val="20"/>
                <w:szCs w:val="20"/>
                <w:color w:val="auto"/>
              </w:rPr>
            </w:pPr>
            <w:r>
              <w:rPr>
                <w:rFonts w:ascii="Arial" w:cs="Arial" w:eastAsia="Arial" w:hAnsi="Arial"/>
                <w:sz w:val="17"/>
                <w:szCs w:val="17"/>
                <w:color w:val="auto"/>
              </w:rPr>
              <w:t>$84.8</w:t>
            </w:r>
          </w:p>
        </w:tc>
        <w:tc>
          <w:tcPr>
            <w:tcW w:w="580" w:type="dxa"/>
            <w:vAlign w:val="bottom"/>
          </w:tcPr>
          <w:p>
            <w:pPr>
              <w:jc w:val="right"/>
              <w:spacing w:after="0"/>
              <w:rPr>
                <w:sz w:val="20"/>
                <w:szCs w:val="20"/>
                <w:color w:val="auto"/>
              </w:rPr>
            </w:pPr>
            <w:r>
              <w:rPr>
                <w:rFonts w:ascii="Arial" w:cs="Arial" w:eastAsia="Arial" w:hAnsi="Arial"/>
                <w:sz w:val="17"/>
                <w:szCs w:val="17"/>
                <w:color w:val="auto"/>
                <w:w w:val="94"/>
              </w:rPr>
              <w:t>(13.0%)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$97.5</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$92.4</w:t>
            </w:r>
          </w:p>
        </w:tc>
      </w:tr>
    </w:tbl>
    <w:p>
      <w:pPr>
        <w:spacing w:after="0" w:line="200" w:lineRule="exact"/>
        <w:rPr>
          <w:sz w:val="20"/>
          <w:szCs w:val="20"/>
          <w:color w:val="auto"/>
        </w:rPr>
      </w:pPr>
    </w:p>
    <w:p>
      <w:pPr>
        <w:spacing w:after="0" w:line="396" w:lineRule="exact"/>
        <w:rPr>
          <w:sz w:val="20"/>
          <w:szCs w:val="20"/>
          <w:color w:val="auto"/>
        </w:rPr>
      </w:pPr>
    </w:p>
    <w:p>
      <w:pPr>
        <w:ind w:right="20" w:firstLine="213"/>
        <w:spacing w:after="0" w:line="265" w:lineRule="auto"/>
        <w:rPr>
          <w:sz w:val="20"/>
          <w:szCs w:val="20"/>
          <w:color w:val="auto"/>
        </w:rPr>
      </w:pPr>
      <w:r>
        <w:rPr>
          <w:rFonts w:ascii="Arial" w:cs="Arial" w:eastAsia="Arial" w:hAnsi="Arial"/>
          <w:sz w:val="17"/>
          <w:szCs w:val="17"/>
          <w:color w:val="auto"/>
        </w:rPr>
        <w:t>Income from operations in 2000 decreased 13.0% to $84.8 million from $97.5 million in 1999. This decrease was due primarily to weakness in the three major industries the Company serves and to the aforementioned additional bad debt expenses and write-down of impaired assets. In 1999, income from operations rose 5.5% to $97.5 million from $92.4 million in 1998. This increase was due primarily to slightly improved profitability in the PCC product line within the Specialty Minerals segment, and to improved profitability in the Refractories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5588000" cy="415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8000" cy="415925"/>
                    </a:xfrm>
                    <a:prstGeom prst="rect">
                      <a:avLst/>
                    </a:prstGeom>
                    <a:noFill/>
                  </pic:spPr>
                </pic:pic>
              </a:graphicData>
            </a:graphic>
          </wp:anchor>
        </w:drawing>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Non-Operating Deductions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3120" w:type="dxa"/>
            <w:vAlign w:val="bottom"/>
          </w:tcPr>
          <w:p>
            <w:pPr>
              <w:spacing w:after="0"/>
              <w:rPr>
                <w:sz w:val="20"/>
                <w:szCs w:val="20"/>
                <w:color w:val="auto"/>
              </w:rPr>
            </w:pPr>
            <w:r>
              <w:rPr>
                <w:rFonts w:ascii="Arial" w:cs="Arial" w:eastAsia="Arial" w:hAnsi="Arial"/>
                <w:sz w:val="17"/>
                <w:szCs w:val="17"/>
                <w:b w:val="1"/>
                <w:bCs w:val="1"/>
                <w:color w:val="auto"/>
              </w:rPr>
              <w:t>Dollars in Millions</w:t>
            </w:r>
          </w:p>
        </w:tc>
        <w:tc>
          <w:tcPr>
            <w:tcW w:w="1660" w:type="dxa"/>
            <w:vAlign w:val="bottom"/>
            <w:gridSpan w:val="3"/>
            <w:shd w:val="clear" w:color="auto" w:fill="C0C0C0"/>
          </w:tcPr>
          <w:p>
            <w:pPr>
              <w:jc w:val="right"/>
              <w:ind w:right="560"/>
              <w:spacing w:after="0"/>
              <w:rPr>
                <w:sz w:val="20"/>
                <w:szCs w:val="20"/>
                <w:color w:val="auto"/>
              </w:rPr>
            </w:pPr>
            <w:r>
              <w:rPr>
                <w:rFonts w:ascii="Arial" w:cs="Arial" w:eastAsia="Arial" w:hAnsi="Arial"/>
                <w:sz w:val="17"/>
                <w:szCs w:val="17"/>
                <w:b w:val="1"/>
                <w:bCs w:val="1"/>
                <w:color w:val="auto"/>
              </w:rPr>
              <w:t>2000</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94"/>
              </w:rPr>
              <w:t>Growth</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560" w:type="dxa"/>
            <w:vAlign w:val="bottom"/>
            <w:shd w:val="clear" w:color="auto" w:fill="C0C0C0"/>
          </w:tcPr>
          <w:p>
            <w:pPr>
              <w:spacing w:after="0"/>
              <w:rPr>
                <w:sz w:val="19"/>
                <w:szCs w:val="19"/>
                <w:color w:val="auto"/>
              </w:rPr>
            </w:pPr>
          </w:p>
        </w:tc>
        <w:tc>
          <w:tcPr>
            <w:tcW w:w="900" w:type="dxa"/>
            <w:vAlign w:val="bottom"/>
            <w:gridSpan w:val="2"/>
            <w:shd w:val="clear" w:color="auto" w:fill="C0C0C0"/>
          </w:tcPr>
          <w:p>
            <w:pPr>
              <w:jc w:val="right"/>
              <w:ind w:right="320"/>
              <w:spacing w:after="0"/>
              <w:rPr>
                <w:sz w:val="20"/>
                <w:szCs w:val="20"/>
                <w:color w:val="auto"/>
              </w:rPr>
            </w:pPr>
            <w:r>
              <w:rPr>
                <w:rFonts w:ascii="Arial" w:cs="Arial" w:eastAsia="Arial" w:hAnsi="Arial"/>
                <w:sz w:val="17"/>
                <w:szCs w:val="17"/>
                <w:b w:val="1"/>
                <w:bCs w:val="1"/>
                <w:color w:val="auto"/>
                <w:w w:val="94"/>
              </w:rPr>
              <w:t>Growth</w:t>
            </w:r>
          </w:p>
        </w:tc>
        <w:tc>
          <w:tcPr>
            <w:tcW w:w="78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b w:val="1"/>
                <w:bCs w:val="1"/>
                <w:color w:val="auto"/>
              </w:rPr>
              <w:t>1998</w:t>
            </w:r>
          </w:p>
        </w:tc>
      </w:tr>
      <w:tr>
        <w:trPr>
          <w:trHeight w:val="72"/>
        </w:trPr>
        <w:tc>
          <w:tcPr>
            <w:tcW w:w="3120" w:type="dxa"/>
            <w:vAlign w:val="bottom"/>
          </w:tcPr>
          <w:p>
            <w:pPr>
              <w:spacing w:after="0"/>
              <w:rPr>
                <w:sz w:val="6"/>
                <w:szCs w:val="6"/>
                <w:color w:val="auto"/>
              </w:rPr>
            </w:pPr>
          </w:p>
        </w:tc>
        <w:tc>
          <w:tcPr>
            <w:tcW w:w="76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560" w:type="dxa"/>
            <w:vAlign w:val="bottom"/>
            <w:tcBorders>
              <w:top w:val="single" w:sz="8" w:color="C0C0C0"/>
            </w:tcBorders>
            <w:shd w:val="clear" w:color="auto" w:fill="C0C0C0"/>
          </w:tcPr>
          <w:p>
            <w:pPr>
              <w:spacing w:after="0"/>
              <w:rPr>
                <w:sz w:val="6"/>
                <w:szCs w:val="6"/>
                <w:color w:val="auto"/>
              </w:rPr>
            </w:pPr>
          </w:p>
        </w:tc>
        <w:tc>
          <w:tcPr>
            <w:tcW w:w="580" w:type="dxa"/>
            <w:vAlign w:val="bottom"/>
            <w:tcBorders>
              <w:top w:val="single" w:sz="8" w:color="auto"/>
            </w:tcBorders>
            <w:shd w:val="clear" w:color="auto" w:fill="C0C0C0"/>
          </w:tcPr>
          <w:p>
            <w:pPr>
              <w:spacing w:after="0"/>
              <w:rPr>
                <w:sz w:val="6"/>
                <w:szCs w:val="6"/>
                <w:color w:val="auto"/>
              </w:rPr>
            </w:pPr>
          </w:p>
        </w:tc>
        <w:tc>
          <w:tcPr>
            <w:tcW w:w="80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560" w:type="dxa"/>
            <w:vAlign w:val="bottom"/>
            <w:tcBorders>
              <w:top w:val="single" w:sz="8" w:color="C0C0C0"/>
            </w:tcBorders>
            <w:shd w:val="clear" w:color="auto" w:fill="C0C0C0"/>
          </w:tcPr>
          <w:p>
            <w:pPr>
              <w:spacing w:after="0"/>
              <w:rPr>
                <w:sz w:val="6"/>
                <w:szCs w:val="6"/>
                <w:color w:val="auto"/>
              </w:rPr>
            </w:pPr>
          </w:p>
        </w:tc>
        <w:tc>
          <w:tcPr>
            <w:tcW w:w="580" w:type="dxa"/>
            <w:vAlign w:val="bottom"/>
            <w:tcBorders>
              <w:top w:val="single" w:sz="8" w:color="auto"/>
            </w:tcBorders>
            <w:shd w:val="clear" w:color="auto" w:fill="C0C0C0"/>
          </w:tcPr>
          <w:p>
            <w:pPr>
              <w:spacing w:after="0"/>
              <w:rPr>
                <w:sz w:val="6"/>
                <w:szCs w:val="6"/>
                <w:color w:val="auto"/>
              </w:rPr>
            </w:pPr>
          </w:p>
        </w:tc>
        <w:tc>
          <w:tcPr>
            <w:tcW w:w="320" w:type="dxa"/>
            <w:vAlign w:val="bottom"/>
            <w:tcBorders>
              <w:top w:val="single" w:sz="8" w:color="C0C0C0"/>
            </w:tcBorders>
            <w:shd w:val="clear" w:color="auto" w:fill="C0C0C0"/>
          </w:tcPr>
          <w:p>
            <w:pPr>
              <w:spacing w:after="0"/>
              <w:rPr>
                <w:sz w:val="6"/>
                <w:szCs w:val="6"/>
                <w:color w:val="auto"/>
              </w:rPr>
            </w:pPr>
          </w:p>
        </w:tc>
        <w:tc>
          <w:tcPr>
            <w:tcW w:w="40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r>
      <w:tr>
        <w:trPr>
          <w:trHeight w:val="260"/>
        </w:trPr>
        <w:tc>
          <w:tcPr>
            <w:tcW w:w="3120" w:type="dxa"/>
            <w:vAlign w:val="bottom"/>
          </w:tcPr>
          <w:p>
            <w:pPr>
              <w:spacing w:after="0"/>
              <w:rPr>
                <w:sz w:val="20"/>
                <w:szCs w:val="20"/>
                <w:color w:val="auto"/>
              </w:rPr>
            </w:pPr>
            <w:r>
              <w:rPr>
                <w:rFonts w:ascii="Arial" w:cs="Arial" w:eastAsia="Arial" w:hAnsi="Arial"/>
                <w:sz w:val="17"/>
                <w:szCs w:val="17"/>
                <w:color w:val="auto"/>
              </w:rPr>
              <w:t>Non-operating deductions, net</w:t>
            </w:r>
          </w:p>
        </w:tc>
        <w:tc>
          <w:tcPr>
            <w:tcW w:w="1660" w:type="dxa"/>
            <w:vAlign w:val="bottom"/>
            <w:gridSpan w:val="3"/>
          </w:tcPr>
          <w:p>
            <w:pPr>
              <w:jc w:val="right"/>
              <w:ind w:right="560"/>
              <w:spacing w:after="0"/>
              <w:rPr>
                <w:sz w:val="20"/>
                <w:szCs w:val="20"/>
                <w:color w:val="auto"/>
              </w:rPr>
            </w:pPr>
            <w:r>
              <w:rPr>
                <w:rFonts w:ascii="Arial" w:cs="Arial" w:eastAsia="Arial" w:hAnsi="Arial"/>
                <w:sz w:val="17"/>
                <w:szCs w:val="17"/>
                <w:color w:val="auto"/>
              </w:rPr>
              <w:t>$(5.0)</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1460" w:type="dxa"/>
            <w:vAlign w:val="bottom"/>
            <w:gridSpan w:val="3"/>
          </w:tcPr>
          <w:p>
            <w:pPr>
              <w:jc w:val="right"/>
              <w:ind w:right="320"/>
              <w:spacing w:after="0"/>
              <w:rPr>
                <w:sz w:val="20"/>
                <w:szCs w:val="20"/>
                <w:color w:val="auto"/>
              </w:rPr>
            </w:pPr>
            <w:r>
              <w:rPr>
                <w:rFonts w:ascii="Arial" w:cs="Arial" w:eastAsia="Arial" w:hAnsi="Arial"/>
                <w:sz w:val="17"/>
                <w:szCs w:val="17"/>
                <w:color w:val="auto"/>
              </w:rPr>
              <w:t>(18.0%)</w:t>
            </w:r>
          </w:p>
        </w:tc>
        <w:tc>
          <w:tcPr>
            <w:tcW w:w="780" w:type="dxa"/>
            <w:vAlign w:val="bottom"/>
            <w:gridSpan w:val="3"/>
          </w:tcPr>
          <w:p>
            <w:pPr>
              <w:jc w:val="right"/>
              <w:ind w:right="40"/>
              <w:spacing w:after="0"/>
              <w:rPr>
                <w:sz w:val="20"/>
                <w:szCs w:val="20"/>
                <w:color w:val="auto"/>
              </w:rPr>
            </w:pPr>
            <w:r>
              <w:rPr>
                <w:rFonts w:ascii="Arial" w:cs="Arial" w:eastAsia="Arial" w:hAnsi="Arial"/>
                <w:sz w:val="17"/>
                <w:szCs w:val="17"/>
                <w:color w:val="auto"/>
              </w:rPr>
              <w:t>$(6.1)</w:t>
            </w:r>
          </w:p>
        </w:tc>
      </w:tr>
    </w:tbl>
    <w:p>
      <w:pPr>
        <w:spacing w:after="0" w:line="200" w:lineRule="exact"/>
        <w:rPr>
          <w:sz w:val="20"/>
          <w:szCs w:val="20"/>
          <w:color w:val="auto"/>
        </w:rPr>
      </w:pPr>
    </w:p>
    <w:p>
      <w:pPr>
        <w:spacing w:after="0" w:line="396" w:lineRule="exact"/>
        <w:rPr>
          <w:sz w:val="20"/>
          <w:szCs w:val="20"/>
          <w:color w:val="auto"/>
        </w:rPr>
      </w:pPr>
    </w:p>
    <w:p>
      <w:pPr>
        <w:jc w:val="both"/>
        <w:ind w:right="180" w:firstLine="213"/>
        <w:spacing w:after="0" w:line="293" w:lineRule="auto"/>
        <w:rPr>
          <w:sz w:val="20"/>
          <w:szCs w:val="20"/>
          <w:color w:val="auto"/>
        </w:rPr>
      </w:pPr>
      <w:r>
        <w:rPr>
          <w:rFonts w:ascii="Arial" w:cs="Arial" w:eastAsia="Arial" w:hAnsi="Arial"/>
          <w:sz w:val="16"/>
          <w:szCs w:val="16"/>
          <w:color w:val="auto"/>
        </w:rPr>
        <w:t>Non-operating deductions were approximately the same as in the prior year. Gross interest expense was 18% higher than the prior year but was partially offset by interest capitalized on major construction projects. Non-operating deductions in 1999 decreased from the prior year due primarily to lower foreign exchange losses. Gross interest costs decreased 13.5% from 1998 to $6.1 million. However, interest income was also lower than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5770880" cy="415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70880" cy="415925"/>
                    </a:xfrm>
                    <a:prstGeom prst="rect">
                      <a:avLst/>
                    </a:prstGeom>
                    <a:noFill/>
                  </pic:spPr>
                </pic:pic>
              </a:graphicData>
            </a:graphic>
          </wp:anchor>
        </w:drawing>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Provision for Taxes on Income</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3260" w:type="dxa"/>
            <w:vAlign w:val="bottom"/>
          </w:tcPr>
          <w:p>
            <w:pPr>
              <w:spacing w:after="0"/>
              <w:rPr>
                <w:sz w:val="20"/>
                <w:szCs w:val="20"/>
                <w:color w:val="auto"/>
              </w:rPr>
            </w:pPr>
            <w:r>
              <w:rPr>
                <w:rFonts w:ascii="Arial" w:cs="Arial" w:eastAsia="Arial" w:hAnsi="Arial"/>
                <w:sz w:val="17"/>
                <w:szCs w:val="17"/>
                <w:b w:val="1"/>
                <w:bCs w:val="1"/>
                <w:color w:val="auto"/>
              </w:rPr>
              <w:t>Dollars in Millions</w:t>
            </w:r>
          </w:p>
        </w:tc>
        <w:tc>
          <w:tcPr>
            <w:tcW w:w="1380" w:type="dxa"/>
            <w:vAlign w:val="bottom"/>
            <w:gridSpan w:val="3"/>
            <w:shd w:val="clear" w:color="auto" w:fill="C0C0C0"/>
          </w:tcPr>
          <w:p>
            <w:pPr>
              <w:jc w:val="right"/>
              <w:ind w:right="300"/>
              <w:spacing w:after="0"/>
              <w:rPr>
                <w:sz w:val="20"/>
                <w:szCs w:val="20"/>
                <w:color w:val="auto"/>
              </w:rPr>
            </w:pPr>
            <w:r>
              <w:rPr>
                <w:rFonts w:ascii="Arial" w:cs="Arial" w:eastAsia="Arial" w:hAnsi="Arial"/>
                <w:sz w:val="17"/>
                <w:szCs w:val="17"/>
                <w:b w:val="1"/>
                <w:bCs w:val="1"/>
                <w:color w:val="auto"/>
              </w:rPr>
              <w:t>2000</w:t>
            </w:r>
          </w:p>
        </w:tc>
        <w:tc>
          <w:tcPr>
            <w:tcW w:w="1260" w:type="dxa"/>
            <w:vAlign w:val="bottom"/>
            <w:gridSpan w:val="3"/>
            <w:shd w:val="clear" w:color="auto" w:fill="C0C0C0"/>
          </w:tcPr>
          <w:p>
            <w:pPr>
              <w:jc w:val="right"/>
              <w:ind w:right="380"/>
              <w:spacing w:after="0"/>
              <w:rPr>
                <w:sz w:val="20"/>
                <w:szCs w:val="20"/>
                <w:color w:val="auto"/>
              </w:rPr>
            </w:pPr>
            <w:r>
              <w:rPr>
                <w:rFonts w:ascii="Arial" w:cs="Arial" w:eastAsia="Arial" w:hAnsi="Arial"/>
                <w:sz w:val="17"/>
                <w:szCs w:val="17"/>
                <w:b w:val="1"/>
                <w:bCs w:val="1"/>
                <w:color w:val="auto"/>
              </w:rPr>
              <w:t>Growth</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1560" w:type="dxa"/>
            <w:vAlign w:val="bottom"/>
            <w:gridSpan w:val="3"/>
            <w:shd w:val="clear" w:color="auto" w:fill="C0C0C0"/>
          </w:tcPr>
          <w:p>
            <w:pPr>
              <w:jc w:val="right"/>
              <w:ind w:right="400"/>
              <w:spacing w:after="0"/>
              <w:rPr>
                <w:sz w:val="20"/>
                <w:szCs w:val="20"/>
                <w:color w:val="auto"/>
              </w:rPr>
            </w:pPr>
            <w:r>
              <w:rPr>
                <w:rFonts w:ascii="Arial" w:cs="Arial" w:eastAsia="Arial" w:hAnsi="Arial"/>
                <w:sz w:val="17"/>
                <w:szCs w:val="17"/>
                <w:b w:val="1"/>
                <w:bCs w:val="1"/>
                <w:color w:val="auto"/>
              </w:rPr>
              <w:t>Growth</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1998</w:t>
            </w:r>
          </w:p>
        </w:tc>
        <w:tc>
          <w:tcPr>
            <w:tcW w:w="60" w:type="dxa"/>
            <w:vAlign w:val="bottom"/>
            <w:shd w:val="clear" w:color="auto" w:fill="C0C0C0"/>
          </w:tcPr>
          <w:p>
            <w:pPr>
              <w:spacing w:after="0"/>
              <w:rPr>
                <w:sz w:val="19"/>
                <w:szCs w:val="19"/>
                <w:color w:val="auto"/>
              </w:rPr>
            </w:pPr>
          </w:p>
        </w:tc>
      </w:tr>
      <w:tr>
        <w:trPr>
          <w:trHeight w:val="72"/>
        </w:trPr>
        <w:tc>
          <w:tcPr>
            <w:tcW w:w="3260" w:type="dxa"/>
            <w:vAlign w:val="bottom"/>
          </w:tcPr>
          <w:p>
            <w:pPr>
              <w:spacing w:after="0"/>
              <w:rPr>
                <w:sz w:val="6"/>
                <w:szCs w:val="6"/>
                <w:color w:val="auto"/>
              </w:rPr>
            </w:pPr>
          </w:p>
        </w:tc>
        <w:tc>
          <w:tcPr>
            <w:tcW w:w="74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300" w:type="dxa"/>
            <w:vAlign w:val="bottom"/>
            <w:tcBorders>
              <w:top w:val="single" w:sz="8" w:color="C0C0C0"/>
            </w:tcBorders>
            <w:shd w:val="clear" w:color="auto" w:fill="C0C0C0"/>
          </w:tcPr>
          <w:p>
            <w:pPr>
              <w:spacing w:after="0"/>
              <w:rPr>
                <w:sz w:val="6"/>
                <w:szCs w:val="6"/>
                <w:color w:val="auto"/>
              </w:rPr>
            </w:pPr>
          </w:p>
        </w:tc>
        <w:tc>
          <w:tcPr>
            <w:tcW w:w="300" w:type="dxa"/>
            <w:vAlign w:val="bottom"/>
            <w:tcBorders>
              <w:top w:val="single" w:sz="8" w:color="C0C0C0"/>
            </w:tcBorders>
            <w:shd w:val="clear" w:color="auto" w:fill="C0C0C0"/>
          </w:tcPr>
          <w:p>
            <w:pPr>
              <w:spacing w:after="0"/>
              <w:rPr>
                <w:sz w:val="6"/>
                <w:szCs w:val="6"/>
                <w:color w:val="auto"/>
              </w:rPr>
            </w:pPr>
          </w:p>
        </w:tc>
        <w:tc>
          <w:tcPr>
            <w:tcW w:w="560" w:type="dxa"/>
            <w:vAlign w:val="bottom"/>
            <w:tcBorders>
              <w:top w:val="single" w:sz="8" w:color="auto"/>
            </w:tcBorders>
            <w:shd w:val="clear" w:color="auto" w:fill="C0C0C0"/>
          </w:tcPr>
          <w:p>
            <w:pPr>
              <w:spacing w:after="0"/>
              <w:rPr>
                <w:sz w:val="6"/>
                <w:szCs w:val="6"/>
                <w:color w:val="auto"/>
              </w:rPr>
            </w:pPr>
          </w:p>
        </w:tc>
        <w:tc>
          <w:tcPr>
            <w:tcW w:w="400" w:type="dxa"/>
            <w:vAlign w:val="bottom"/>
            <w:tcBorders>
              <w:top w:val="single" w:sz="8" w:color="C0C0C0"/>
            </w:tcBorders>
            <w:shd w:val="clear" w:color="auto" w:fill="C0C0C0"/>
          </w:tcPr>
          <w:p>
            <w:pPr>
              <w:spacing w:after="0"/>
              <w:rPr>
                <w:sz w:val="6"/>
                <w:szCs w:val="6"/>
                <w:color w:val="auto"/>
              </w:rPr>
            </w:pPr>
          </w:p>
        </w:tc>
        <w:tc>
          <w:tcPr>
            <w:tcW w:w="42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600" w:type="dxa"/>
            <w:vAlign w:val="bottom"/>
            <w:tcBorders>
              <w:top w:val="single" w:sz="8" w:color="C0C0C0"/>
            </w:tcBorders>
            <w:shd w:val="clear" w:color="auto" w:fill="C0C0C0"/>
          </w:tcPr>
          <w:p>
            <w:pPr>
              <w:spacing w:after="0"/>
              <w:rPr>
                <w:sz w:val="6"/>
                <w:szCs w:val="6"/>
                <w:color w:val="auto"/>
              </w:rPr>
            </w:pPr>
          </w:p>
        </w:tc>
        <w:tc>
          <w:tcPr>
            <w:tcW w:w="560" w:type="dxa"/>
            <w:vAlign w:val="bottom"/>
            <w:tcBorders>
              <w:top w:val="single" w:sz="8" w:color="auto"/>
            </w:tcBorders>
            <w:shd w:val="clear" w:color="auto" w:fill="C0C0C0"/>
          </w:tcPr>
          <w:p>
            <w:pPr>
              <w:spacing w:after="0"/>
              <w:rPr>
                <w:sz w:val="6"/>
                <w:szCs w:val="6"/>
                <w:color w:val="auto"/>
              </w:rPr>
            </w:pPr>
          </w:p>
        </w:tc>
        <w:tc>
          <w:tcPr>
            <w:tcW w:w="400" w:type="dxa"/>
            <w:vAlign w:val="bottom"/>
            <w:tcBorders>
              <w:top w:val="single" w:sz="8" w:color="C0C0C0"/>
            </w:tcBorders>
            <w:shd w:val="clear" w:color="auto" w:fill="C0C0C0"/>
          </w:tcPr>
          <w:p>
            <w:pPr>
              <w:spacing w:after="0"/>
              <w:rPr>
                <w:sz w:val="6"/>
                <w:szCs w:val="6"/>
                <w:color w:val="auto"/>
              </w:rPr>
            </w:pPr>
          </w:p>
        </w:tc>
        <w:tc>
          <w:tcPr>
            <w:tcW w:w="42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r>
      <w:tr>
        <w:trPr>
          <w:trHeight w:val="260"/>
        </w:trPr>
        <w:tc>
          <w:tcPr>
            <w:tcW w:w="3260" w:type="dxa"/>
            <w:vAlign w:val="bottom"/>
          </w:tcPr>
          <w:p>
            <w:pPr>
              <w:spacing w:after="0"/>
              <w:rPr>
                <w:sz w:val="20"/>
                <w:szCs w:val="20"/>
                <w:color w:val="auto"/>
              </w:rPr>
            </w:pPr>
            <w:r>
              <w:rPr>
                <w:rFonts w:ascii="Arial" w:cs="Arial" w:eastAsia="Arial" w:hAnsi="Arial"/>
                <w:sz w:val="17"/>
                <w:szCs w:val="17"/>
                <w:color w:val="auto"/>
              </w:rPr>
              <w:t>Provision for taxes on income</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color w:val="auto"/>
              </w:rPr>
              <w:t>$23.7</w:t>
            </w:r>
          </w:p>
        </w:tc>
        <w:tc>
          <w:tcPr>
            <w:tcW w:w="1260" w:type="dxa"/>
            <w:vAlign w:val="bottom"/>
            <w:gridSpan w:val="3"/>
          </w:tcPr>
          <w:p>
            <w:pPr>
              <w:jc w:val="right"/>
              <w:ind w:right="380"/>
              <w:spacing w:after="0"/>
              <w:rPr>
                <w:sz w:val="20"/>
                <w:szCs w:val="20"/>
                <w:color w:val="auto"/>
              </w:rPr>
            </w:pPr>
            <w:r>
              <w:rPr>
                <w:rFonts w:ascii="Arial" w:cs="Arial" w:eastAsia="Arial" w:hAnsi="Arial"/>
                <w:sz w:val="17"/>
                <w:szCs w:val="17"/>
                <w:color w:val="auto"/>
              </w:rPr>
              <w:t>(18.0%)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$28.9</w:t>
            </w:r>
          </w:p>
        </w:tc>
        <w:tc>
          <w:tcPr>
            <w:tcW w:w="1560" w:type="dxa"/>
            <w:vAlign w:val="bottom"/>
            <w:gridSpan w:val="3"/>
          </w:tcPr>
          <w:p>
            <w:pPr>
              <w:jc w:val="right"/>
              <w:ind w:right="400"/>
              <w:spacing w:after="0"/>
              <w:rPr>
                <w:sz w:val="20"/>
                <w:szCs w:val="20"/>
                <w:color w:val="auto"/>
              </w:rPr>
            </w:pPr>
            <w:r>
              <w:rPr>
                <w:rFonts w:ascii="Arial" w:cs="Arial" w:eastAsia="Arial" w:hAnsi="Arial"/>
                <w:sz w:val="17"/>
                <w:szCs w:val="17"/>
                <w:color w:val="auto"/>
              </w:rPr>
              <w:t>5.5%</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$27.4</w:t>
            </w:r>
          </w:p>
        </w:tc>
        <w:tc>
          <w:tcPr>
            <w:tcW w:w="60" w:type="dxa"/>
            <w:vAlign w:val="bottom"/>
          </w:tcPr>
          <w:p>
            <w:pPr>
              <w:spacing w:after="0"/>
              <w:rPr>
                <w:sz w:val="22"/>
                <w:szCs w:val="22"/>
                <w:color w:val="auto"/>
              </w:rPr>
            </w:pPr>
          </w:p>
        </w:tc>
      </w:tr>
    </w:tbl>
    <w:p>
      <w:pPr>
        <w:spacing w:after="0" w:line="200" w:lineRule="exact"/>
        <w:rPr>
          <w:sz w:val="20"/>
          <w:szCs w:val="20"/>
          <w:color w:val="auto"/>
        </w:rPr>
      </w:pPr>
    </w:p>
    <w:p>
      <w:pPr>
        <w:spacing w:after="0" w:line="396" w:lineRule="exact"/>
        <w:rPr>
          <w:sz w:val="20"/>
          <w:szCs w:val="20"/>
          <w:color w:val="auto"/>
        </w:rPr>
      </w:pPr>
    </w:p>
    <w:p>
      <w:pPr>
        <w:ind w:right="160" w:firstLine="210"/>
        <w:spacing w:after="0" w:line="282" w:lineRule="auto"/>
        <w:rPr>
          <w:sz w:val="20"/>
          <w:szCs w:val="20"/>
          <w:color w:val="auto"/>
        </w:rPr>
      </w:pPr>
      <w:r>
        <w:rPr>
          <w:rFonts w:ascii="Arial" w:cs="Arial" w:eastAsia="Arial" w:hAnsi="Arial"/>
          <w:sz w:val="17"/>
          <w:szCs w:val="17"/>
          <w:color w:val="auto"/>
        </w:rPr>
        <w:t>The effective tax rate decreased to 29.8% in 2000 compared with 31.3% in 1999. This decrease was due to higher depletion deductions as a percentage of income before taxes and the mix of profit by country. The effective tax rate was 31.7%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5588000" cy="415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8000" cy="415925"/>
                    </a:xfrm>
                    <a:prstGeom prst="rect">
                      <a:avLst/>
                    </a:prstGeom>
                    <a:noFill/>
                  </pic:spPr>
                </pic:pic>
              </a:graphicData>
            </a:graphic>
          </wp:anchor>
        </w:drawing>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Minority Interests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3120" w:type="dxa"/>
            <w:vAlign w:val="bottom"/>
          </w:tcPr>
          <w:p>
            <w:pPr>
              <w:spacing w:after="0"/>
              <w:rPr>
                <w:sz w:val="20"/>
                <w:szCs w:val="20"/>
                <w:color w:val="auto"/>
              </w:rPr>
            </w:pPr>
            <w:r>
              <w:rPr>
                <w:rFonts w:ascii="Arial" w:cs="Arial" w:eastAsia="Arial" w:hAnsi="Arial"/>
                <w:sz w:val="17"/>
                <w:szCs w:val="17"/>
                <w:b w:val="1"/>
                <w:bCs w:val="1"/>
                <w:color w:val="auto"/>
              </w:rPr>
              <w:t>Dollars in Millions</w:t>
            </w:r>
          </w:p>
        </w:tc>
        <w:tc>
          <w:tcPr>
            <w:tcW w:w="1660" w:type="dxa"/>
            <w:vAlign w:val="bottom"/>
            <w:gridSpan w:val="3"/>
            <w:shd w:val="clear" w:color="auto" w:fill="C0C0C0"/>
          </w:tcPr>
          <w:p>
            <w:pPr>
              <w:jc w:val="right"/>
              <w:ind w:right="560"/>
              <w:spacing w:after="0"/>
              <w:rPr>
                <w:sz w:val="20"/>
                <w:szCs w:val="20"/>
                <w:color w:val="auto"/>
              </w:rPr>
            </w:pPr>
            <w:r>
              <w:rPr>
                <w:rFonts w:ascii="Arial" w:cs="Arial" w:eastAsia="Arial" w:hAnsi="Arial"/>
                <w:sz w:val="17"/>
                <w:szCs w:val="17"/>
                <w:b w:val="1"/>
                <w:bCs w:val="1"/>
                <w:color w:val="auto"/>
              </w:rPr>
              <w:t>2000</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94"/>
              </w:rPr>
              <w:t>Growth</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56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360"/>
              <w:spacing w:after="0"/>
              <w:rPr>
                <w:sz w:val="20"/>
                <w:szCs w:val="20"/>
                <w:color w:val="auto"/>
              </w:rPr>
            </w:pPr>
            <w:r>
              <w:rPr>
                <w:rFonts w:ascii="Arial" w:cs="Arial" w:eastAsia="Arial" w:hAnsi="Arial"/>
                <w:sz w:val="17"/>
                <w:szCs w:val="17"/>
                <w:b w:val="1"/>
                <w:bCs w:val="1"/>
                <w:color w:val="auto"/>
                <w:w w:val="94"/>
              </w:rPr>
              <w:t>Growth</w:t>
            </w:r>
          </w:p>
        </w:tc>
        <w:tc>
          <w:tcPr>
            <w:tcW w:w="74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b w:val="1"/>
                <w:bCs w:val="1"/>
                <w:color w:val="auto"/>
              </w:rPr>
              <w:t>1998</w:t>
            </w:r>
          </w:p>
        </w:tc>
      </w:tr>
      <w:tr>
        <w:trPr>
          <w:trHeight w:val="72"/>
        </w:trPr>
        <w:tc>
          <w:tcPr>
            <w:tcW w:w="3120" w:type="dxa"/>
            <w:vAlign w:val="bottom"/>
          </w:tcPr>
          <w:p>
            <w:pPr>
              <w:spacing w:after="0"/>
              <w:rPr>
                <w:sz w:val="6"/>
                <w:szCs w:val="6"/>
                <w:color w:val="auto"/>
              </w:rPr>
            </w:pPr>
          </w:p>
        </w:tc>
        <w:tc>
          <w:tcPr>
            <w:tcW w:w="76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560" w:type="dxa"/>
            <w:vAlign w:val="bottom"/>
            <w:tcBorders>
              <w:top w:val="single" w:sz="8" w:color="C0C0C0"/>
            </w:tcBorders>
            <w:shd w:val="clear" w:color="auto" w:fill="C0C0C0"/>
          </w:tcPr>
          <w:p>
            <w:pPr>
              <w:spacing w:after="0"/>
              <w:rPr>
                <w:sz w:val="6"/>
                <w:szCs w:val="6"/>
                <w:color w:val="auto"/>
              </w:rPr>
            </w:pPr>
          </w:p>
        </w:tc>
        <w:tc>
          <w:tcPr>
            <w:tcW w:w="580" w:type="dxa"/>
            <w:vAlign w:val="bottom"/>
            <w:tcBorders>
              <w:top w:val="single" w:sz="8" w:color="auto"/>
            </w:tcBorders>
            <w:shd w:val="clear" w:color="auto" w:fill="C0C0C0"/>
          </w:tcPr>
          <w:p>
            <w:pPr>
              <w:spacing w:after="0"/>
              <w:rPr>
                <w:sz w:val="6"/>
                <w:szCs w:val="6"/>
                <w:color w:val="auto"/>
              </w:rPr>
            </w:pPr>
          </w:p>
        </w:tc>
        <w:tc>
          <w:tcPr>
            <w:tcW w:w="80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560" w:type="dxa"/>
            <w:vAlign w:val="bottom"/>
            <w:tcBorders>
              <w:top w:val="single" w:sz="8" w:color="C0C0C0"/>
            </w:tcBorders>
            <w:shd w:val="clear" w:color="auto" w:fill="C0C0C0"/>
          </w:tcPr>
          <w:p>
            <w:pPr>
              <w:spacing w:after="0"/>
              <w:rPr>
                <w:sz w:val="6"/>
                <w:szCs w:val="6"/>
                <w:color w:val="auto"/>
              </w:rPr>
            </w:pPr>
          </w:p>
        </w:tc>
        <w:tc>
          <w:tcPr>
            <w:tcW w:w="580" w:type="dxa"/>
            <w:vAlign w:val="bottom"/>
            <w:tcBorders>
              <w:top w:val="single" w:sz="8" w:color="auto"/>
            </w:tcBorders>
            <w:shd w:val="clear" w:color="auto" w:fill="C0C0C0"/>
          </w:tcPr>
          <w:p>
            <w:pPr>
              <w:spacing w:after="0"/>
              <w:rPr>
                <w:sz w:val="6"/>
                <w:szCs w:val="6"/>
                <w:color w:val="auto"/>
              </w:rPr>
            </w:pPr>
          </w:p>
        </w:tc>
        <w:tc>
          <w:tcPr>
            <w:tcW w:w="360" w:type="dxa"/>
            <w:vAlign w:val="bottom"/>
            <w:tcBorders>
              <w:top w:val="single" w:sz="8" w:color="C0C0C0"/>
            </w:tcBorders>
            <w:shd w:val="clear" w:color="auto" w:fill="C0C0C0"/>
          </w:tcPr>
          <w:p>
            <w:pPr>
              <w:spacing w:after="0"/>
              <w:rPr>
                <w:sz w:val="6"/>
                <w:szCs w:val="6"/>
                <w:color w:val="auto"/>
              </w:rPr>
            </w:pPr>
          </w:p>
        </w:tc>
        <w:tc>
          <w:tcPr>
            <w:tcW w:w="36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r>
      <w:tr>
        <w:trPr>
          <w:trHeight w:val="260"/>
        </w:trPr>
        <w:tc>
          <w:tcPr>
            <w:tcW w:w="3120" w:type="dxa"/>
            <w:vAlign w:val="bottom"/>
          </w:tcPr>
          <w:p>
            <w:pPr>
              <w:spacing w:after="0"/>
              <w:rPr>
                <w:sz w:val="20"/>
                <w:szCs w:val="20"/>
                <w:color w:val="auto"/>
              </w:rPr>
            </w:pPr>
            <w:r>
              <w:rPr>
                <w:rFonts w:ascii="Arial" w:cs="Arial" w:eastAsia="Arial" w:hAnsi="Arial"/>
                <w:sz w:val="17"/>
                <w:szCs w:val="17"/>
                <w:color w:val="auto"/>
              </w:rPr>
              <w:t>Minority interests</w:t>
            </w:r>
          </w:p>
        </w:tc>
        <w:tc>
          <w:tcPr>
            <w:tcW w:w="1660" w:type="dxa"/>
            <w:vAlign w:val="bottom"/>
            <w:gridSpan w:val="3"/>
          </w:tcPr>
          <w:p>
            <w:pPr>
              <w:jc w:val="right"/>
              <w:ind w:right="560"/>
              <w:spacing w:after="0"/>
              <w:rPr>
                <w:sz w:val="20"/>
                <w:szCs w:val="20"/>
                <w:color w:val="auto"/>
              </w:rPr>
            </w:pPr>
            <w:r>
              <w:rPr>
                <w:rFonts w:ascii="Arial" w:cs="Arial" w:eastAsia="Arial" w:hAnsi="Arial"/>
                <w:sz w:val="17"/>
                <w:szCs w:val="17"/>
                <w:color w:val="auto"/>
              </w:rPr>
              <w:t>$1.8</w:t>
            </w:r>
          </w:p>
        </w:tc>
        <w:tc>
          <w:tcPr>
            <w:tcW w:w="580" w:type="dxa"/>
            <w:vAlign w:val="bottom"/>
          </w:tcPr>
          <w:p>
            <w:pPr>
              <w:jc w:val="right"/>
              <w:spacing w:after="0"/>
              <w:rPr>
                <w:sz w:val="20"/>
                <w:szCs w:val="20"/>
                <w:color w:val="auto"/>
              </w:rPr>
            </w:pPr>
            <w:r>
              <w:rPr>
                <w:rFonts w:ascii="Arial" w:cs="Arial" w:eastAsia="Arial" w:hAnsi="Arial"/>
                <w:sz w:val="17"/>
                <w:szCs w:val="17"/>
                <w:color w:val="auto"/>
              </w:rPr>
              <w:t>20.0%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500" w:type="dxa"/>
            <w:vAlign w:val="bottom"/>
            <w:gridSpan w:val="3"/>
          </w:tcPr>
          <w:p>
            <w:pPr>
              <w:jc w:val="right"/>
              <w:ind w:right="360"/>
              <w:spacing w:after="0"/>
              <w:rPr>
                <w:sz w:val="20"/>
                <w:szCs w:val="20"/>
                <w:color w:val="auto"/>
              </w:rPr>
            </w:pPr>
            <w:r>
              <w:rPr>
                <w:rFonts w:ascii="Arial" w:cs="Arial" w:eastAsia="Arial" w:hAnsi="Arial"/>
                <w:sz w:val="17"/>
                <w:szCs w:val="17"/>
                <w:color w:val="auto"/>
              </w:rPr>
              <w:t>(16.7%)</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bl>
    <w:p>
      <w:pPr>
        <w:spacing w:after="0" w:line="200" w:lineRule="exact"/>
        <w:rPr>
          <w:sz w:val="20"/>
          <w:szCs w:val="20"/>
          <w:color w:val="auto"/>
        </w:rPr>
      </w:pPr>
    </w:p>
    <w:p>
      <w:pPr>
        <w:spacing w:after="0" w:line="396" w:lineRule="exact"/>
        <w:rPr>
          <w:sz w:val="20"/>
          <w:szCs w:val="20"/>
          <w:color w:val="auto"/>
        </w:rPr>
      </w:pPr>
    </w:p>
    <w:p>
      <w:pPr>
        <w:ind w:right="180" w:firstLine="210"/>
        <w:spacing w:after="0" w:line="282" w:lineRule="auto"/>
        <w:rPr>
          <w:sz w:val="20"/>
          <w:szCs w:val="20"/>
          <w:color w:val="auto"/>
        </w:rPr>
      </w:pPr>
      <w:r>
        <w:rPr>
          <w:rFonts w:ascii="Arial" w:cs="Arial" w:eastAsia="Arial" w:hAnsi="Arial"/>
          <w:sz w:val="17"/>
          <w:szCs w:val="17"/>
          <w:color w:val="auto"/>
        </w:rPr>
        <w:t>The consolidated joint ventures continue to operate profitably. The decrease in the provision for minority interests in 1999 was primarily due to foreign exchange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5588000" cy="415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8000" cy="415925"/>
                    </a:xfrm>
                    <a:prstGeom prst="rect">
                      <a:avLst/>
                    </a:prstGeom>
                    <a:noFill/>
                  </pic:spPr>
                </pic:pic>
              </a:graphicData>
            </a:graphic>
          </wp:anchor>
        </w:drawing>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Net Income</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3120" w:type="dxa"/>
            <w:vAlign w:val="bottom"/>
          </w:tcPr>
          <w:p>
            <w:pPr>
              <w:spacing w:after="0"/>
              <w:rPr>
                <w:sz w:val="20"/>
                <w:szCs w:val="20"/>
                <w:color w:val="auto"/>
              </w:rPr>
            </w:pPr>
            <w:r>
              <w:rPr>
                <w:rFonts w:ascii="Arial" w:cs="Arial" w:eastAsia="Arial" w:hAnsi="Arial"/>
                <w:sz w:val="17"/>
                <w:szCs w:val="17"/>
                <w:b w:val="1"/>
                <w:bCs w:val="1"/>
                <w:color w:val="auto"/>
              </w:rPr>
              <w:t>Dollars in Millions</w:t>
            </w:r>
          </w:p>
        </w:tc>
        <w:tc>
          <w:tcPr>
            <w:tcW w:w="1660" w:type="dxa"/>
            <w:vAlign w:val="bottom"/>
            <w:gridSpan w:val="3"/>
            <w:shd w:val="clear" w:color="auto" w:fill="C0C0C0"/>
          </w:tcPr>
          <w:p>
            <w:pPr>
              <w:jc w:val="right"/>
              <w:ind w:right="560"/>
              <w:spacing w:after="0"/>
              <w:rPr>
                <w:sz w:val="20"/>
                <w:szCs w:val="20"/>
                <w:color w:val="auto"/>
              </w:rPr>
            </w:pPr>
            <w:r>
              <w:rPr>
                <w:rFonts w:ascii="Arial" w:cs="Arial" w:eastAsia="Arial" w:hAnsi="Arial"/>
                <w:sz w:val="17"/>
                <w:szCs w:val="17"/>
                <w:b w:val="1"/>
                <w:bCs w:val="1"/>
                <w:color w:val="auto"/>
              </w:rPr>
              <w:t>2000</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94"/>
              </w:rPr>
              <w:t>Growth</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56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94"/>
              </w:rPr>
              <w:t>Growth</w:t>
            </w:r>
          </w:p>
        </w:tc>
        <w:tc>
          <w:tcPr>
            <w:tcW w:w="110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b w:val="1"/>
                <w:bCs w:val="1"/>
                <w:color w:val="auto"/>
              </w:rPr>
              <w:t>1998</w:t>
            </w:r>
          </w:p>
        </w:tc>
      </w:tr>
      <w:tr>
        <w:trPr>
          <w:trHeight w:val="72"/>
        </w:trPr>
        <w:tc>
          <w:tcPr>
            <w:tcW w:w="3120" w:type="dxa"/>
            <w:vAlign w:val="bottom"/>
          </w:tcPr>
          <w:p>
            <w:pPr>
              <w:spacing w:after="0"/>
              <w:rPr>
                <w:sz w:val="6"/>
                <w:szCs w:val="6"/>
                <w:color w:val="auto"/>
              </w:rPr>
            </w:pPr>
          </w:p>
        </w:tc>
        <w:tc>
          <w:tcPr>
            <w:tcW w:w="76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560" w:type="dxa"/>
            <w:vAlign w:val="bottom"/>
            <w:tcBorders>
              <w:top w:val="single" w:sz="8" w:color="C0C0C0"/>
            </w:tcBorders>
            <w:shd w:val="clear" w:color="auto" w:fill="C0C0C0"/>
          </w:tcPr>
          <w:p>
            <w:pPr>
              <w:spacing w:after="0"/>
              <w:rPr>
                <w:sz w:val="6"/>
                <w:szCs w:val="6"/>
                <w:color w:val="auto"/>
              </w:rPr>
            </w:pPr>
          </w:p>
        </w:tc>
        <w:tc>
          <w:tcPr>
            <w:tcW w:w="580" w:type="dxa"/>
            <w:vAlign w:val="bottom"/>
            <w:tcBorders>
              <w:top w:val="single" w:sz="8" w:color="auto"/>
            </w:tcBorders>
            <w:shd w:val="clear" w:color="auto" w:fill="C0C0C0"/>
          </w:tcPr>
          <w:p>
            <w:pPr>
              <w:spacing w:after="0"/>
              <w:rPr>
                <w:sz w:val="6"/>
                <w:szCs w:val="6"/>
                <w:color w:val="auto"/>
              </w:rPr>
            </w:pPr>
          </w:p>
        </w:tc>
        <w:tc>
          <w:tcPr>
            <w:tcW w:w="80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560" w:type="dxa"/>
            <w:vAlign w:val="bottom"/>
            <w:tcBorders>
              <w:top w:val="single" w:sz="8" w:color="C0C0C0"/>
            </w:tcBorders>
            <w:shd w:val="clear" w:color="auto" w:fill="C0C0C0"/>
          </w:tcPr>
          <w:p>
            <w:pPr>
              <w:spacing w:after="0"/>
              <w:rPr>
                <w:sz w:val="6"/>
                <w:szCs w:val="6"/>
                <w:color w:val="auto"/>
              </w:rPr>
            </w:pPr>
          </w:p>
        </w:tc>
        <w:tc>
          <w:tcPr>
            <w:tcW w:w="580" w:type="dxa"/>
            <w:vAlign w:val="bottom"/>
            <w:tcBorders>
              <w:top w:val="single" w:sz="8" w:color="auto"/>
            </w:tcBorders>
            <w:shd w:val="clear" w:color="auto" w:fill="C0C0C0"/>
          </w:tcPr>
          <w:p>
            <w:pPr>
              <w:spacing w:after="0"/>
              <w:rPr>
                <w:sz w:val="6"/>
                <w:szCs w:val="6"/>
                <w:color w:val="auto"/>
              </w:rPr>
            </w:pPr>
          </w:p>
        </w:tc>
        <w:tc>
          <w:tcPr>
            <w:tcW w:w="72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r>
      <w:tr>
        <w:trPr>
          <w:trHeight w:val="260"/>
        </w:trPr>
        <w:tc>
          <w:tcPr>
            <w:tcW w:w="3120" w:type="dxa"/>
            <w:vAlign w:val="bottom"/>
          </w:tcPr>
          <w:p>
            <w:pPr>
              <w:spacing w:after="0"/>
              <w:rPr>
                <w:sz w:val="20"/>
                <w:szCs w:val="20"/>
                <w:color w:val="auto"/>
              </w:rPr>
            </w:pPr>
            <w:r>
              <w:rPr>
                <w:rFonts w:ascii="Arial" w:cs="Arial" w:eastAsia="Arial" w:hAnsi="Arial"/>
                <w:sz w:val="17"/>
                <w:szCs w:val="17"/>
                <w:color w:val="auto"/>
              </w:rPr>
              <w:t>Net income</w:t>
            </w:r>
          </w:p>
        </w:tc>
        <w:tc>
          <w:tcPr>
            <w:tcW w:w="1660" w:type="dxa"/>
            <w:vAlign w:val="bottom"/>
            <w:gridSpan w:val="3"/>
          </w:tcPr>
          <w:p>
            <w:pPr>
              <w:jc w:val="right"/>
              <w:ind w:right="560"/>
              <w:spacing w:after="0"/>
              <w:rPr>
                <w:sz w:val="20"/>
                <w:szCs w:val="20"/>
                <w:color w:val="auto"/>
              </w:rPr>
            </w:pPr>
            <w:r>
              <w:rPr>
                <w:rFonts w:ascii="Arial" w:cs="Arial" w:eastAsia="Arial" w:hAnsi="Arial"/>
                <w:sz w:val="17"/>
                <w:szCs w:val="17"/>
                <w:color w:val="auto"/>
              </w:rPr>
              <w:t>$54.2</w:t>
            </w:r>
          </w:p>
        </w:tc>
        <w:tc>
          <w:tcPr>
            <w:tcW w:w="580" w:type="dxa"/>
            <w:vAlign w:val="bottom"/>
          </w:tcPr>
          <w:p>
            <w:pPr>
              <w:jc w:val="right"/>
              <w:spacing w:after="0"/>
              <w:rPr>
                <w:sz w:val="20"/>
                <w:szCs w:val="20"/>
                <w:color w:val="auto"/>
              </w:rPr>
            </w:pPr>
            <w:r>
              <w:rPr>
                <w:rFonts w:ascii="Arial" w:cs="Arial" w:eastAsia="Arial" w:hAnsi="Arial"/>
                <w:sz w:val="17"/>
                <w:szCs w:val="17"/>
                <w:color w:val="auto"/>
                <w:w w:val="94"/>
              </w:rPr>
              <w:t>(12.7%)</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$62.1</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$57.2</w:t>
            </w:r>
          </w:p>
        </w:tc>
      </w:tr>
    </w:tbl>
    <w:p>
      <w:pPr>
        <w:spacing w:after="0" w:line="216" w:lineRule="exact"/>
        <w:rPr>
          <w:sz w:val="20"/>
          <w:szCs w:val="20"/>
          <w:color w:val="auto"/>
        </w:rPr>
      </w:pPr>
    </w:p>
    <w:p>
      <w:pPr>
        <w:ind w:right="520" w:firstLine="213"/>
        <w:spacing w:after="0" w:line="282" w:lineRule="auto"/>
        <w:rPr>
          <w:sz w:val="20"/>
          <w:szCs w:val="20"/>
          <w:color w:val="auto"/>
        </w:rPr>
      </w:pPr>
      <w:r>
        <w:rPr>
          <w:rFonts w:ascii="Arial" w:cs="Arial" w:eastAsia="Arial" w:hAnsi="Arial"/>
          <w:sz w:val="17"/>
          <w:szCs w:val="17"/>
          <w:color w:val="auto"/>
        </w:rPr>
        <w:t>Net income decreased 12.7% in 2000 to $54.2 million. In 1999, net income increased 8.6% to $62.1 million. Earnings per common share, on a diluted basis, decreased 8% to $2.58 in 2000 as compared with $2.80 in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88" w:lineRule="exact"/>
        <w:rPr>
          <w:sz w:val="20"/>
          <w:szCs w:val="20"/>
          <w:color w:val="auto"/>
        </w:rPr>
      </w:pPr>
    </w:p>
    <w:p>
      <w:pPr>
        <w:ind w:right="220" w:firstLine="210"/>
        <w:spacing w:after="0" w:line="351" w:lineRule="auto"/>
        <w:rPr>
          <w:sz w:val="20"/>
          <w:szCs w:val="20"/>
          <w:color w:val="auto"/>
        </w:rPr>
      </w:pPr>
      <w:r>
        <w:rPr>
          <w:rFonts w:ascii="Arial" w:cs="Arial" w:eastAsia="Arial" w:hAnsi="Arial"/>
          <w:sz w:val="15"/>
          <w:szCs w:val="15"/>
          <w:color w:val="auto"/>
        </w:rPr>
        <w:t>The Company's financial position remained strong during 2000. Cash flows in 2000 were provided from operations and short-term and long-term financing. The cash was applied principally to fund approximately $103.3 million of capital expenditures, acquire a German producer of advanced laser scanning devices for the</w:t>
      </w:r>
    </w:p>
    <w:p>
      <w:pPr>
        <w:sectPr>
          <w:pgSz w:w="11900" w:h="16838" w:orient="portrait"/>
          <w:cols w:equalWidth="0" w:num="1">
            <w:col w:w="11380"/>
          </w:cols>
          <w:pgMar w:left="240" w:top="131" w:right="279" w:bottom="0" w:gutter="0" w:footer="0" w:header="0"/>
        </w:sectPr>
      </w:pPr>
    </w:p>
    <w:bookmarkStart w:id="15" w:name="page16"/>
    <w:bookmarkEnd w:id="15"/>
    <w:p>
      <w:pPr>
        <w:ind w:right="440"/>
        <w:spacing w:after="0" w:line="282" w:lineRule="auto"/>
        <w:rPr>
          <w:sz w:val="20"/>
          <w:szCs w:val="20"/>
          <w:color w:val="auto"/>
        </w:rPr>
      </w:pPr>
      <w:r>
        <w:rPr>
          <w:rFonts w:ascii="Arial" w:cs="Arial" w:eastAsia="Arial" w:hAnsi="Arial"/>
          <w:sz w:val="17"/>
          <w:szCs w:val="17"/>
          <w:color w:val="auto"/>
        </w:rPr>
        <w:t>Refractories segment, repurchase $43.0 million of common shares for treasury, and repay short-term and long-term debt. Cash provided from operating activities amounted to $91.1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in 2000, $130.2 million in 1999 and $117.0 million in 1998. The reduction in cash provided from operating activities in 2000 was primarily attributable to a decrease in working capital.</w:t>
      </w:r>
    </w:p>
    <w:p>
      <w:pPr>
        <w:spacing w:after="0" w:line="130" w:lineRule="exact"/>
        <w:rPr>
          <w:sz w:val="20"/>
          <w:szCs w:val="20"/>
          <w:color w:val="auto"/>
        </w:rPr>
      </w:pPr>
    </w:p>
    <w:p>
      <w:pPr>
        <w:jc w:val="both"/>
        <w:ind w:right="140" w:firstLine="213"/>
        <w:spacing w:after="0" w:line="269" w:lineRule="auto"/>
        <w:rPr>
          <w:sz w:val="20"/>
          <w:szCs w:val="20"/>
          <w:color w:val="auto"/>
        </w:rPr>
      </w:pPr>
      <w:r>
        <w:rPr>
          <w:rFonts w:ascii="Arial" w:cs="Arial" w:eastAsia="Arial" w:hAnsi="Arial"/>
          <w:sz w:val="17"/>
          <w:szCs w:val="17"/>
          <w:color w:val="auto"/>
        </w:rPr>
        <w:t>On May 17, 2000, the Company's majority-owned subsidiary, Specialty Minerals FMT. K.K., entered into a Yen-denominated Guaranteed Credit Agreement with the Bank of New York due March 31, 2007. The proceeds were used to finance the construction of a PCC satellite facility in Japan. Principal payments begin on June 30, 2002. Interest is payable quarterly at a rate of 2.05% per annum.</w:t>
      </w:r>
    </w:p>
    <w:p>
      <w:pPr>
        <w:spacing w:after="0" w:line="141" w:lineRule="exact"/>
        <w:rPr>
          <w:sz w:val="20"/>
          <w:szCs w:val="20"/>
          <w:color w:val="auto"/>
        </w:rPr>
      </w:pPr>
    </w:p>
    <w:p>
      <w:pPr>
        <w:jc w:val="both"/>
        <w:ind w:firstLine="213"/>
        <w:spacing w:after="0" w:line="269" w:lineRule="auto"/>
        <w:rPr>
          <w:sz w:val="20"/>
          <w:szCs w:val="20"/>
          <w:color w:val="auto"/>
        </w:rPr>
      </w:pPr>
      <w:r>
        <w:rPr>
          <w:rFonts w:ascii="Arial" w:cs="Arial" w:eastAsia="Arial" w:hAnsi="Arial"/>
          <w:sz w:val="17"/>
          <w:szCs w:val="17"/>
          <w:color w:val="auto"/>
        </w:rPr>
        <w:t>On June 9, 2000 the Company entered into a twenty-year, taxable, Variable/Fixed Rate Industrial Development Revenue Bond agreement to finance a portion of the construction of a merchant manufacturing facility in Mississippi for the production of Specialty PCC. The Company selected the variable rate option for this borrowing and the average interest rate was approximately 7.18% for the period ended December 31, 2000.</w:t>
      </w:r>
    </w:p>
    <w:p>
      <w:pPr>
        <w:spacing w:after="0" w:line="141" w:lineRule="exact"/>
        <w:rPr>
          <w:sz w:val="20"/>
          <w:szCs w:val="20"/>
          <w:color w:val="auto"/>
        </w:rPr>
      </w:pPr>
    </w:p>
    <w:p>
      <w:pPr>
        <w:ind w:right="60" w:firstLine="210"/>
        <w:spacing w:after="0" w:line="265" w:lineRule="auto"/>
        <w:rPr>
          <w:sz w:val="20"/>
          <w:szCs w:val="20"/>
          <w:color w:val="auto"/>
        </w:rPr>
      </w:pPr>
      <w:r>
        <w:rPr>
          <w:rFonts w:ascii="Arial" w:cs="Arial" w:eastAsia="Arial" w:hAnsi="Arial"/>
          <w:sz w:val="17"/>
          <w:szCs w:val="17"/>
          <w:color w:val="auto"/>
        </w:rPr>
        <w:t>The Economic Development Authority Refunding Revenue Bonds due 2010 were issued on February 23, 1999 to refinance the bonds issued in connection with the construction of a PCC plant in Eastover, South Carolina.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 for the year ended December 31, 2000 was approximately 4.33%.</w:t>
      </w:r>
    </w:p>
    <w:p>
      <w:pPr>
        <w:spacing w:after="0" w:line="145" w:lineRule="exact"/>
        <w:rPr>
          <w:sz w:val="20"/>
          <w:szCs w:val="20"/>
          <w:color w:val="auto"/>
        </w:rPr>
      </w:pPr>
    </w:p>
    <w:p>
      <w:pPr>
        <w:ind w:right="100" w:firstLine="210"/>
        <w:spacing w:after="0" w:line="311" w:lineRule="auto"/>
        <w:rPr>
          <w:sz w:val="20"/>
          <w:szCs w:val="20"/>
          <w:color w:val="auto"/>
        </w:rPr>
      </w:pPr>
      <w:r>
        <w:rPr>
          <w:rFonts w:ascii="Arial" w:cs="Arial" w:eastAsia="Arial" w:hAnsi="Arial"/>
          <w:sz w:val="15"/>
          <w:szCs w:val="15"/>
          <w:color w:val="auto"/>
        </w:rPr>
        <w:t>The Variable/Fixed Rate Industrial Development Revenue Bonds due November 1, 2014 are tax-exempt 15-year instruments and were issued on November 30, 1999 to refinance the bonds issued in connection with the construction of a PCC plant in Jackson, Alabama.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 for the year ended December 31, 2000 was approximately 4.33%.</w:t>
      </w:r>
    </w:p>
    <w:p>
      <w:pPr>
        <w:spacing w:after="0" w:line="114" w:lineRule="exact"/>
        <w:rPr>
          <w:sz w:val="20"/>
          <w:szCs w:val="20"/>
          <w:color w:val="auto"/>
        </w:rPr>
      </w:pPr>
    </w:p>
    <w:p>
      <w:pPr>
        <w:ind w:right="80" w:firstLine="213"/>
        <w:spacing w:after="0" w:line="269" w:lineRule="auto"/>
        <w:rPr>
          <w:sz w:val="20"/>
          <w:szCs w:val="20"/>
          <w:color w:val="auto"/>
        </w:rPr>
      </w:pPr>
      <w:r>
        <w:rPr>
          <w:rFonts w:ascii="Arial" w:cs="Arial" w:eastAsia="Arial" w:hAnsi="Arial"/>
          <w:sz w:val="17"/>
          <w:szCs w:val="17"/>
          <w:color w:val="auto"/>
        </w:rPr>
        <w:t>On February 26, 1998, the Company's Board of Directors ("Board") authorized a $150 million stock repurchase program. The stock is being purchased on the open market from time to time. As of January 28, 2001, the Company had repurchased approximately 3.1 million shares under this program, at an average price of approximately $44 per share.</w:t>
      </w:r>
    </w:p>
    <w:p>
      <w:pPr>
        <w:spacing w:after="0" w:line="141" w:lineRule="exact"/>
        <w:rPr>
          <w:sz w:val="20"/>
          <w:szCs w:val="20"/>
          <w:color w:val="auto"/>
        </w:rPr>
      </w:pPr>
    </w:p>
    <w:p>
      <w:pPr>
        <w:ind w:right="460" w:firstLine="210"/>
        <w:spacing w:after="0" w:line="282" w:lineRule="auto"/>
        <w:rPr>
          <w:sz w:val="20"/>
          <w:szCs w:val="20"/>
          <w:color w:val="auto"/>
        </w:rPr>
      </w:pPr>
      <w:r>
        <w:rPr>
          <w:rFonts w:ascii="Arial" w:cs="Arial" w:eastAsia="Arial" w:hAnsi="Arial"/>
          <w:sz w:val="17"/>
          <w:szCs w:val="17"/>
          <w:color w:val="auto"/>
        </w:rPr>
        <w:t>The Company expects to complete its current share repurchase program in the second quarter of 2001. The Board has authorized the Company's Management Committee to repurchase up to $25 million in additional shares per year over the next three-year period, at its discretion.</w:t>
      </w:r>
    </w:p>
    <w:p>
      <w:pPr>
        <w:spacing w:after="0" w:line="130" w:lineRule="exact"/>
        <w:rPr>
          <w:sz w:val="20"/>
          <w:szCs w:val="20"/>
          <w:color w:val="auto"/>
        </w:rPr>
      </w:pPr>
    </w:p>
    <w:p>
      <w:pPr>
        <w:ind w:right="80" w:firstLine="210"/>
        <w:spacing w:after="0" w:line="287" w:lineRule="auto"/>
        <w:rPr>
          <w:sz w:val="20"/>
          <w:szCs w:val="20"/>
          <w:color w:val="auto"/>
        </w:rPr>
      </w:pPr>
      <w:r>
        <w:rPr>
          <w:rFonts w:ascii="Arial" w:cs="Arial" w:eastAsia="Arial" w:hAnsi="Arial"/>
          <w:sz w:val="16"/>
          <w:szCs w:val="16"/>
          <w:color w:val="auto"/>
        </w:rPr>
        <w:t>The Company has approximately $85 million in uncommitted short-term bank credit lines, of which $48.1 million was in use at December 31, 2000. The Company anticipates that capital expenditures for 2001 should approximate $100 million, principally related to the construction of satellite PCC plants, and other opportunities that meet the strategic growth objectives of the Company. The Company expects to meet its long-term financing requirements from internally generated funds, the aforementioned uncommitted bank credit lines and, where appropriate, project financing of certain satellite plants.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Prospective Information and Factors That May Affect Future Results</w:t>
      </w:r>
    </w:p>
    <w:p>
      <w:pPr>
        <w:spacing w:after="0" w:line="188" w:lineRule="exact"/>
        <w:rPr>
          <w:sz w:val="20"/>
          <w:szCs w:val="20"/>
          <w:color w:val="auto"/>
        </w:rPr>
      </w:pPr>
    </w:p>
    <w:p>
      <w:pPr>
        <w:ind w:right="80" w:firstLine="210"/>
        <w:spacing w:after="0" w:line="265" w:lineRule="auto"/>
        <w:rPr>
          <w:sz w:val="20"/>
          <w:szCs w:val="20"/>
          <w:color w:val="auto"/>
        </w:rPr>
      </w:pPr>
      <w:r>
        <w:rPr>
          <w:rFonts w:ascii="Arial" w:cs="Arial" w:eastAsia="Arial" w:hAnsi="Arial"/>
          <w:sz w:val="17"/>
          <w:szCs w:val="17"/>
          <w:color w:val="auto"/>
        </w:rPr>
        <w:t>The Securities and Exchange Commission encourages companies to disclose forward-looking information so that investors can better understand companies' future prospects and make informed investment decisions. This report may contain forward-looking statements that set out anticipated results based on management's plans and assumptions. Words such as "expects," "plans," "anticipates," "will," and words and terms of similar substance, used in connection with any discussion of future operating or financial performance identify these forward-looking statements.</w:t>
      </w:r>
    </w:p>
    <w:p>
      <w:pPr>
        <w:spacing w:after="0" w:line="145" w:lineRule="exact"/>
        <w:rPr>
          <w:sz w:val="20"/>
          <w:szCs w:val="20"/>
          <w:color w:val="auto"/>
        </w:rPr>
      </w:pPr>
    </w:p>
    <w:p>
      <w:pPr>
        <w:ind w:right="140" w:firstLine="210"/>
        <w:spacing w:after="0" w:line="263" w:lineRule="auto"/>
        <w:rPr>
          <w:sz w:val="20"/>
          <w:szCs w:val="20"/>
          <w:color w:val="auto"/>
        </w:rPr>
      </w:pPr>
      <w:r>
        <w:rPr>
          <w:rFonts w:ascii="Arial" w:cs="Arial" w:eastAsia="Arial" w:hAnsi="Arial"/>
          <w:sz w:val="17"/>
          <w:szCs w:val="17"/>
          <w:color w:val="auto"/>
        </w:rPr>
        <w:t>The Company cannot guarantee that the outcomes suggested in any forward-looking statement will be realized, although it believes it has been prudent in its plans and assumptions. Achievement of future results is subject to risks, uncertainties and inaccurate assumptions. Should known or unknown risks or uncertainties materialize, or should underlying assumptions prove inaccurate, actual results could vary materially from those anticipated, estimated or projected. Investors should bear this in mind as they consider forward-looking statements and should refer to the discussion of certain risks, uncertainties and assumptions under the heading "Cautionary Factors That May Affect Future Results" in Item 1.</w:t>
      </w:r>
    </w:p>
    <w:p>
      <w:pPr>
        <w:spacing w:after="0" w:line="147" w:lineRule="exact"/>
        <w:rPr>
          <w:sz w:val="20"/>
          <w:szCs w:val="20"/>
          <w:color w:val="auto"/>
        </w:rPr>
      </w:pPr>
    </w:p>
    <w:p>
      <w:pPr>
        <w:ind w:right="60" w:firstLine="213"/>
        <w:spacing w:after="0" w:line="283" w:lineRule="auto"/>
        <w:rPr>
          <w:sz w:val="20"/>
          <w:szCs w:val="20"/>
          <w:color w:val="auto"/>
        </w:rPr>
      </w:pPr>
      <w:r>
        <w:rPr>
          <w:rFonts w:ascii="Arial" w:cs="Arial" w:eastAsia="Arial" w:hAnsi="Arial"/>
          <w:sz w:val="16"/>
          <w:szCs w:val="16"/>
          <w:color w:val="auto"/>
        </w:rPr>
        <w:t>Several acquisitions in the paper industry have taken place in the last two years. Such acquisitions could result in partial or total closure of some paper mills at which the Company operates PCC satellites. Such closures would reduce the Company's sales of PCC, except to the extent that they resulted in paper production and associated purchases of PCC shifting to another location served by the Company. There can be no assurance, however, that this will occur. In addition, such acquisitions concentrate purchasing power in the hands of a smaller number of papermakers, enabling them to increase competitive pressure on their suppliers, such as the Company. Such increased pressure could have an adverse effect on the Company's results of operations in the future.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firstLine="210"/>
        <w:spacing w:after="0" w:line="265" w:lineRule="auto"/>
        <w:rPr>
          <w:sz w:val="20"/>
          <w:szCs w:val="20"/>
          <w:color w:val="auto"/>
        </w:rPr>
      </w:pPr>
      <w:r>
        <w:rPr>
          <w:rFonts w:ascii="Arial" w:cs="Arial" w:eastAsia="Arial" w:hAnsi="Arial"/>
          <w:sz w:val="17"/>
          <w:szCs w:val="17"/>
          <w:color w:val="auto"/>
        </w:rPr>
        <w:t>The Company's largest customer, International Paper Company, has decided to reduce U.S. production capacity by closing two paper mills in which the Company has satellite PCC plants. These paper mills are located in Mobile, Alabama, and Lock Haven, Pennsylvania. In addition, Plainwell Inc. filed for bankruptcy protection and closed its paper mill in Plainwell, Michigan. The Company operates a small satellite PCC plant at that location. As a result of these plant closings, the Company recorded a $4.9 million write-down of impaired assets.</w:t>
      </w:r>
    </w:p>
    <w:p>
      <w:pPr>
        <w:spacing w:after="0" w:line="145" w:lineRule="exact"/>
        <w:rPr>
          <w:sz w:val="20"/>
          <w:szCs w:val="20"/>
          <w:color w:val="auto"/>
        </w:rPr>
      </w:pPr>
    </w:p>
    <w:p>
      <w:pPr>
        <w:ind w:right="120" w:firstLine="213"/>
        <w:spacing w:after="0" w:line="269" w:lineRule="auto"/>
        <w:rPr>
          <w:sz w:val="20"/>
          <w:szCs w:val="20"/>
          <w:color w:val="auto"/>
        </w:rPr>
      </w:pPr>
      <w:r>
        <w:rPr>
          <w:rFonts w:ascii="Arial" w:cs="Arial" w:eastAsia="Arial" w:hAnsi="Arial"/>
          <w:sz w:val="17"/>
          <w:szCs w:val="17"/>
          <w:color w:val="auto"/>
        </w:rPr>
        <w:t>Excluding the plants to be closed, there are three satellite locations, serving two customers, at which our contracts have recently expired or are due to expire by the end of 2001. The Company continues to supply PCC at all of these locations and expects to negotiate long-term contract extensions at all of them. There is no assurance, however, that these negotiations will be successful.</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Inflation</w:t>
      </w:r>
    </w:p>
    <w:p>
      <w:pPr>
        <w:spacing w:after="0" w:line="201" w:lineRule="exact"/>
        <w:rPr>
          <w:sz w:val="20"/>
          <w:szCs w:val="20"/>
          <w:color w:val="auto"/>
        </w:rPr>
      </w:pPr>
    </w:p>
    <w:p>
      <w:pPr>
        <w:ind w:right="80" w:firstLine="213"/>
        <w:spacing w:after="0" w:line="282" w:lineRule="auto"/>
        <w:rPr>
          <w:sz w:val="20"/>
          <w:szCs w:val="20"/>
          <w:color w:val="auto"/>
        </w:rPr>
      </w:pPr>
      <w:r>
        <w:rPr>
          <w:rFonts w:ascii="Arial" w:cs="Arial" w:eastAsia="Arial" w:hAnsi="Arial"/>
          <w:sz w:val="17"/>
          <w:szCs w:val="17"/>
          <w:color w:val="auto"/>
        </w:rPr>
        <w:t>Historically, inflation has not had a material adverse effect on the Company. The contracts pursuant to which the Company constructs and operates its satellite PCC plants generally adjust pricing to reflect increases in costs resulting from inflation.</w:t>
      </w:r>
    </w:p>
    <w:p>
      <w:pPr>
        <w:sectPr>
          <w:pgSz w:w="11900" w:h="16838" w:orient="portrait"/>
          <w:cols w:equalWidth="0" w:num="1">
            <w:col w:w="11420"/>
          </w:cols>
          <w:pgMar w:left="240" w:top="131" w:right="239" w:bottom="0" w:gutter="0" w:footer="0" w:header="0"/>
        </w:sectPr>
      </w:pPr>
    </w:p>
    <w:bookmarkStart w:id="16" w:name="page17"/>
    <w:bookmarkEnd w:id="16"/>
    <w:p>
      <w:pPr>
        <w:spacing w:after="0" w:line="3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Cyclical Nature of Customers' Businesses</w:t>
      </w:r>
    </w:p>
    <w:p>
      <w:pPr>
        <w:spacing w:after="0" w:line="188" w:lineRule="exact"/>
        <w:rPr>
          <w:sz w:val="20"/>
          <w:szCs w:val="20"/>
          <w:color w:val="auto"/>
        </w:rPr>
      </w:pPr>
    </w:p>
    <w:p>
      <w:pPr>
        <w:ind w:right="60" w:firstLine="210"/>
        <w:spacing w:after="0" w:line="262" w:lineRule="auto"/>
        <w:rPr>
          <w:sz w:val="20"/>
          <w:szCs w:val="20"/>
          <w:color w:val="auto"/>
        </w:rPr>
      </w:pPr>
      <w:r>
        <w:rPr>
          <w:rFonts w:ascii="Arial" w:cs="Arial" w:eastAsia="Arial" w:hAnsi="Arial"/>
          <w:sz w:val="17"/>
          <w:szCs w:val="17"/>
          <w:color w:val="auto"/>
        </w:rPr>
        <w:t>The bulk of the Company's sales are to customers in the paper manufacturing, steel manufacturing industries and construction industries, which have historically been cyclical. These industries encountered difficulties in 2000. The pricing structure of some of our long-term PCC contracts makes our PCC business less sensitive to declines in the quantity of product purchased. For this reason, and because of the geographical diversification of our business, the Company's operating results to date have not been materially affected by the difficult economic environment. However, we cannot predict the economic outlook in the countries in which we do business, nor in the key industries we serve. There can be no assurance that a recession, in some markets or worldwide, would not have a significant negative effect on the Company's financial position or results of operations.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88" w:lineRule="exact"/>
        <w:rPr>
          <w:sz w:val="20"/>
          <w:szCs w:val="20"/>
          <w:color w:val="auto"/>
        </w:rPr>
      </w:pPr>
    </w:p>
    <w:p>
      <w:pPr>
        <w:ind w:right="20" w:firstLine="213"/>
        <w:spacing w:after="0" w:line="263" w:lineRule="auto"/>
        <w:rPr>
          <w:sz w:val="20"/>
          <w:szCs w:val="20"/>
          <w:color w:val="auto"/>
        </w:rPr>
      </w:pPr>
      <w:r>
        <w:rPr>
          <w:rFonts w:ascii="Arial" w:cs="Arial" w:eastAsia="Arial" w:hAnsi="Arial"/>
          <w:sz w:val="17"/>
          <w:szCs w:val="17"/>
          <w:color w:val="auto"/>
        </w:rPr>
        <w:t>In June 1998, the Financial Accounting Standards Board issued SFAS No. 133, "Accounting for Derivative Instruments and Hedging Activities." The statement establishes accounting and reporting standards for derivative instruments and for hedging activities. It requires that an entity recognize all derivatives as either assets or liabilities in the statement of financial position and measure those instruments at fair value. The statement, as amended, is effective for all fiscal quarters of fiscal years beginning after June 15, 2000. The Company will adopt SFAS 133 by January 1, 2001. Adoption of SFAS 133 will not have a material effect on the consolidated financial statements.</w:t>
      </w:r>
    </w:p>
    <w:p>
      <w:pPr>
        <w:spacing w:after="0" w:line="147" w:lineRule="exact"/>
        <w:rPr>
          <w:sz w:val="20"/>
          <w:szCs w:val="20"/>
          <w:color w:val="auto"/>
        </w:rPr>
      </w:pPr>
    </w:p>
    <w:p>
      <w:pPr>
        <w:ind w:right="20" w:firstLine="210"/>
        <w:spacing w:after="0" w:line="281" w:lineRule="auto"/>
        <w:rPr>
          <w:sz w:val="20"/>
          <w:szCs w:val="20"/>
          <w:color w:val="auto"/>
        </w:rPr>
      </w:pPr>
      <w:r>
        <w:rPr>
          <w:rFonts w:ascii="Arial" w:cs="Arial" w:eastAsia="Arial" w:hAnsi="Arial"/>
          <w:sz w:val="16"/>
          <w:szCs w:val="16"/>
          <w:color w:val="auto"/>
        </w:rPr>
        <w:t>The Emerging Issues Task Force ("EITF") reached a consensus on EITF Issue 00-10, "Accounting for Shipping and Handling Fees and Costs." This pronouncement was effective in the fourth quarter of 2000 and all prior periods were reclassified to comply with the classification guidelines of this issue. EITF Issue 00-10 stipulates that all amounts billed to a customer in a sale transaction related to shipping and handling represent revenues earned for the goods provided and should be classified as revenue. In addition, costs incurred for shipping and handling should preferably be classified as costs of goods sold. The Company has historically recorded the net costs of shipping and handling in marketing and administrative expenses since the majority of such costs are a direct pass-through of costs to the customer. Adjustments were reflected in the statement of income and related footnotes in order to comply with this pronouncement.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Adoption of a Common European Currency</w:t>
      </w:r>
    </w:p>
    <w:p>
      <w:pPr>
        <w:spacing w:after="0" w:line="201" w:lineRule="exact"/>
        <w:rPr>
          <w:sz w:val="20"/>
          <w:szCs w:val="20"/>
          <w:color w:val="auto"/>
        </w:rPr>
      </w:pPr>
    </w:p>
    <w:p>
      <w:pPr>
        <w:ind w:right="80" w:firstLine="213"/>
        <w:spacing w:after="0" w:line="351" w:lineRule="auto"/>
        <w:rPr>
          <w:sz w:val="20"/>
          <w:szCs w:val="20"/>
          <w:color w:val="auto"/>
        </w:rPr>
      </w:pPr>
      <w:r>
        <w:rPr>
          <w:rFonts w:ascii="Arial" w:cs="Arial" w:eastAsia="Arial" w:hAnsi="Arial"/>
          <w:sz w:val="15"/>
          <w:szCs w:val="15"/>
          <w:color w:val="auto"/>
        </w:rPr>
        <w:t>On January 1, 1999, eleven European countries adopted the euro as their common currency. From that date until January 1, 2002, debtors and creditors may choose to pay or be paid in euros or in the former national currencies. On and after January 1, 2002, the affected national currencies will cease to be legal tender.</w:t>
      </w:r>
    </w:p>
    <w:p>
      <w:pPr>
        <w:spacing w:after="0" w:line="85" w:lineRule="exact"/>
        <w:rPr>
          <w:sz w:val="20"/>
          <w:szCs w:val="20"/>
          <w:color w:val="auto"/>
        </w:rPr>
      </w:pPr>
    </w:p>
    <w:p>
      <w:pPr>
        <w:ind w:firstLine="210"/>
        <w:spacing w:after="0" w:line="263" w:lineRule="auto"/>
        <w:rPr>
          <w:sz w:val="20"/>
          <w:szCs w:val="20"/>
          <w:color w:val="auto"/>
        </w:rPr>
      </w:pPr>
      <w:r>
        <w:rPr>
          <w:rFonts w:ascii="Arial" w:cs="Arial" w:eastAsia="Arial" w:hAnsi="Arial"/>
          <w:sz w:val="17"/>
          <w:szCs w:val="17"/>
          <w:color w:val="auto"/>
        </w:rPr>
        <w:t>The Company's information technology systems are now able to convert among the former national currencies and the euro and to process transactions and balances in euros. The financial institutions with which the Company does business are capable of receiving deposits and making payments both in euros and in the national currencies. The Company does not expect that adapting its information technology systems to the euro will have a material effect on its financial condition or results of operations. The Company is also reviewing contracts with customers and vendors calling for payments in currencies that are to be replaced by the euro, and intends to complete in a timely way any required changes to those contracts.</w:t>
      </w:r>
    </w:p>
    <w:p>
      <w:pPr>
        <w:spacing w:after="0" w:line="147" w:lineRule="exact"/>
        <w:rPr>
          <w:sz w:val="20"/>
          <w:szCs w:val="20"/>
          <w:color w:val="auto"/>
        </w:rPr>
      </w:pPr>
    </w:p>
    <w:p>
      <w:pPr>
        <w:ind w:right="20" w:firstLine="203"/>
        <w:spacing w:after="0" w:line="263" w:lineRule="auto"/>
        <w:rPr>
          <w:sz w:val="20"/>
          <w:szCs w:val="20"/>
          <w:color w:val="auto"/>
        </w:rPr>
      </w:pPr>
      <w:r>
        <w:rPr>
          <w:rFonts w:ascii="Arial" w:cs="Arial" w:eastAsia="Arial" w:hAnsi="Arial"/>
          <w:sz w:val="17"/>
          <w:szCs w:val="17"/>
          <w:color w:val="auto"/>
        </w:rPr>
        <w:t>Adoption of the euro is likely to have competitive effects in Europe, as prices that had been stated in different national currencies become directly comparable to one another. In addition, the adoption of a common monetary policy by the countries adopting the euro can be expected to have an effect on the economy of the region. These competitive and economic effects had no material effect on the Company's financial condition or results of operation during 2000, and the Company does not expect any such effect to occur. There can be no assurance, however, that the transition to the euro will not have a material effect on the Company's business in Europe in the future.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88" w:lineRule="exact"/>
        <w:rPr>
          <w:sz w:val="20"/>
          <w:szCs w:val="20"/>
          <w:color w:val="auto"/>
        </w:rPr>
      </w:pPr>
    </w:p>
    <w:p>
      <w:pPr>
        <w:ind w:firstLine="210"/>
        <w:spacing w:after="0" w:line="261" w:lineRule="auto"/>
        <w:rPr>
          <w:sz w:val="20"/>
          <w:szCs w:val="20"/>
          <w:color w:val="auto"/>
        </w:rPr>
      </w:pPr>
      <w:r>
        <w:rPr>
          <w:rFonts w:ascii="Arial" w:cs="Arial" w:eastAsia="Arial" w:hAnsi="Arial"/>
          <w:sz w:val="17"/>
          <w:szCs w:val="17"/>
          <w:color w:val="auto"/>
        </w:rPr>
        <w:t>The Company is exposed to various market risks, including the potential loss arising from adverse changes in foreign currency exchange rates. The Company does not enter into derivatives or other financial instruments for trading or speculative purposes. When appropriate, the Company enters into derivative financial instruments, such as forward exchange contracts, to mitigate the impact of foreign exchange rate movements on the Company's operating results. The counterparties are major financial institutions. Such forward exchange contracts would not subject the Company to additional risk from exchange rate movements because gains and losses on these contracts would offset losses and gains on the assets, liabilities and transactions being hedged. At December 31, 2000, the Company had open forward exchange contracts to purchase $0.8 million of foreign currencies. These contracts mature on March 31, 2001. The fair value of these instruments was not significant at December 31, 2000.</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financial information required by Item 8 is contained in Item 14 of Part IV of this report.</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and Executive Officers of the Registrant</w:t>
      </w:r>
    </w:p>
    <w:p>
      <w:pPr>
        <w:spacing w:after="0" w:line="188" w:lineRule="exact"/>
        <w:rPr>
          <w:sz w:val="20"/>
          <w:szCs w:val="20"/>
          <w:color w:val="auto"/>
        </w:rPr>
      </w:pPr>
    </w:p>
    <w:p>
      <w:pPr>
        <w:ind w:right="80" w:firstLine="213"/>
        <w:spacing w:after="0" w:line="282" w:lineRule="auto"/>
        <w:rPr>
          <w:sz w:val="20"/>
          <w:szCs w:val="20"/>
          <w:color w:val="auto"/>
        </w:rPr>
      </w:pPr>
      <w:r>
        <w:rPr>
          <w:rFonts w:ascii="Arial" w:cs="Arial" w:eastAsia="Arial" w:hAnsi="Arial"/>
          <w:sz w:val="17"/>
          <w:szCs w:val="17"/>
          <w:color w:val="auto"/>
        </w:rPr>
        <w:t>Set forth below are the names and ages, as of December 31, 2000, of all Executive Officers of the Registrant indicating all positions and offices with the Registrant held by each such person, and each such person's principal occupations or employment during the past five years.</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3"/>
              </w:rPr>
              <w:t>Name</w:t>
            </w:r>
          </w:p>
        </w:tc>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5"/>
              </w:rPr>
              <w:t>Age</w:t>
            </w:r>
          </w:p>
        </w:tc>
        <w:tc>
          <w:tcPr>
            <w:tcW w:w="440" w:type="dxa"/>
            <w:vAlign w:val="bottom"/>
          </w:tcPr>
          <w:p>
            <w:pPr>
              <w:spacing w:after="0"/>
              <w:rPr>
                <w:sz w:val="16"/>
                <w:szCs w:val="16"/>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Position</w:t>
            </w:r>
          </w:p>
        </w:tc>
        <w:tc>
          <w:tcPr>
            <w:tcW w:w="3700" w:type="dxa"/>
            <w:vAlign w:val="bottom"/>
          </w:tcPr>
          <w:p>
            <w:pPr>
              <w:spacing w:after="0"/>
              <w:rPr>
                <w:sz w:val="16"/>
                <w:szCs w:val="16"/>
                <w:color w:val="auto"/>
              </w:rPr>
            </w:pPr>
          </w:p>
        </w:tc>
      </w:tr>
      <w:tr>
        <w:trPr>
          <w:trHeight w:val="357"/>
        </w:trPr>
        <w:tc>
          <w:tcPr>
            <w:tcW w:w="2760" w:type="dxa"/>
            <w:vAlign w:val="bottom"/>
            <w:gridSpan w:val="2"/>
          </w:tcPr>
          <w:p>
            <w:pPr>
              <w:spacing w:after="0"/>
              <w:rPr>
                <w:sz w:val="20"/>
                <w:szCs w:val="20"/>
                <w:color w:val="auto"/>
              </w:rPr>
            </w:pPr>
            <w:r>
              <w:rPr>
                <w:rFonts w:ascii="Arial" w:cs="Arial" w:eastAsia="Arial" w:hAnsi="Arial"/>
                <w:sz w:val="17"/>
                <w:szCs w:val="17"/>
                <w:color w:val="auto"/>
              </w:rPr>
              <w:t>Paul R. Saueracker</w:t>
            </w:r>
          </w:p>
        </w:tc>
        <w:tc>
          <w:tcPr>
            <w:tcW w:w="280" w:type="dxa"/>
            <w:vAlign w:val="bottom"/>
          </w:tcPr>
          <w:p>
            <w:pPr>
              <w:spacing w:after="0"/>
              <w:rPr>
                <w:sz w:val="20"/>
                <w:szCs w:val="20"/>
                <w:color w:val="auto"/>
              </w:rPr>
            </w:pPr>
            <w:r>
              <w:rPr>
                <w:rFonts w:ascii="Arial" w:cs="Arial" w:eastAsia="Arial" w:hAnsi="Arial"/>
                <w:sz w:val="17"/>
                <w:szCs w:val="17"/>
                <w:color w:val="auto"/>
              </w:rPr>
              <w:t>58</w:t>
            </w:r>
          </w:p>
        </w:tc>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Chief Executive Officer of the Company</w:t>
            </w:r>
          </w:p>
        </w:tc>
      </w:tr>
      <w:tr>
        <w:trPr>
          <w:trHeight w:val="340"/>
        </w:trPr>
        <w:tc>
          <w:tcPr>
            <w:tcW w:w="2760" w:type="dxa"/>
            <w:vAlign w:val="bottom"/>
            <w:gridSpan w:val="2"/>
          </w:tcPr>
          <w:p>
            <w:pPr>
              <w:spacing w:after="0"/>
              <w:rPr>
                <w:sz w:val="20"/>
                <w:szCs w:val="20"/>
                <w:color w:val="auto"/>
              </w:rPr>
            </w:pPr>
            <w:r>
              <w:rPr>
                <w:rFonts w:ascii="Arial" w:cs="Arial" w:eastAsia="Arial" w:hAnsi="Arial"/>
                <w:sz w:val="17"/>
                <w:szCs w:val="17"/>
                <w:color w:val="auto"/>
              </w:rPr>
              <w:t>Anton Dulski</w:t>
            </w:r>
          </w:p>
        </w:tc>
        <w:tc>
          <w:tcPr>
            <w:tcW w:w="280" w:type="dxa"/>
            <w:vAlign w:val="bottom"/>
          </w:tcPr>
          <w:p>
            <w:pPr>
              <w:spacing w:after="0"/>
              <w:rPr>
                <w:sz w:val="20"/>
                <w:szCs w:val="20"/>
                <w:color w:val="auto"/>
              </w:rPr>
            </w:pPr>
            <w:r>
              <w:rPr>
                <w:rFonts w:ascii="Arial" w:cs="Arial" w:eastAsia="Arial" w:hAnsi="Arial"/>
                <w:sz w:val="17"/>
                <w:szCs w:val="17"/>
                <w:color w:val="auto"/>
              </w:rPr>
              <w:t>59</w:t>
            </w:r>
          </w:p>
        </w:tc>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Chief Operating Officer of the Company</w:t>
            </w:r>
          </w:p>
        </w:tc>
      </w:tr>
      <w:tr>
        <w:trPr>
          <w:trHeight w:val="340"/>
        </w:trPr>
        <w:tc>
          <w:tcPr>
            <w:tcW w:w="2760" w:type="dxa"/>
            <w:vAlign w:val="bottom"/>
            <w:gridSpan w:val="2"/>
          </w:tcPr>
          <w:p>
            <w:pPr>
              <w:spacing w:after="0"/>
              <w:rPr>
                <w:sz w:val="20"/>
                <w:szCs w:val="20"/>
                <w:color w:val="auto"/>
              </w:rPr>
            </w:pPr>
            <w:r>
              <w:rPr>
                <w:rFonts w:ascii="Arial" w:cs="Arial" w:eastAsia="Arial" w:hAnsi="Arial"/>
                <w:sz w:val="17"/>
                <w:szCs w:val="17"/>
                <w:color w:val="auto"/>
              </w:rPr>
              <w:t>Neil M. Bardach</w:t>
            </w:r>
          </w:p>
        </w:tc>
        <w:tc>
          <w:tcPr>
            <w:tcW w:w="280" w:type="dxa"/>
            <w:vAlign w:val="bottom"/>
          </w:tcPr>
          <w:p>
            <w:pPr>
              <w:spacing w:after="0"/>
              <w:rPr>
                <w:sz w:val="20"/>
                <w:szCs w:val="20"/>
                <w:color w:val="auto"/>
              </w:rPr>
            </w:pPr>
            <w:r>
              <w:rPr>
                <w:rFonts w:ascii="Arial" w:cs="Arial" w:eastAsia="Arial" w:hAnsi="Arial"/>
                <w:sz w:val="17"/>
                <w:szCs w:val="17"/>
                <w:color w:val="auto"/>
              </w:rPr>
              <w:t>52</w:t>
            </w:r>
          </w:p>
        </w:tc>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w w:val="90"/>
              </w:rPr>
              <w:t>Vice President, Finance and Chief Financial Officer; Treasurer</w:t>
            </w:r>
          </w:p>
        </w:tc>
      </w:tr>
    </w:tbl>
    <w:p>
      <w:pPr>
        <w:sectPr>
          <w:pgSz w:w="11900" w:h="16876" w:orient="portrait"/>
          <w:cols w:equalWidth="0" w:num="1">
            <w:col w:w="11420"/>
          </w:cols>
          <w:pgMar w:left="240" w:top="127" w:right="239" w:bottom="0" w:gutter="0" w:footer="0" w:header="0"/>
        </w:sectPr>
      </w:pPr>
    </w:p>
    <w:bookmarkStart w:id="17" w:name="page18"/>
    <w:bookmarkEnd w:id="17"/>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7"/>
                <w:szCs w:val="17"/>
                <w:color w:val="auto"/>
              </w:rPr>
              <w:t>Howard R. Crabtree</w:t>
            </w: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56</w:t>
            </w:r>
          </w:p>
        </w:tc>
        <w:tc>
          <w:tcPr>
            <w:tcW w:w="3700" w:type="dxa"/>
            <w:vAlign w:val="bottom"/>
          </w:tcPr>
          <w:p>
            <w:pPr>
              <w:ind w:left="280"/>
              <w:spacing w:after="0"/>
              <w:rPr>
                <w:sz w:val="20"/>
                <w:szCs w:val="20"/>
                <w:color w:val="auto"/>
              </w:rPr>
            </w:pPr>
            <w:r>
              <w:rPr>
                <w:rFonts w:ascii="Arial" w:cs="Arial" w:eastAsia="Arial" w:hAnsi="Arial"/>
                <w:sz w:val="17"/>
                <w:szCs w:val="17"/>
                <w:color w:val="auto"/>
                <w:w w:val="90"/>
              </w:rPr>
              <w:t>Vice President, Organization &amp; Human Resources</w:t>
            </w:r>
          </w:p>
        </w:tc>
      </w:tr>
      <w:tr>
        <w:trPr>
          <w:trHeight w:val="340"/>
        </w:trPr>
        <w:tc>
          <w:tcPr>
            <w:tcW w:w="2120" w:type="dxa"/>
            <w:vAlign w:val="bottom"/>
          </w:tcPr>
          <w:p>
            <w:pPr>
              <w:spacing w:after="0"/>
              <w:rPr>
                <w:sz w:val="20"/>
                <w:szCs w:val="20"/>
                <w:color w:val="auto"/>
              </w:rPr>
            </w:pPr>
            <w:r>
              <w:rPr>
                <w:rFonts w:ascii="Arial" w:cs="Arial" w:eastAsia="Arial" w:hAnsi="Arial"/>
                <w:sz w:val="17"/>
                <w:szCs w:val="17"/>
                <w:color w:val="auto"/>
              </w:rPr>
              <w:t>Michael A. Cipolla</w:t>
            </w: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43</w:t>
            </w:r>
          </w:p>
        </w:tc>
        <w:tc>
          <w:tcPr>
            <w:tcW w:w="3700" w:type="dxa"/>
            <w:vAlign w:val="bottom"/>
          </w:tcPr>
          <w:p>
            <w:pPr>
              <w:ind w:left="280"/>
              <w:spacing w:after="0"/>
              <w:rPr>
                <w:sz w:val="20"/>
                <w:szCs w:val="20"/>
                <w:color w:val="auto"/>
              </w:rPr>
            </w:pPr>
            <w:r>
              <w:rPr>
                <w:rFonts w:ascii="Arial" w:cs="Arial" w:eastAsia="Arial" w:hAnsi="Arial"/>
                <w:sz w:val="17"/>
                <w:szCs w:val="17"/>
                <w:color w:val="auto"/>
              </w:rPr>
              <w:t>Controller and Chief Accounting Officer</w:t>
            </w:r>
          </w:p>
        </w:tc>
      </w:tr>
      <w:tr>
        <w:trPr>
          <w:trHeight w:val="340"/>
        </w:trPr>
        <w:tc>
          <w:tcPr>
            <w:tcW w:w="2120" w:type="dxa"/>
            <w:vAlign w:val="bottom"/>
          </w:tcPr>
          <w:p>
            <w:pPr>
              <w:spacing w:after="0"/>
              <w:rPr>
                <w:sz w:val="20"/>
                <w:szCs w:val="20"/>
                <w:color w:val="auto"/>
              </w:rPr>
            </w:pPr>
            <w:r>
              <w:rPr>
                <w:rFonts w:ascii="Arial" w:cs="Arial" w:eastAsia="Arial" w:hAnsi="Arial"/>
                <w:sz w:val="17"/>
                <w:szCs w:val="17"/>
                <w:color w:val="auto"/>
              </w:rPr>
              <w:t>S. Garrett Gray</w:t>
            </w: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62</w:t>
            </w:r>
          </w:p>
        </w:tc>
        <w:tc>
          <w:tcPr>
            <w:tcW w:w="3700" w:type="dxa"/>
            <w:vAlign w:val="bottom"/>
          </w:tcPr>
          <w:p>
            <w:pPr>
              <w:ind w:left="280"/>
              <w:spacing w:after="0"/>
              <w:rPr>
                <w:sz w:val="20"/>
                <w:szCs w:val="20"/>
                <w:color w:val="auto"/>
              </w:rPr>
            </w:pPr>
            <w:r>
              <w:rPr>
                <w:rFonts w:ascii="Arial" w:cs="Arial" w:eastAsia="Arial" w:hAnsi="Arial"/>
                <w:sz w:val="17"/>
                <w:szCs w:val="17"/>
                <w:color w:val="auto"/>
                <w:w w:val="95"/>
              </w:rPr>
              <w:t>Vice President, General Counsel and Secretary</w:t>
            </w:r>
          </w:p>
        </w:tc>
      </w:tr>
      <w:tr>
        <w:trPr>
          <w:trHeight w:val="340"/>
        </w:trPr>
        <w:tc>
          <w:tcPr>
            <w:tcW w:w="2120" w:type="dxa"/>
            <w:vAlign w:val="bottom"/>
          </w:tcPr>
          <w:p>
            <w:pPr>
              <w:spacing w:after="0"/>
              <w:rPr>
                <w:sz w:val="20"/>
                <w:szCs w:val="20"/>
                <w:color w:val="auto"/>
              </w:rPr>
            </w:pPr>
            <w:r>
              <w:rPr>
                <w:rFonts w:ascii="Arial" w:cs="Arial" w:eastAsia="Arial" w:hAnsi="Arial"/>
                <w:sz w:val="17"/>
                <w:szCs w:val="17"/>
                <w:color w:val="auto"/>
              </w:rPr>
              <w:t>William A. Kromberg</w:t>
            </w: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55</w:t>
            </w:r>
          </w:p>
        </w:tc>
        <w:tc>
          <w:tcPr>
            <w:tcW w:w="3700" w:type="dxa"/>
            <w:vAlign w:val="bottom"/>
          </w:tcPr>
          <w:p>
            <w:pPr>
              <w:ind w:left="280"/>
              <w:spacing w:after="0"/>
              <w:rPr>
                <w:sz w:val="20"/>
                <w:szCs w:val="20"/>
                <w:color w:val="auto"/>
              </w:rPr>
            </w:pPr>
            <w:r>
              <w:rPr>
                <w:rFonts w:ascii="Arial" w:cs="Arial" w:eastAsia="Arial" w:hAnsi="Arial"/>
                <w:sz w:val="17"/>
                <w:szCs w:val="17"/>
                <w:color w:val="auto"/>
              </w:rPr>
              <w:t>Vice President, Taxes</w:t>
            </w:r>
          </w:p>
        </w:tc>
      </w:tr>
    </w:tbl>
    <w:p>
      <w:pPr>
        <w:spacing w:after="0" w:line="230" w:lineRule="exact"/>
        <w:rPr>
          <w:sz w:val="20"/>
          <w:szCs w:val="20"/>
          <w:color w:val="auto"/>
        </w:rPr>
      </w:pPr>
    </w:p>
    <w:p>
      <w:pPr>
        <w:ind w:right="40" w:firstLine="213"/>
        <w:spacing w:after="0" w:line="263" w:lineRule="auto"/>
        <w:rPr>
          <w:sz w:val="20"/>
          <w:szCs w:val="20"/>
          <w:color w:val="auto"/>
        </w:rPr>
      </w:pPr>
      <w:r>
        <w:rPr>
          <w:rFonts w:ascii="Arial" w:cs="Arial" w:eastAsia="Arial" w:hAnsi="Arial"/>
          <w:sz w:val="17"/>
          <w:szCs w:val="17"/>
          <w:color w:val="auto"/>
        </w:rPr>
        <w:t>Paul R. Saueracker was elected Chief Executive Officer on December 31, 2000; prior to that he was a President of the Company since August 2000, Senior Vice President from 1999 to 2000, and Vice President of the Company from 1994 to 1999. He has served as President of Specialty Minerals Inc. since 1994. Mr. Saueracker is a former President of the Pulverized Minerals Division of the National Stone Association and a member of the Technical Association of the Pulp and Paper Industry and the Paper Industry Management Association. He is also a member of the board of trustees of the Institute of Paper Science and Technology located in Atlanta, Georgia.</w:t>
      </w:r>
    </w:p>
    <w:p>
      <w:pPr>
        <w:spacing w:after="0" w:line="147" w:lineRule="exact"/>
        <w:rPr>
          <w:sz w:val="20"/>
          <w:szCs w:val="20"/>
          <w:color w:val="auto"/>
        </w:rPr>
      </w:pPr>
    </w:p>
    <w:p>
      <w:pPr>
        <w:ind w:firstLine="203"/>
        <w:spacing w:after="0" w:line="269" w:lineRule="auto"/>
        <w:rPr>
          <w:sz w:val="20"/>
          <w:szCs w:val="20"/>
          <w:color w:val="auto"/>
        </w:rPr>
      </w:pPr>
      <w:r>
        <w:rPr>
          <w:rFonts w:ascii="Arial" w:cs="Arial" w:eastAsia="Arial" w:hAnsi="Arial"/>
          <w:sz w:val="17"/>
          <w:szCs w:val="17"/>
          <w:color w:val="auto"/>
        </w:rPr>
        <w:t>Anton Dulski was elected Chief Operating Officer of the Company in October 2000; prior to that he was appointed a Senior Vice President of the Company in 1999; and was a Vice President of the Company since 1996. He has also served as President of Minteq International Inc. since 1996. From 1993 to 1995 he was Senior Vice President of Minteq with responsibility for European operations.</w:t>
      </w:r>
    </w:p>
    <w:p>
      <w:pPr>
        <w:spacing w:after="0" w:line="141" w:lineRule="exact"/>
        <w:rPr>
          <w:sz w:val="20"/>
          <w:szCs w:val="20"/>
          <w:color w:val="auto"/>
        </w:rPr>
      </w:pPr>
    </w:p>
    <w:p>
      <w:pPr>
        <w:ind w:right="100" w:firstLine="213"/>
        <w:spacing w:after="0" w:line="282" w:lineRule="auto"/>
        <w:rPr>
          <w:sz w:val="20"/>
          <w:szCs w:val="20"/>
          <w:color w:val="auto"/>
        </w:rPr>
      </w:pPr>
      <w:r>
        <w:rPr>
          <w:rFonts w:ascii="Arial" w:cs="Arial" w:eastAsia="Arial" w:hAnsi="Arial"/>
          <w:sz w:val="17"/>
          <w:szCs w:val="17"/>
          <w:color w:val="auto"/>
        </w:rPr>
        <w:t>Neil M. Bardach has served as Vice President-Finance and Chief Financial Officer of the Company since 1998. From 1994 to 1998, he was Chief Financial Officer of The Genlyte Group Incorporated, a publicly traded manufacturer of lighting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-177800</wp:posOffset>
            </wp:positionV>
            <wp:extent cx="27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10" w:lineRule="exact"/>
        <w:rPr>
          <w:sz w:val="20"/>
          <w:szCs w:val="20"/>
          <w:color w:val="auto"/>
        </w:rPr>
      </w:pPr>
    </w:p>
    <w:p>
      <w:pPr>
        <w:ind w:right="120" w:firstLine="213"/>
        <w:spacing w:after="0" w:line="282" w:lineRule="auto"/>
        <w:rPr>
          <w:sz w:val="20"/>
          <w:szCs w:val="20"/>
          <w:color w:val="auto"/>
        </w:rPr>
      </w:pPr>
      <w:r>
        <w:rPr>
          <w:rFonts w:ascii="Arial" w:cs="Arial" w:eastAsia="Arial" w:hAnsi="Arial"/>
          <w:sz w:val="17"/>
          <w:szCs w:val="17"/>
          <w:color w:val="auto"/>
        </w:rPr>
        <w:t>Howard R. Crabtree was appointed Vice President-Organization &amp; Human Resources of the Company in 1997, having served as Vice President-Human Resources since 1992.</w:t>
      </w:r>
    </w:p>
    <w:p>
      <w:pPr>
        <w:spacing w:after="0" w:line="130" w:lineRule="exact"/>
        <w:rPr>
          <w:sz w:val="20"/>
          <w:szCs w:val="20"/>
          <w:color w:val="auto"/>
        </w:rPr>
      </w:pPr>
    </w:p>
    <w:p>
      <w:pPr>
        <w:ind w:right="560" w:firstLine="213"/>
        <w:spacing w:after="0" w:line="282" w:lineRule="auto"/>
        <w:rPr>
          <w:sz w:val="20"/>
          <w:szCs w:val="20"/>
          <w:color w:val="auto"/>
        </w:rPr>
      </w:pPr>
      <w:r>
        <w:rPr>
          <w:rFonts w:ascii="Arial" w:cs="Arial" w:eastAsia="Arial" w:hAnsi="Arial"/>
          <w:sz w:val="17"/>
          <w:szCs w:val="17"/>
          <w:color w:val="auto"/>
        </w:rPr>
        <w:t>Michael A. Cipolla has served as Controller and Chief Accounting Officer of the Company since 1998. From 1992 to 1998 he served as Assistant Corporate Controller.</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S. Garrett Gray has served as Vice President and Secretary of the Company since 1989. In 1992, Mr. Gray was appointed General Counsel of 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William A. Kromberg has served as Vice President-Taxes of the Company since 1993.</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information concerning the Company's Board of Directors required by this Item is incorporated herein by reference to the Company's Proxy Statement.</w:t>
      </w:r>
    </w:p>
    <w:p>
      <w:pPr>
        <w:spacing w:after="0" w:line="196" w:lineRule="exact"/>
        <w:rPr>
          <w:sz w:val="20"/>
          <w:szCs w:val="20"/>
          <w:color w:val="auto"/>
        </w:rPr>
      </w:pPr>
    </w:p>
    <w:p>
      <w:pPr>
        <w:ind w:right="240" w:firstLine="210"/>
        <w:spacing w:after="0" w:line="282" w:lineRule="auto"/>
        <w:rPr>
          <w:sz w:val="20"/>
          <w:szCs w:val="20"/>
          <w:color w:val="auto"/>
        </w:rPr>
      </w:pPr>
      <w:r>
        <w:rPr>
          <w:rFonts w:ascii="Arial" w:cs="Arial" w:eastAsia="Arial" w:hAnsi="Arial"/>
          <w:sz w:val="17"/>
          <w:szCs w:val="17"/>
          <w:color w:val="auto"/>
        </w:rPr>
        <w:t>The information regarding compliance with Section 16(a) of the Securities Exchange Act of 1934 required by this Item is incorporated herein by reference to the Company's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88" w:lineRule="exact"/>
        <w:rPr>
          <w:sz w:val="20"/>
          <w:szCs w:val="20"/>
          <w:color w:val="auto"/>
        </w:rPr>
      </w:pPr>
    </w:p>
    <w:p>
      <w:pPr>
        <w:jc w:val="both"/>
        <w:ind w:right="520" w:firstLine="210"/>
        <w:spacing w:after="0" w:line="351" w:lineRule="auto"/>
        <w:rPr>
          <w:sz w:val="20"/>
          <w:szCs w:val="20"/>
          <w:color w:val="auto"/>
        </w:rPr>
      </w:pPr>
      <w:r>
        <w:rPr>
          <w:rFonts w:ascii="Arial" w:cs="Arial" w:eastAsia="Arial" w:hAnsi="Arial"/>
          <w:sz w:val="15"/>
          <w:szCs w:val="15"/>
          <w:color w:val="auto"/>
        </w:rPr>
        <w:t>The information appearing in the Company's Proxy Statement under the caption "Compensation of Executive Officers," excluding the information under the captions "Performance Graph" and "Report of the Compensation and Nominating Committee on Executive Compensation," is incorporated herein by reference.</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w:t>
      </w:r>
    </w:p>
    <w:p>
      <w:pPr>
        <w:spacing w:after="0" w:line="188" w:lineRule="exact"/>
        <w:rPr>
          <w:sz w:val="20"/>
          <w:szCs w:val="20"/>
          <w:color w:val="auto"/>
        </w:rPr>
      </w:pPr>
    </w:p>
    <w:p>
      <w:pPr>
        <w:ind w:right="740" w:firstLine="210"/>
        <w:spacing w:after="0" w:line="282" w:lineRule="auto"/>
        <w:rPr>
          <w:sz w:val="20"/>
          <w:szCs w:val="20"/>
          <w:color w:val="auto"/>
        </w:rPr>
      </w:pPr>
      <w:r>
        <w:rPr>
          <w:rFonts w:ascii="Arial" w:cs="Arial" w:eastAsia="Arial" w:hAnsi="Arial"/>
          <w:sz w:val="17"/>
          <w:szCs w:val="17"/>
          <w:color w:val="auto"/>
        </w:rPr>
        <w:t>The information appearing under the caption "Security Ownership of Certain Beneficial Owners and Management as of February 1, 2001" set forth in the Company's Proxy Statement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w:t>
      </w:r>
    </w:p>
    <w:p>
      <w:pPr>
        <w:spacing w:after="0" w:line="188" w:lineRule="exact"/>
        <w:rPr>
          <w:sz w:val="20"/>
          <w:szCs w:val="20"/>
          <w:color w:val="auto"/>
        </w:rPr>
      </w:pPr>
    </w:p>
    <w:p>
      <w:pPr>
        <w:ind w:firstLine="210"/>
        <w:spacing w:after="0" w:line="282" w:lineRule="auto"/>
        <w:rPr>
          <w:sz w:val="20"/>
          <w:szCs w:val="20"/>
          <w:color w:val="auto"/>
        </w:rPr>
      </w:pPr>
      <w:r>
        <w:rPr>
          <w:rFonts w:ascii="Arial" w:cs="Arial" w:eastAsia="Arial" w:hAnsi="Arial"/>
          <w:sz w:val="17"/>
          <w:szCs w:val="17"/>
          <w:color w:val="auto"/>
        </w:rPr>
        <w:t>The information appearing under the caption "Certain Relationships and Related Transactions" set forth in the Company's Proxy Statement is incorporated herein by reference.</w:t>
      </w:r>
    </w:p>
    <w:p>
      <w:pPr>
        <w:spacing w:after="0" w:line="130" w:lineRule="exact"/>
        <w:rPr>
          <w:sz w:val="20"/>
          <w:szCs w:val="20"/>
          <w:color w:val="auto"/>
        </w:rPr>
      </w:pPr>
    </w:p>
    <w:p>
      <w:pPr>
        <w:ind w:right="160" w:firstLine="213"/>
        <w:spacing w:after="0" w:line="287" w:lineRule="auto"/>
        <w:rPr>
          <w:sz w:val="20"/>
          <w:szCs w:val="20"/>
          <w:color w:val="auto"/>
        </w:rPr>
      </w:pPr>
      <w:r>
        <w:rPr>
          <w:rFonts w:ascii="Arial" w:cs="Arial" w:eastAsia="Arial" w:hAnsi="Arial"/>
          <w:sz w:val="16"/>
          <w:szCs w:val="16"/>
          <w:color w:val="auto"/>
        </w:rPr>
        <w:t>Under the terms of certain agreements entered into in connection with the Company's initial public offering in 1992, Pfizer Inc ("Pfizer") and its wholly-owned subsidiary Quigley Company, Inc. ("Quigley") agreed to indemnify the Company against certain liabilities being retained by Pfizer and its subsidiaries including, but not limited to, pending lawsuits and claims, and any lawsuits or claims brought at any time in the future alleging damages or injury from the use, handling of or exposure to any product sold by Pfizer's specialty minerals business prior to the closing of the initial public offering.</w:t>
      </w:r>
    </w:p>
    <w:p>
      <w:pPr>
        <w:spacing w:after="0" w:line="128" w:lineRule="exact"/>
        <w:rPr>
          <w:sz w:val="20"/>
          <w:szCs w:val="20"/>
          <w:color w:val="auto"/>
        </w:rPr>
      </w:pPr>
    </w:p>
    <w:p>
      <w:pPr>
        <w:ind w:right="60" w:firstLine="213"/>
        <w:spacing w:after="0" w:line="283" w:lineRule="auto"/>
        <w:rPr>
          <w:sz w:val="20"/>
          <w:szCs w:val="20"/>
          <w:color w:val="auto"/>
        </w:rPr>
      </w:pPr>
      <w:r>
        <w:rPr>
          <w:rFonts w:ascii="Arial" w:cs="Arial" w:eastAsia="Arial" w:hAnsi="Arial"/>
          <w:sz w:val="16"/>
          <w:szCs w:val="16"/>
          <w:color w:val="auto"/>
        </w:rPr>
        <w:t>Pfizer and Quigley also agreed to indemnify the Company against any liability arising from on-site remedial waste site claims and for other claims that may be made in the future with respect to waste disposed of prior to the closing of the initial public offering. Further, Pfizer and Quigley agreed to indemnify the Company for 50% of the liabilities in excess of $1 million up to $10 million that may arise or accrue within ten years after the closing of the initial public offering with respect to remediation of on-site conditions existing at the time of the closing of the initial public offering. The Company will be responsible for the first $1 million of such liabilities, 50% of all such liabilities in excess of $1 million up to $10 million, and all such liabilities in excess of $10 million.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Exhibits, Financial Statement Schedule and Reports on Form 8-K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 The following documents are filed as part of this Report:</w:t>
      </w:r>
    </w:p>
    <w:p>
      <w:pPr>
        <w:spacing w:after="0" w:line="184" w:lineRule="exact"/>
        <w:rPr>
          <w:sz w:val="20"/>
          <w:szCs w:val="20"/>
          <w:color w:val="auto"/>
        </w:rPr>
      </w:pPr>
    </w:p>
    <w:p>
      <w:pPr>
        <w:ind w:right="160" w:firstLine="5"/>
        <w:spacing w:after="0" w:line="282" w:lineRule="auto"/>
        <w:tabs>
          <w:tab w:leader="none" w:pos="17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Financial Statements. The following Consolidated Financial Statements of Minerals Technologies Inc. and Independent Auditors' Report are set forth on pages F-2 to F-21.</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Consolidated Balance Sheet as of December 31, 2000 and 1999</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Consolidated Statement of Income for the years ended December 31, 2000, 1999 and 1998</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Consolidated Statement of Cash Flows for the years ended December 31, 2000, 1999 and 1998</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Consolidated Statement of Shareholders' Equity for the years ended December 31, 2000,</w:t>
      </w:r>
    </w:p>
    <w:p>
      <w:pPr>
        <w:sectPr>
          <w:pgSz w:w="11900" w:h="16838" w:orient="portrait"/>
          <w:cols w:equalWidth="0" w:num="1">
            <w:col w:w="11420"/>
          </w:cols>
          <w:pgMar w:left="240" w:top="223" w:right="239" w:bottom="0" w:gutter="0" w:footer="0" w:header="0"/>
        </w:sectPr>
      </w:pPr>
    </w:p>
    <w:bookmarkStart w:id="18" w:name="page19"/>
    <w:bookmarkEnd w:id="18"/>
    <w:p>
      <w:pPr>
        <w:ind w:left="520"/>
        <w:spacing w:after="0"/>
        <w:rPr>
          <w:sz w:val="20"/>
          <w:szCs w:val="20"/>
          <w:color w:val="auto"/>
        </w:rPr>
      </w:pPr>
      <w:r>
        <w:rPr>
          <w:rFonts w:ascii="Arial" w:cs="Arial" w:eastAsia="Arial" w:hAnsi="Arial"/>
          <w:sz w:val="17"/>
          <w:szCs w:val="17"/>
          <w:color w:val="auto"/>
        </w:rPr>
        <w:t>1999 and 1998</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Notes to the Consolidated Financial Statements</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Independent Auditors' Report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20"/>
                <w:szCs w:val="20"/>
                <w:color w:val="auto"/>
              </w:rPr>
            </w:pPr>
            <w:r>
              <w:rPr>
                <w:rFonts w:ascii="Arial" w:cs="Arial" w:eastAsia="Arial" w:hAnsi="Arial"/>
                <w:sz w:val="17"/>
                <w:szCs w:val="17"/>
                <w:color w:val="auto"/>
              </w:rPr>
              <w:t>2. Financial Statement Schedule. The following financial statement schedule is filed as part of this Report:</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43"/>
        </w:trPr>
        <w:tc>
          <w:tcPr>
            <w:tcW w:w="854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Page</w:t>
            </w:r>
          </w:p>
        </w:tc>
      </w:tr>
      <w:tr>
        <w:trPr>
          <w:trHeight w:val="253"/>
        </w:trPr>
        <w:tc>
          <w:tcPr>
            <w:tcW w:w="8540" w:type="dxa"/>
            <w:vAlign w:val="bottom"/>
          </w:tcPr>
          <w:p>
            <w:pPr>
              <w:ind w:left="1820"/>
              <w:spacing w:after="0"/>
              <w:rPr>
                <w:sz w:val="20"/>
                <w:szCs w:val="20"/>
                <w:color w:val="auto"/>
              </w:rPr>
            </w:pPr>
            <w:r>
              <w:rPr>
                <w:rFonts w:ascii="Arial" w:cs="Arial" w:eastAsia="Arial" w:hAnsi="Arial"/>
                <w:sz w:val="17"/>
                <w:szCs w:val="17"/>
                <w:color w:val="auto"/>
              </w:rPr>
              <w:t>Schedule II -Valuation and Qualifying Accounts</w:t>
            </w:r>
          </w:p>
        </w:tc>
        <w:tc>
          <w:tcPr>
            <w:tcW w:w="1280" w:type="dxa"/>
            <w:vAlign w:val="bottom"/>
          </w:tcPr>
          <w:p>
            <w:pPr>
              <w:spacing w:after="0"/>
              <w:rPr>
                <w:sz w:val="21"/>
                <w:szCs w:val="2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S-1</w:t>
            </w:r>
          </w:p>
        </w:tc>
      </w:tr>
    </w:tbl>
    <w:p>
      <w:pPr>
        <w:spacing w:after="0" w:line="164" w:lineRule="exact"/>
        <w:rPr>
          <w:sz w:val="20"/>
          <w:szCs w:val="20"/>
          <w:color w:val="auto"/>
        </w:rPr>
      </w:pPr>
    </w:p>
    <w:p>
      <w:pPr>
        <w:ind w:right="340" w:firstLine="203"/>
        <w:spacing w:after="0" w:line="282" w:lineRule="auto"/>
        <w:rPr>
          <w:sz w:val="20"/>
          <w:szCs w:val="20"/>
          <w:color w:val="auto"/>
        </w:rPr>
      </w:pPr>
      <w:r>
        <w:rPr>
          <w:rFonts w:ascii="Arial" w:cs="Arial" w:eastAsia="Arial" w:hAnsi="Arial"/>
          <w:sz w:val="17"/>
          <w:szCs w:val="17"/>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3. Exhibits. The following exhibits are filed as part of or incorporated by reference into this Report.</w:t>
      </w:r>
    </w:p>
    <w:p>
      <w:pPr>
        <w:spacing w:after="0" w:line="184"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760" w:type="dxa"/>
            <w:vAlign w:val="bottom"/>
          </w:tcPr>
          <w:p>
            <w:pPr>
              <w:jc w:val="right"/>
              <w:ind w:right="455"/>
              <w:spacing w:after="0"/>
              <w:rPr>
                <w:sz w:val="20"/>
                <w:szCs w:val="20"/>
                <w:color w:val="auto"/>
              </w:rPr>
            </w:pPr>
            <w:r>
              <w:rPr>
                <w:rFonts w:ascii="Arial" w:cs="Arial" w:eastAsia="Arial" w:hAnsi="Arial"/>
                <w:sz w:val="17"/>
                <w:szCs w:val="17"/>
                <w:color w:val="auto"/>
                <w:w w:val="84"/>
              </w:rPr>
              <w:t>3.1</w:t>
            </w:r>
          </w:p>
        </w:tc>
        <w:tc>
          <w:tcPr>
            <w:tcW w:w="10120" w:type="dxa"/>
            <w:vAlign w:val="bottom"/>
          </w:tcPr>
          <w:p>
            <w:pPr>
              <w:ind w:left="560"/>
              <w:spacing w:after="0"/>
              <w:rPr>
                <w:sz w:val="20"/>
                <w:szCs w:val="20"/>
                <w:color w:val="auto"/>
              </w:rPr>
            </w:pPr>
            <w:r>
              <w:rPr>
                <w:rFonts w:ascii="Arial" w:cs="Arial" w:eastAsia="Arial" w:hAnsi="Arial"/>
                <w:sz w:val="17"/>
                <w:szCs w:val="17"/>
                <w:color w:val="auto"/>
              </w:rPr>
              <w:t>- Restated Certificate of Incorporation of the Company (1)</w:t>
            </w:r>
          </w:p>
        </w:tc>
      </w:tr>
      <w:tr>
        <w:trPr>
          <w:trHeight w:val="210"/>
        </w:trPr>
        <w:tc>
          <w:tcPr>
            <w:tcW w:w="760" w:type="dxa"/>
            <w:vAlign w:val="bottom"/>
          </w:tcPr>
          <w:p>
            <w:pPr>
              <w:jc w:val="right"/>
              <w:ind w:right="455"/>
              <w:spacing w:after="0"/>
              <w:rPr>
                <w:sz w:val="20"/>
                <w:szCs w:val="20"/>
                <w:color w:val="auto"/>
              </w:rPr>
            </w:pPr>
            <w:r>
              <w:rPr>
                <w:rFonts w:ascii="Arial" w:cs="Arial" w:eastAsia="Arial" w:hAnsi="Arial"/>
                <w:sz w:val="17"/>
                <w:szCs w:val="17"/>
                <w:color w:val="auto"/>
                <w:w w:val="84"/>
              </w:rPr>
              <w:t>3.2</w:t>
            </w:r>
          </w:p>
        </w:tc>
        <w:tc>
          <w:tcPr>
            <w:tcW w:w="10120" w:type="dxa"/>
            <w:vAlign w:val="bottom"/>
          </w:tcPr>
          <w:p>
            <w:pPr>
              <w:ind w:left="560"/>
              <w:spacing w:after="0"/>
              <w:rPr>
                <w:sz w:val="20"/>
                <w:szCs w:val="20"/>
                <w:color w:val="auto"/>
              </w:rPr>
            </w:pPr>
            <w:r>
              <w:rPr>
                <w:rFonts w:ascii="Arial" w:cs="Arial" w:eastAsia="Arial" w:hAnsi="Arial"/>
                <w:sz w:val="17"/>
                <w:szCs w:val="17"/>
                <w:color w:val="auto"/>
              </w:rPr>
              <w:t>- Restated By-Laws of the Company (12)</w:t>
            </w:r>
          </w:p>
        </w:tc>
      </w:tr>
      <w:tr>
        <w:trPr>
          <w:trHeight w:val="210"/>
        </w:trPr>
        <w:tc>
          <w:tcPr>
            <w:tcW w:w="760" w:type="dxa"/>
            <w:vAlign w:val="bottom"/>
          </w:tcPr>
          <w:p>
            <w:pPr>
              <w:jc w:val="right"/>
              <w:ind w:right="455"/>
              <w:spacing w:after="0"/>
              <w:rPr>
                <w:sz w:val="20"/>
                <w:szCs w:val="20"/>
                <w:color w:val="auto"/>
              </w:rPr>
            </w:pPr>
            <w:r>
              <w:rPr>
                <w:rFonts w:ascii="Arial" w:cs="Arial" w:eastAsia="Arial" w:hAnsi="Arial"/>
                <w:sz w:val="17"/>
                <w:szCs w:val="17"/>
                <w:color w:val="auto"/>
                <w:w w:val="84"/>
              </w:rPr>
              <w:t>3.3</w:t>
            </w:r>
          </w:p>
        </w:tc>
        <w:tc>
          <w:tcPr>
            <w:tcW w:w="10120" w:type="dxa"/>
            <w:vAlign w:val="bottom"/>
          </w:tcPr>
          <w:p>
            <w:pPr>
              <w:ind w:left="560"/>
              <w:spacing w:after="0"/>
              <w:rPr>
                <w:sz w:val="20"/>
                <w:szCs w:val="20"/>
                <w:color w:val="auto"/>
              </w:rPr>
            </w:pPr>
            <w:r>
              <w:rPr>
                <w:rFonts w:ascii="Arial" w:cs="Arial" w:eastAsia="Arial" w:hAnsi="Arial"/>
                <w:sz w:val="17"/>
                <w:szCs w:val="17"/>
                <w:color w:val="auto"/>
                <w:w w:val="90"/>
              </w:rPr>
              <w:t>- Certificate of Designations authorizing issuance and establishing designations, preferences and rights of Series A Junior Preferred Stock of</w:t>
            </w:r>
          </w:p>
        </w:tc>
      </w:tr>
      <w:tr>
        <w:trPr>
          <w:trHeight w:val="216"/>
        </w:trPr>
        <w:tc>
          <w:tcPr>
            <w:tcW w:w="760" w:type="dxa"/>
            <w:vAlign w:val="bottom"/>
          </w:tcPr>
          <w:p>
            <w:pPr>
              <w:spacing w:after="0"/>
              <w:rPr>
                <w:sz w:val="18"/>
                <w:szCs w:val="18"/>
                <w:color w:val="auto"/>
              </w:rPr>
            </w:pPr>
          </w:p>
        </w:tc>
        <w:tc>
          <w:tcPr>
            <w:tcW w:w="10120" w:type="dxa"/>
            <w:vAlign w:val="bottom"/>
          </w:tcPr>
          <w:p>
            <w:pPr>
              <w:ind w:left="560"/>
              <w:spacing w:after="0"/>
              <w:rPr>
                <w:sz w:val="20"/>
                <w:szCs w:val="20"/>
                <w:color w:val="auto"/>
              </w:rPr>
            </w:pPr>
            <w:r>
              <w:rPr>
                <w:rFonts w:ascii="Arial" w:cs="Arial" w:eastAsia="Arial" w:hAnsi="Arial"/>
                <w:sz w:val="17"/>
                <w:szCs w:val="17"/>
                <w:color w:val="auto"/>
              </w:rPr>
              <w:t>the Company (1)</w:t>
            </w:r>
          </w:p>
        </w:tc>
      </w:tr>
    </w:tbl>
    <w:p>
      <w:pPr>
        <w:ind w:left="1840" w:hanging="1311"/>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 Rights Agreement, executed effective as of September 13, 1999 (the "Rights Agreement"), between Minerals Technologies Inc. and Chase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9980" w:type="dxa"/>
            <w:vAlign w:val="bottom"/>
          </w:tcPr>
          <w:p>
            <w:pPr>
              <w:ind w:left="400"/>
              <w:spacing w:after="0"/>
              <w:rPr>
                <w:sz w:val="20"/>
                <w:szCs w:val="20"/>
                <w:color w:val="auto"/>
              </w:rPr>
            </w:pPr>
            <w:r>
              <w:rPr>
                <w:rFonts w:ascii="Arial" w:cs="Arial" w:eastAsia="Arial" w:hAnsi="Arial"/>
                <w:sz w:val="17"/>
                <w:szCs w:val="17"/>
                <w:color w:val="auto"/>
                <w:w w:val="93"/>
              </w:rPr>
              <w:t>Mellon Shareholders Services L.L.C., as Rights Agents, including as Exhibit B the forms of Rights Certificate and of Election to Exercise</w:t>
            </w:r>
          </w:p>
        </w:tc>
      </w:tr>
      <w:tr>
        <w:trPr>
          <w:trHeight w:val="210"/>
        </w:trPr>
        <w:tc>
          <w:tcPr>
            <w:tcW w:w="144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7"/>
                <w:szCs w:val="17"/>
                <w:color w:val="auto"/>
              </w:rPr>
              <w:t>(10)</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4.1</w:t>
            </w:r>
          </w:p>
        </w:tc>
        <w:tc>
          <w:tcPr>
            <w:tcW w:w="9980" w:type="dxa"/>
            <w:vAlign w:val="bottom"/>
          </w:tcPr>
          <w:p>
            <w:pPr>
              <w:ind w:left="400"/>
              <w:spacing w:after="0"/>
              <w:rPr>
                <w:sz w:val="20"/>
                <w:szCs w:val="20"/>
                <w:color w:val="auto"/>
              </w:rPr>
            </w:pPr>
            <w:r>
              <w:rPr>
                <w:rFonts w:ascii="Arial" w:cs="Arial" w:eastAsia="Arial" w:hAnsi="Arial"/>
                <w:sz w:val="17"/>
                <w:szCs w:val="17"/>
                <w:color w:val="auto"/>
              </w:rPr>
              <w:t>- Specimen Certificate of Common Stock (1)</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w:t>
            </w:r>
          </w:p>
        </w:tc>
        <w:tc>
          <w:tcPr>
            <w:tcW w:w="9980" w:type="dxa"/>
            <w:vAlign w:val="bottom"/>
          </w:tcPr>
          <w:p>
            <w:pPr>
              <w:ind w:left="400"/>
              <w:spacing w:after="0"/>
              <w:rPr>
                <w:sz w:val="20"/>
                <w:szCs w:val="20"/>
                <w:color w:val="auto"/>
              </w:rPr>
            </w:pPr>
            <w:r>
              <w:rPr>
                <w:rFonts w:ascii="Arial" w:cs="Arial" w:eastAsia="Arial" w:hAnsi="Arial"/>
                <w:sz w:val="17"/>
                <w:szCs w:val="17"/>
                <w:color w:val="auto"/>
                <w:w w:val="92"/>
              </w:rPr>
              <w:t>- Asset Purchase Agreement, dated as of September 28, 1992, by  and between Specialty Refractories Inc. and Quigley Company Inc. (3)</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10.1(a)</w:t>
            </w:r>
          </w:p>
        </w:tc>
        <w:tc>
          <w:tcPr>
            <w:tcW w:w="9980" w:type="dxa"/>
            <w:vAlign w:val="bottom"/>
          </w:tcPr>
          <w:p>
            <w:pPr>
              <w:ind w:left="400"/>
              <w:spacing w:after="0"/>
              <w:rPr>
                <w:sz w:val="20"/>
                <w:szCs w:val="20"/>
                <w:color w:val="auto"/>
              </w:rPr>
            </w:pPr>
            <w:r>
              <w:rPr>
                <w:rFonts w:ascii="Arial" w:cs="Arial" w:eastAsia="Arial" w:hAnsi="Arial"/>
                <w:sz w:val="17"/>
                <w:szCs w:val="17"/>
                <w:color w:val="auto"/>
                <w:w w:val="99"/>
              </w:rPr>
              <w:t>- Agreement dated October 22, 1992 between Specialty Refractories Inc. and Quigley Company Inc., amending Exhibit 10.1 (4)</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10.1(b)</w:t>
            </w:r>
          </w:p>
        </w:tc>
        <w:tc>
          <w:tcPr>
            <w:tcW w:w="9980" w:type="dxa"/>
            <w:vAlign w:val="bottom"/>
          </w:tcPr>
          <w:p>
            <w:pPr>
              <w:ind w:left="400"/>
              <w:spacing w:after="0"/>
              <w:rPr>
                <w:sz w:val="20"/>
                <w:szCs w:val="20"/>
                <w:color w:val="auto"/>
              </w:rPr>
            </w:pPr>
            <w:r>
              <w:rPr>
                <w:rFonts w:ascii="Arial" w:cs="Arial" w:eastAsia="Arial" w:hAnsi="Arial"/>
                <w:sz w:val="17"/>
                <w:szCs w:val="17"/>
                <w:color w:val="auto"/>
                <w:w w:val="95"/>
              </w:rPr>
              <w:t>- Letter Agreement dated October 29, 1992 between Specialty Refractories Inc. and Quigley Company Inc., amending Exhibit 10.1 (4)</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10.2</w:t>
            </w:r>
          </w:p>
        </w:tc>
        <w:tc>
          <w:tcPr>
            <w:tcW w:w="9980" w:type="dxa"/>
            <w:vAlign w:val="bottom"/>
          </w:tcPr>
          <w:p>
            <w:pPr>
              <w:ind w:left="400"/>
              <w:spacing w:after="0"/>
              <w:rPr>
                <w:sz w:val="20"/>
                <w:szCs w:val="20"/>
                <w:color w:val="auto"/>
              </w:rPr>
            </w:pPr>
            <w:r>
              <w:rPr>
                <w:rFonts w:ascii="Arial" w:cs="Arial" w:eastAsia="Arial" w:hAnsi="Arial"/>
                <w:sz w:val="17"/>
                <w:szCs w:val="17"/>
                <w:color w:val="auto"/>
              </w:rPr>
              <w:t>- Reorganization Agreement, dated as of September 28, 1992, by and between the Company and Pfizer Inc (3)</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10.2(a)</w:t>
            </w:r>
          </w:p>
        </w:tc>
        <w:tc>
          <w:tcPr>
            <w:tcW w:w="9980" w:type="dxa"/>
            <w:vAlign w:val="bottom"/>
          </w:tcPr>
          <w:p>
            <w:pPr>
              <w:ind w:left="400"/>
              <w:spacing w:after="0"/>
              <w:rPr>
                <w:sz w:val="20"/>
                <w:szCs w:val="20"/>
                <w:color w:val="auto"/>
              </w:rPr>
            </w:pPr>
            <w:r>
              <w:rPr>
                <w:rFonts w:ascii="Arial" w:cs="Arial" w:eastAsia="Arial" w:hAnsi="Arial"/>
                <w:sz w:val="17"/>
                <w:szCs w:val="17"/>
                <w:color w:val="auto"/>
              </w:rPr>
              <w:t>- Letter Agreement dated October 29, 1992 between the Company and Pfizer Inc, amending Exhibit 10.2 (4)</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10.3</w:t>
            </w:r>
          </w:p>
        </w:tc>
        <w:tc>
          <w:tcPr>
            <w:tcW w:w="9980" w:type="dxa"/>
            <w:vAlign w:val="bottom"/>
          </w:tcPr>
          <w:p>
            <w:pPr>
              <w:ind w:left="400"/>
              <w:spacing w:after="0"/>
              <w:rPr>
                <w:sz w:val="20"/>
                <w:szCs w:val="20"/>
                <w:color w:val="auto"/>
              </w:rPr>
            </w:pPr>
            <w:r>
              <w:rPr>
                <w:rFonts w:ascii="Arial" w:cs="Arial" w:eastAsia="Arial" w:hAnsi="Arial"/>
                <w:sz w:val="17"/>
                <w:szCs w:val="17"/>
                <w:color w:val="auto"/>
              </w:rPr>
              <w:t>- Asset Contribution Agreement, dated as of September 28, 1992, by and between Pfizer Inc and Specialty Minerals Inc. (3)</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10.4</w:t>
            </w:r>
          </w:p>
        </w:tc>
        <w:tc>
          <w:tcPr>
            <w:tcW w:w="9980" w:type="dxa"/>
            <w:vAlign w:val="bottom"/>
          </w:tcPr>
          <w:p>
            <w:pPr>
              <w:ind w:left="400"/>
              <w:spacing w:after="0"/>
              <w:rPr>
                <w:sz w:val="20"/>
                <w:szCs w:val="20"/>
                <w:color w:val="auto"/>
              </w:rPr>
            </w:pPr>
            <w:r>
              <w:rPr>
                <w:rFonts w:ascii="Arial" w:cs="Arial" w:eastAsia="Arial" w:hAnsi="Arial"/>
                <w:sz w:val="17"/>
                <w:szCs w:val="17"/>
                <w:color w:val="auto"/>
              </w:rPr>
              <w:t>- Asset Contribution Agreement, dated as of September 28, 1992, by and between Pfizer Inc and Barretts Minerals Inc. (3)</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10.4(a)</w:t>
            </w:r>
          </w:p>
        </w:tc>
        <w:tc>
          <w:tcPr>
            <w:tcW w:w="9980" w:type="dxa"/>
            <w:vAlign w:val="bottom"/>
          </w:tcPr>
          <w:p>
            <w:pPr>
              <w:ind w:left="400"/>
              <w:spacing w:after="0"/>
              <w:rPr>
                <w:sz w:val="20"/>
                <w:szCs w:val="20"/>
                <w:color w:val="auto"/>
              </w:rPr>
            </w:pPr>
            <w:r>
              <w:rPr>
                <w:rFonts w:ascii="Arial" w:cs="Arial" w:eastAsia="Arial" w:hAnsi="Arial"/>
                <w:sz w:val="17"/>
                <w:szCs w:val="17"/>
                <w:color w:val="auto"/>
                <w:w w:val="93"/>
              </w:rPr>
              <w:t>- Agreement dated October 22, 1992 between Pfizer Inc, Barretts Minerals Inc. and Specialty Minerals Inc., amending Exhibits 10.3 and</w:t>
            </w:r>
          </w:p>
        </w:tc>
      </w:tr>
      <w:tr>
        <w:trPr>
          <w:trHeight w:val="210"/>
        </w:trPr>
        <w:tc>
          <w:tcPr>
            <w:tcW w:w="144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7"/>
                <w:szCs w:val="17"/>
                <w:color w:val="auto"/>
              </w:rPr>
              <w:t>10.4 (4)</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10.5</w:t>
            </w:r>
          </w:p>
        </w:tc>
        <w:tc>
          <w:tcPr>
            <w:tcW w:w="9980" w:type="dxa"/>
            <w:vAlign w:val="bottom"/>
          </w:tcPr>
          <w:p>
            <w:pPr>
              <w:ind w:left="400"/>
              <w:spacing w:after="0"/>
              <w:rPr>
                <w:sz w:val="20"/>
                <w:szCs w:val="20"/>
                <w:color w:val="auto"/>
              </w:rPr>
            </w:pPr>
            <w:r>
              <w:rPr>
                <w:rFonts w:ascii="Arial" w:cs="Arial" w:eastAsia="Arial" w:hAnsi="Arial"/>
                <w:sz w:val="17"/>
                <w:szCs w:val="17"/>
                <w:color w:val="auto"/>
              </w:rPr>
              <w:t>- Form of Employment Agreement, together with schedule relating to executed Employment Agreements</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10.5(a)</w:t>
            </w:r>
          </w:p>
        </w:tc>
        <w:tc>
          <w:tcPr>
            <w:tcW w:w="9980" w:type="dxa"/>
            <w:vAlign w:val="bottom"/>
          </w:tcPr>
          <w:p>
            <w:pPr>
              <w:ind w:left="400"/>
              <w:spacing w:after="0"/>
              <w:rPr>
                <w:sz w:val="20"/>
                <w:szCs w:val="20"/>
                <w:color w:val="auto"/>
              </w:rPr>
            </w:pPr>
            <w:r>
              <w:rPr>
                <w:rFonts w:ascii="Arial" w:cs="Arial" w:eastAsia="Arial" w:hAnsi="Arial"/>
                <w:sz w:val="17"/>
                <w:szCs w:val="17"/>
                <w:color w:val="auto"/>
              </w:rPr>
              <w:t>- Form of Employment Agreement, together with schedule relating to executed Employment Agreements</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10.6</w:t>
            </w:r>
          </w:p>
        </w:tc>
        <w:tc>
          <w:tcPr>
            <w:tcW w:w="9980" w:type="dxa"/>
            <w:vAlign w:val="bottom"/>
          </w:tcPr>
          <w:p>
            <w:pPr>
              <w:ind w:left="400"/>
              <w:spacing w:after="0"/>
              <w:rPr>
                <w:sz w:val="20"/>
                <w:szCs w:val="20"/>
                <w:color w:val="auto"/>
              </w:rPr>
            </w:pPr>
            <w:r>
              <w:rPr>
                <w:rFonts w:ascii="Arial" w:cs="Arial" w:eastAsia="Arial" w:hAnsi="Arial"/>
                <w:sz w:val="17"/>
                <w:szCs w:val="17"/>
                <w:color w:val="auto"/>
              </w:rPr>
              <w:t>- Form of Severance Agreement, together with schedule relating to executed Severance Agreements</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10.6(a)</w:t>
            </w:r>
          </w:p>
        </w:tc>
        <w:tc>
          <w:tcPr>
            <w:tcW w:w="9980" w:type="dxa"/>
            <w:vAlign w:val="bottom"/>
          </w:tcPr>
          <w:p>
            <w:pPr>
              <w:ind w:left="400"/>
              <w:spacing w:after="0"/>
              <w:rPr>
                <w:sz w:val="20"/>
                <w:szCs w:val="20"/>
                <w:color w:val="auto"/>
              </w:rPr>
            </w:pPr>
            <w:r>
              <w:rPr>
                <w:rFonts w:ascii="Arial" w:cs="Arial" w:eastAsia="Arial" w:hAnsi="Arial"/>
                <w:sz w:val="17"/>
                <w:szCs w:val="17"/>
                <w:color w:val="auto"/>
              </w:rPr>
              <w:t>- Form of Severance Agreement, together with schedule relating to executed Severance Agreements</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10.7</w:t>
            </w:r>
          </w:p>
        </w:tc>
        <w:tc>
          <w:tcPr>
            <w:tcW w:w="9980" w:type="dxa"/>
            <w:vAlign w:val="bottom"/>
          </w:tcPr>
          <w:p>
            <w:pPr>
              <w:ind w:left="400"/>
              <w:spacing w:after="0"/>
              <w:rPr>
                <w:sz w:val="20"/>
                <w:szCs w:val="20"/>
                <w:color w:val="auto"/>
              </w:rPr>
            </w:pPr>
            <w:r>
              <w:rPr>
                <w:rFonts w:ascii="Arial" w:cs="Arial" w:eastAsia="Arial" w:hAnsi="Arial"/>
                <w:sz w:val="17"/>
                <w:szCs w:val="17"/>
                <w:color w:val="auto"/>
              </w:rPr>
              <w:t>- Company Employee Protection Plan, as amended August 27, 1999 (5)</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10.8</w:t>
            </w:r>
          </w:p>
        </w:tc>
        <w:tc>
          <w:tcPr>
            <w:tcW w:w="9980" w:type="dxa"/>
            <w:vAlign w:val="bottom"/>
          </w:tcPr>
          <w:p>
            <w:pPr>
              <w:ind w:left="400"/>
              <w:spacing w:after="0"/>
              <w:rPr>
                <w:sz w:val="20"/>
                <w:szCs w:val="20"/>
                <w:color w:val="auto"/>
              </w:rPr>
            </w:pPr>
            <w:r>
              <w:rPr>
                <w:rFonts w:ascii="Arial" w:cs="Arial" w:eastAsia="Arial" w:hAnsi="Arial"/>
                <w:sz w:val="17"/>
                <w:szCs w:val="17"/>
                <w:color w:val="auto"/>
                <w:w w:val="95"/>
              </w:rPr>
              <w:t>- Company Nonfunded Deferred Compensation and Unit Award Plan for Non-Employee Directors, as amended February 26, 1998 (6)</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10.9</w:t>
            </w:r>
          </w:p>
        </w:tc>
        <w:tc>
          <w:tcPr>
            <w:tcW w:w="9980" w:type="dxa"/>
            <w:vAlign w:val="bottom"/>
          </w:tcPr>
          <w:p>
            <w:pPr>
              <w:ind w:left="400"/>
              <w:spacing w:after="0"/>
              <w:rPr>
                <w:sz w:val="20"/>
                <w:szCs w:val="20"/>
                <w:color w:val="auto"/>
              </w:rPr>
            </w:pPr>
            <w:r>
              <w:rPr>
                <w:rFonts w:ascii="Arial" w:cs="Arial" w:eastAsia="Arial" w:hAnsi="Arial"/>
                <w:sz w:val="17"/>
                <w:szCs w:val="17"/>
                <w:color w:val="auto"/>
              </w:rPr>
              <w:t>- Company Stock and Incentive Plan, as amended and restated as of January 28, 1999 (6)</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10.10</w:t>
            </w:r>
          </w:p>
        </w:tc>
        <w:tc>
          <w:tcPr>
            <w:tcW w:w="9980" w:type="dxa"/>
            <w:vAlign w:val="bottom"/>
          </w:tcPr>
          <w:p>
            <w:pPr>
              <w:ind w:left="400"/>
              <w:spacing w:after="0"/>
              <w:rPr>
                <w:sz w:val="20"/>
                <w:szCs w:val="20"/>
                <w:color w:val="auto"/>
              </w:rPr>
            </w:pPr>
            <w:r>
              <w:rPr>
                <w:rFonts w:ascii="Arial" w:cs="Arial" w:eastAsia="Arial" w:hAnsi="Arial"/>
                <w:sz w:val="17"/>
                <w:szCs w:val="17"/>
                <w:color w:val="auto"/>
              </w:rPr>
              <w:t>- Company Retirement Annuity Plan, as amended and restated effective February 26, 1998 (6)</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10.11</w:t>
            </w:r>
          </w:p>
        </w:tc>
        <w:tc>
          <w:tcPr>
            <w:tcW w:w="9980" w:type="dxa"/>
            <w:vAlign w:val="bottom"/>
          </w:tcPr>
          <w:p>
            <w:pPr>
              <w:ind w:left="400"/>
              <w:spacing w:after="0"/>
              <w:rPr>
                <w:sz w:val="20"/>
                <w:szCs w:val="20"/>
                <w:color w:val="auto"/>
              </w:rPr>
            </w:pPr>
            <w:r>
              <w:rPr>
                <w:rFonts w:ascii="Arial" w:cs="Arial" w:eastAsia="Arial" w:hAnsi="Arial"/>
                <w:sz w:val="17"/>
                <w:szCs w:val="17"/>
                <w:color w:val="auto"/>
              </w:rPr>
              <w:t>- Company Nonfunded Supplemental Retirement Plan, as amended January 28, 1999 (6)</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10.12</w:t>
            </w:r>
          </w:p>
        </w:tc>
        <w:tc>
          <w:tcPr>
            <w:tcW w:w="9980" w:type="dxa"/>
            <w:vAlign w:val="bottom"/>
          </w:tcPr>
          <w:p>
            <w:pPr>
              <w:ind w:left="400"/>
              <w:spacing w:after="0"/>
              <w:rPr>
                <w:sz w:val="20"/>
                <w:szCs w:val="20"/>
                <w:color w:val="auto"/>
              </w:rPr>
            </w:pPr>
            <w:r>
              <w:rPr>
                <w:rFonts w:ascii="Arial" w:cs="Arial" w:eastAsia="Arial" w:hAnsi="Arial"/>
                <w:sz w:val="17"/>
                <w:szCs w:val="17"/>
                <w:color w:val="auto"/>
              </w:rPr>
              <w:t>- Company Savings and Investment Plan, as amended and restated effective April 22, 1999 (6)</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10.13</w:t>
            </w:r>
          </w:p>
        </w:tc>
        <w:tc>
          <w:tcPr>
            <w:tcW w:w="9980" w:type="dxa"/>
            <w:vAlign w:val="bottom"/>
          </w:tcPr>
          <w:p>
            <w:pPr>
              <w:ind w:left="400"/>
              <w:spacing w:after="0"/>
              <w:rPr>
                <w:sz w:val="20"/>
                <w:szCs w:val="20"/>
                <w:color w:val="auto"/>
              </w:rPr>
            </w:pPr>
            <w:r>
              <w:rPr>
                <w:rFonts w:ascii="Arial" w:cs="Arial" w:eastAsia="Arial" w:hAnsi="Arial"/>
                <w:sz w:val="17"/>
                <w:szCs w:val="17"/>
                <w:color w:val="auto"/>
              </w:rPr>
              <w:t>- Company Nonfunded Deferred Compensation and Supplemental Savings Plan,  as amended January 28, 1999 (6)</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10.15</w:t>
            </w:r>
          </w:p>
        </w:tc>
        <w:tc>
          <w:tcPr>
            <w:tcW w:w="9980" w:type="dxa"/>
            <w:vAlign w:val="bottom"/>
          </w:tcPr>
          <w:p>
            <w:pPr>
              <w:ind w:left="400"/>
              <w:spacing w:after="0"/>
              <w:rPr>
                <w:sz w:val="20"/>
                <w:szCs w:val="20"/>
                <w:color w:val="auto"/>
              </w:rPr>
            </w:pPr>
            <w:r>
              <w:rPr>
                <w:rFonts w:ascii="Arial" w:cs="Arial" w:eastAsia="Arial" w:hAnsi="Arial"/>
                <w:sz w:val="17"/>
                <w:szCs w:val="17"/>
                <w:color w:val="auto"/>
              </w:rPr>
              <w:t>- Grantor Trust Agreement, dated as of December 29, 1994, between the Company and The Bank of New York, as Trustee (7)</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10.16</w:t>
            </w:r>
          </w:p>
        </w:tc>
        <w:tc>
          <w:tcPr>
            <w:tcW w:w="9980" w:type="dxa"/>
            <w:vAlign w:val="bottom"/>
          </w:tcPr>
          <w:p>
            <w:pPr>
              <w:ind w:left="400"/>
              <w:spacing w:after="0"/>
              <w:rPr>
                <w:sz w:val="20"/>
                <w:szCs w:val="20"/>
                <w:color w:val="auto"/>
              </w:rPr>
            </w:pPr>
            <w:r>
              <w:rPr>
                <w:rFonts w:ascii="Arial" w:cs="Arial" w:eastAsia="Arial" w:hAnsi="Arial"/>
                <w:sz w:val="17"/>
                <w:szCs w:val="17"/>
                <w:color w:val="auto"/>
                <w:w w:val="90"/>
              </w:rPr>
              <w:t>- Note Purchase Agreement, dated as of June 28, 1993, between the Company and Metropolitan Life Insurance Company with respect to the</w:t>
            </w:r>
          </w:p>
        </w:tc>
      </w:tr>
      <w:tr>
        <w:trPr>
          <w:trHeight w:val="210"/>
        </w:trPr>
        <w:tc>
          <w:tcPr>
            <w:tcW w:w="144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7"/>
                <w:szCs w:val="17"/>
                <w:color w:val="auto"/>
                <w:w w:val="90"/>
              </w:rPr>
              <w:t>Company's issuance of $65,000,000 in aggregate principal amount of its 6.04% Guarantied Senior Notes Due June 11, 2000; together with a</w:t>
            </w:r>
          </w:p>
        </w:tc>
      </w:tr>
      <w:tr>
        <w:trPr>
          <w:trHeight w:val="210"/>
        </w:trPr>
        <w:tc>
          <w:tcPr>
            <w:tcW w:w="144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7"/>
                <w:szCs w:val="17"/>
                <w:color w:val="auto"/>
              </w:rPr>
              <w:t>schedule regarding other contracts  substantially identical in all material respects to the foregoing (8)</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10.17</w:t>
            </w:r>
          </w:p>
        </w:tc>
        <w:tc>
          <w:tcPr>
            <w:tcW w:w="9980" w:type="dxa"/>
            <w:vAlign w:val="bottom"/>
          </w:tcPr>
          <w:p>
            <w:pPr>
              <w:ind w:left="400"/>
              <w:spacing w:after="0"/>
              <w:rPr>
                <w:sz w:val="20"/>
                <w:szCs w:val="20"/>
                <w:color w:val="auto"/>
              </w:rPr>
            </w:pPr>
            <w:r>
              <w:rPr>
                <w:rFonts w:ascii="Arial" w:cs="Arial" w:eastAsia="Arial" w:hAnsi="Arial"/>
                <w:sz w:val="17"/>
                <w:szCs w:val="17"/>
                <w:color w:val="auto"/>
                <w:w w:val="90"/>
              </w:rPr>
              <w:t>- Note Purchase Agreement, dated as of July 24, 1996, between the Company and Metropolitan Life Insurance Company with respect to the</w:t>
            </w:r>
          </w:p>
        </w:tc>
      </w:tr>
      <w:tr>
        <w:trPr>
          <w:trHeight w:val="210"/>
        </w:trPr>
        <w:tc>
          <w:tcPr>
            <w:tcW w:w="144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7"/>
                <w:szCs w:val="17"/>
                <w:color w:val="auto"/>
                <w:w w:val="99"/>
              </w:rPr>
              <w:t>Company's issuance of $50,000,000 in aggregate principal amount of its 7.49% Guaranteed Senior Notes due July 24, 2006 (9)</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10.18</w:t>
            </w:r>
          </w:p>
        </w:tc>
        <w:tc>
          <w:tcPr>
            <w:tcW w:w="9980" w:type="dxa"/>
            <w:vAlign w:val="bottom"/>
          </w:tcPr>
          <w:p>
            <w:pPr>
              <w:ind w:left="400"/>
              <w:spacing w:after="0"/>
              <w:rPr>
                <w:sz w:val="20"/>
                <w:szCs w:val="20"/>
                <w:color w:val="auto"/>
              </w:rPr>
            </w:pPr>
            <w:r>
              <w:rPr>
                <w:rFonts w:ascii="Arial" w:cs="Arial" w:eastAsia="Arial" w:hAnsi="Arial"/>
                <w:sz w:val="17"/>
                <w:szCs w:val="17"/>
                <w:color w:val="auto"/>
              </w:rPr>
              <w:t>- Indenture, dated July 22, 1963, between the Cork Harbour Commissioners and Roofchrome Limited (3)</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10.19</w:t>
            </w:r>
          </w:p>
        </w:tc>
        <w:tc>
          <w:tcPr>
            <w:tcW w:w="9980" w:type="dxa"/>
            <w:vAlign w:val="bottom"/>
          </w:tcPr>
          <w:p>
            <w:pPr>
              <w:ind w:left="400"/>
              <w:spacing w:after="0"/>
              <w:rPr>
                <w:sz w:val="20"/>
                <w:szCs w:val="20"/>
                <w:color w:val="auto"/>
              </w:rPr>
            </w:pPr>
            <w:r>
              <w:rPr>
                <w:rFonts w:ascii="Arial" w:cs="Arial" w:eastAsia="Arial" w:hAnsi="Arial"/>
                <w:sz w:val="17"/>
                <w:szCs w:val="17"/>
                <w:color w:val="auto"/>
              </w:rPr>
              <w:t>- Agreement of Lease, dated as of May 24, 1993, between the Company and Cooke Properties Inc (8)</w:t>
            </w:r>
          </w:p>
        </w:tc>
      </w:tr>
      <w:tr>
        <w:trPr>
          <w:trHeight w:val="210"/>
        </w:trPr>
        <w:tc>
          <w:tcPr>
            <w:tcW w:w="1440" w:type="dxa"/>
            <w:vAlign w:val="bottom"/>
          </w:tcPr>
          <w:p>
            <w:pPr>
              <w:ind w:left="520"/>
              <w:spacing w:after="0"/>
              <w:rPr>
                <w:sz w:val="20"/>
                <w:szCs w:val="20"/>
                <w:color w:val="auto"/>
              </w:rPr>
            </w:pPr>
            <w:r>
              <w:rPr>
                <w:rFonts w:ascii="Arial" w:cs="Arial" w:eastAsia="Arial" w:hAnsi="Arial"/>
                <w:sz w:val="17"/>
                <w:szCs w:val="17"/>
                <w:color w:val="auto"/>
              </w:rPr>
              <w:t>21.1</w:t>
            </w:r>
          </w:p>
        </w:tc>
        <w:tc>
          <w:tcPr>
            <w:tcW w:w="9980" w:type="dxa"/>
            <w:vAlign w:val="bottom"/>
          </w:tcPr>
          <w:p>
            <w:pPr>
              <w:ind w:left="400"/>
              <w:spacing w:after="0"/>
              <w:rPr>
                <w:sz w:val="20"/>
                <w:szCs w:val="20"/>
                <w:color w:val="auto"/>
              </w:rPr>
            </w:pPr>
            <w:r>
              <w:rPr>
                <w:rFonts w:ascii="Arial" w:cs="Arial" w:eastAsia="Arial" w:hAnsi="Arial"/>
                <w:sz w:val="17"/>
                <w:szCs w:val="17"/>
                <w:color w:val="auto"/>
              </w:rPr>
              <w:t>- Subsidiaries of the Company</w:t>
            </w:r>
          </w:p>
        </w:tc>
      </w:tr>
      <w:tr>
        <w:trPr>
          <w:trHeight w:val="216"/>
        </w:trPr>
        <w:tc>
          <w:tcPr>
            <w:tcW w:w="1440" w:type="dxa"/>
            <w:vAlign w:val="bottom"/>
          </w:tcPr>
          <w:p>
            <w:pPr>
              <w:ind w:left="520"/>
              <w:spacing w:after="0"/>
              <w:rPr>
                <w:sz w:val="20"/>
                <w:szCs w:val="20"/>
                <w:color w:val="auto"/>
              </w:rPr>
            </w:pPr>
            <w:r>
              <w:rPr>
                <w:rFonts w:ascii="Arial" w:cs="Arial" w:eastAsia="Arial" w:hAnsi="Arial"/>
                <w:sz w:val="17"/>
                <w:szCs w:val="17"/>
                <w:color w:val="auto"/>
              </w:rPr>
              <w:t>23.1</w:t>
            </w:r>
          </w:p>
        </w:tc>
        <w:tc>
          <w:tcPr>
            <w:tcW w:w="9980" w:type="dxa"/>
            <w:vAlign w:val="bottom"/>
          </w:tcPr>
          <w:p>
            <w:pPr>
              <w:ind w:left="400"/>
              <w:spacing w:after="0"/>
              <w:rPr>
                <w:sz w:val="20"/>
                <w:szCs w:val="20"/>
                <w:color w:val="auto"/>
              </w:rPr>
            </w:pPr>
            <w:r>
              <w:rPr>
                <w:rFonts w:ascii="Arial" w:cs="Arial" w:eastAsia="Arial" w:hAnsi="Arial"/>
                <w:sz w:val="17"/>
                <w:szCs w:val="17"/>
                <w:color w:val="auto"/>
              </w:rPr>
              <w:t>- Report and Consent of Independent Auditors</w:t>
            </w:r>
          </w:p>
        </w:tc>
      </w:tr>
      <w:tr>
        <w:trPr>
          <w:trHeight w:val="629"/>
        </w:trPr>
        <w:tc>
          <w:tcPr>
            <w:tcW w:w="1440" w:type="dxa"/>
            <w:vAlign w:val="bottom"/>
          </w:tcPr>
          <w:p>
            <w:pPr>
              <w:spacing w:after="0"/>
              <w:rPr>
                <w:sz w:val="24"/>
                <w:szCs w:val="24"/>
                <w:color w:val="auto"/>
              </w:rPr>
            </w:pPr>
          </w:p>
        </w:tc>
        <w:tc>
          <w:tcPr>
            <w:tcW w:w="9980" w:type="dxa"/>
            <w:vAlign w:val="bottom"/>
          </w:tcPr>
          <w:p>
            <w:pPr>
              <w:ind w:left="4180"/>
              <w:spacing w:after="0"/>
              <w:rPr>
                <w:sz w:val="20"/>
                <w:szCs w:val="20"/>
                <w:color w:val="auto"/>
              </w:rPr>
            </w:pPr>
            <w:r>
              <w:rPr>
                <w:rFonts w:ascii="Arial" w:cs="Arial" w:eastAsia="Arial" w:hAnsi="Arial"/>
                <w:sz w:val="17"/>
                <w:szCs w:val="17"/>
                <w:color w:val="auto"/>
              </w:rPr>
              <w:t>20</w:t>
            </w:r>
          </w:p>
        </w:tc>
      </w:tr>
      <w:tr>
        <w:trPr>
          <w:trHeight w:val="179"/>
        </w:trPr>
        <w:tc>
          <w:tcPr>
            <w:tcW w:w="1440" w:type="dxa"/>
            <w:vAlign w:val="bottom"/>
            <w:tcBorders>
              <w:bottom w:val="single" w:sz="8" w:color="9A9A9A"/>
            </w:tcBorders>
          </w:tcPr>
          <w:p>
            <w:pPr>
              <w:spacing w:after="0"/>
              <w:rPr>
                <w:sz w:val="15"/>
                <w:szCs w:val="15"/>
                <w:color w:val="auto"/>
              </w:rPr>
            </w:pPr>
          </w:p>
        </w:tc>
        <w:tc>
          <w:tcPr>
            <w:tcW w:w="99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060" w:hanging="178"/>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exhibit so designated filed with the Company's Annual Report on Form 10-K for the year ended December 31, 1997.</w:t>
      </w:r>
    </w:p>
    <w:p>
      <w:pPr>
        <w:spacing w:after="0" w:line="31" w:lineRule="exact"/>
        <w:rPr>
          <w:rFonts w:ascii="Arial" w:cs="Arial" w:eastAsia="Arial" w:hAnsi="Arial"/>
          <w:sz w:val="16"/>
          <w:szCs w:val="16"/>
          <w:color w:val="auto"/>
        </w:rPr>
      </w:pPr>
    </w:p>
    <w:p>
      <w:pPr>
        <w:ind w:left="1060" w:hanging="178"/>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[RESERVED]</w:t>
      </w:r>
    </w:p>
    <w:p>
      <w:pPr>
        <w:spacing w:after="0" w:line="14" w:lineRule="exact"/>
        <w:rPr>
          <w:rFonts w:ascii="Arial" w:cs="Arial" w:eastAsia="Arial" w:hAnsi="Arial"/>
          <w:sz w:val="17"/>
          <w:szCs w:val="17"/>
          <w:color w:val="auto"/>
        </w:rPr>
      </w:pPr>
    </w:p>
    <w:p>
      <w:pPr>
        <w:ind w:left="1060" w:right="440" w:hanging="178"/>
        <w:spacing w:after="0" w:line="25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the exhibit so designated filed with the Company's Registration Statement on Form S-1 (Registration No. 33-51292), originally filed on August 25, 1992.</w:t>
      </w:r>
    </w:p>
    <w:p>
      <w:pPr>
        <w:ind w:left="1060" w:right="440" w:hanging="178"/>
        <w:spacing w:after="0" w:line="25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the exhibit so designated filed with the Company's Registration Statement on Form S-1 (Registration No. 33-59510), originally filed on March 15, 1993.</w:t>
      </w:r>
    </w:p>
    <w:p>
      <w:pPr>
        <w:ind w:left="1060" w:right="240" w:hanging="178"/>
        <w:spacing w:after="0" w:line="25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the exhibit so designated filed with the Company's Quarterly Report on Form 10-Q for the quarter ended September 26, 1999.</w:t>
      </w:r>
    </w:p>
    <w:p>
      <w:pPr>
        <w:ind w:left="1060" w:hanging="178"/>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Incorporated by reference to the exhibit so designated filed with the Company's Quarterly Report on Form 10-Q for the quarter ended March 28, 1999.</w:t>
      </w:r>
    </w:p>
    <w:p>
      <w:pPr>
        <w:spacing w:after="0" w:line="37" w:lineRule="exact"/>
        <w:rPr>
          <w:rFonts w:ascii="Arial" w:cs="Arial" w:eastAsia="Arial" w:hAnsi="Arial"/>
          <w:sz w:val="15"/>
          <w:szCs w:val="15"/>
          <w:color w:val="auto"/>
        </w:rPr>
      </w:pPr>
    </w:p>
    <w:p>
      <w:pPr>
        <w:ind w:left="1060" w:hanging="178"/>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Incorporated by reference to the exhibit so designated filed with the Company's Annual Report on Form 10-K for the year ended December 31, 1994.</w:t>
      </w:r>
    </w:p>
    <w:p>
      <w:pPr>
        <w:spacing w:after="0" w:line="37" w:lineRule="exact"/>
        <w:rPr>
          <w:rFonts w:ascii="Arial" w:cs="Arial" w:eastAsia="Arial" w:hAnsi="Arial"/>
          <w:sz w:val="15"/>
          <w:szCs w:val="15"/>
          <w:color w:val="auto"/>
        </w:rPr>
      </w:pPr>
    </w:p>
    <w:p>
      <w:pPr>
        <w:ind w:left="1060" w:hanging="178"/>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the exhibit so designated filed with the Company's Quarterly Report on Form 10-Q for the quarter ended July 4, 1993.</w:t>
      </w:r>
    </w:p>
    <w:p>
      <w:pPr>
        <w:spacing w:after="0" w:line="25" w:lineRule="exact"/>
        <w:rPr>
          <w:rFonts w:ascii="Arial" w:cs="Arial" w:eastAsia="Arial" w:hAnsi="Arial"/>
          <w:sz w:val="16"/>
          <w:szCs w:val="16"/>
          <w:color w:val="auto"/>
        </w:rPr>
      </w:pPr>
    </w:p>
    <w:p>
      <w:pPr>
        <w:ind w:left="1060" w:hanging="178"/>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Incorporated by reference to the exhibit so designated filed with the Company's Quarterly Report on Form 10-Q for the quarter ended June 30, 1996.</w:t>
      </w:r>
    </w:p>
    <w:p>
      <w:pPr>
        <w:spacing w:after="0" w:line="37" w:lineRule="exact"/>
        <w:rPr>
          <w:rFonts w:ascii="Arial" w:cs="Arial" w:eastAsia="Arial" w:hAnsi="Arial"/>
          <w:sz w:val="15"/>
          <w:szCs w:val="15"/>
          <w:color w:val="auto"/>
        </w:rPr>
      </w:pPr>
    </w:p>
    <w:p>
      <w:pPr>
        <w:ind w:left="800"/>
        <w:spacing w:after="0"/>
        <w:rPr>
          <w:rFonts w:ascii="Arial" w:cs="Arial" w:eastAsia="Arial" w:hAnsi="Arial"/>
          <w:sz w:val="15"/>
          <w:szCs w:val="15"/>
          <w:color w:val="auto"/>
        </w:rPr>
      </w:pPr>
      <w:r>
        <w:rPr>
          <w:rFonts w:ascii="Arial" w:cs="Arial" w:eastAsia="Arial" w:hAnsi="Arial"/>
          <w:sz w:val="17"/>
          <w:szCs w:val="17"/>
          <w:color w:val="auto"/>
        </w:rPr>
        <w:t>10. Incorporated by reference to the exhibit so designated filed with the Company's current report on Form 8-K, filed September 3, 1999.</w:t>
      </w:r>
    </w:p>
    <w:p>
      <w:pPr>
        <w:spacing w:after="0" w:line="14" w:lineRule="exact"/>
        <w:rPr>
          <w:rFonts w:ascii="Arial" w:cs="Arial" w:eastAsia="Arial" w:hAnsi="Arial"/>
          <w:sz w:val="15"/>
          <w:szCs w:val="15"/>
          <w:color w:val="auto"/>
        </w:rPr>
      </w:pPr>
    </w:p>
    <w:p>
      <w:pPr>
        <w:ind w:left="1060" w:hanging="256"/>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[RESERVED]</w:t>
      </w:r>
    </w:p>
    <w:p>
      <w:pPr>
        <w:sectPr>
          <w:pgSz w:w="11900" w:h="16838" w:orient="portrait"/>
          <w:cols w:equalWidth="0" w:num="1">
            <w:col w:w="11420"/>
          </w:cols>
          <w:pgMar w:left="240" w:top="131" w:right="239" w:bottom="0" w:gutter="0" w:footer="0" w:header="0"/>
        </w:sectPr>
      </w:pPr>
    </w:p>
    <w:bookmarkStart w:id="19" w:name="page20"/>
    <w:bookmarkEnd w:id="19"/>
    <w:p>
      <w:pPr>
        <w:ind w:left="1060" w:right="120" w:hanging="256"/>
        <w:spacing w:after="0" w:line="282"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exhibit so designated filed with the Company's Quarterly Report on Form 10-Q for the quarter ended September 24, 2000.</w:t>
      </w:r>
    </w:p>
    <w:p>
      <w:pPr>
        <w:spacing w:after="0" w:line="130" w:lineRule="exact"/>
        <w:rPr>
          <w:sz w:val="20"/>
          <w:szCs w:val="20"/>
          <w:color w:val="auto"/>
        </w:rPr>
      </w:pPr>
    </w:p>
    <w:p>
      <w:pPr>
        <w:ind w:left="1460" w:hanging="408"/>
        <w:spacing w:after="0"/>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Reports on Form 8-K</w:t>
      </w:r>
    </w:p>
    <w:p>
      <w:pPr>
        <w:spacing w:after="0" w:line="184"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There were no reports on Form 8-K filed by the Company during the fourth quarter of 2000.</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1074420</wp:posOffset>
            </wp:positionV>
            <wp:extent cx="72758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88" w:lineRule="exact"/>
        <w:rPr>
          <w:sz w:val="20"/>
          <w:szCs w:val="20"/>
          <w:color w:val="auto"/>
        </w:rPr>
      </w:pPr>
    </w:p>
    <w:p>
      <w:pPr>
        <w:ind w:firstLine="426"/>
        <w:spacing w:after="0" w:line="28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Minerals Technologies Inc.</w:t>
      </w:r>
    </w:p>
    <w:p>
      <w:pPr>
        <w:spacing w:after="0" w:line="200" w:lineRule="exact"/>
        <w:rPr>
          <w:sz w:val="20"/>
          <w:szCs w:val="20"/>
          <w:color w:val="auto"/>
        </w:rPr>
      </w:pPr>
    </w:p>
    <w:p>
      <w:pPr>
        <w:spacing w:after="0" w:line="351" w:lineRule="exact"/>
        <w:rPr>
          <w:sz w:val="20"/>
          <w:szCs w:val="20"/>
          <w:color w:val="auto"/>
        </w:rPr>
      </w:pPr>
    </w:p>
    <w:p>
      <w:pPr>
        <w:ind w:left="4340"/>
        <w:spacing w:after="0"/>
        <w:tabs>
          <w:tab w:leader="none" w:pos="49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Paul R. Saueracker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-10160</wp:posOffset>
            </wp:positionV>
            <wp:extent cx="10896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spacing w:after="0" w:line="3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Paul R. Saueracker</w:t>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Chief 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March 20, 2001</w:t>
      </w:r>
    </w:p>
    <w:p>
      <w:pPr>
        <w:spacing w:after="0" w:line="184" w:lineRule="exact"/>
        <w:rPr>
          <w:sz w:val="20"/>
          <w:szCs w:val="20"/>
          <w:color w:val="auto"/>
        </w:rPr>
      </w:pPr>
    </w:p>
    <w:p>
      <w:pPr>
        <w:ind w:right="80" w:firstLine="426"/>
        <w:spacing w:after="0" w:line="282"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306" w:lineRule="exact"/>
        <w:rPr>
          <w:sz w:val="20"/>
          <w:szCs w:val="20"/>
          <w:color w:val="auto"/>
        </w:rPr>
      </w:pPr>
    </w:p>
    <w:p>
      <w:pPr>
        <w:ind w:left="740"/>
        <w:spacing w:after="0"/>
        <w:tabs>
          <w:tab w:leader="none" w:pos="5440" w:val="left"/>
          <w:tab w:leader="none" w:pos="9760" w:val="left"/>
        </w:tabs>
        <w:rPr>
          <w:sz w:val="20"/>
          <w:szCs w:val="20"/>
          <w:color w:val="auto"/>
        </w:rPr>
      </w:pPr>
      <w:r>
        <w:rPr>
          <w:rFonts w:ascii="Arial" w:cs="Arial" w:eastAsia="Arial" w:hAnsi="Arial"/>
          <w:sz w:val="17"/>
          <w:szCs w:val="17"/>
          <w:b w:val="1"/>
          <w:bCs w:val="1"/>
          <w:u w:val="single" w:color="auto"/>
          <w:color w:val="auto"/>
        </w:rPr>
        <w:t>SIGNATURE</w:t>
      </w:r>
      <w:r>
        <w:rPr>
          <w:sz w:val="20"/>
          <w:szCs w:val="20"/>
          <w:color w:val="auto"/>
        </w:rPr>
        <w:tab/>
      </w:r>
      <w:r>
        <w:rPr>
          <w:rFonts w:ascii="Arial" w:cs="Arial" w:eastAsia="Arial" w:hAnsi="Arial"/>
          <w:sz w:val="17"/>
          <w:szCs w:val="17"/>
          <w:b w:val="1"/>
          <w:bCs w:val="1"/>
          <w:u w:val="single" w:color="auto"/>
          <w:color w:val="auto"/>
        </w:rPr>
        <w:t>TITLE</w:t>
      </w:r>
      <w:r>
        <w:rPr>
          <w:sz w:val="20"/>
          <w:szCs w:val="20"/>
          <w:color w:val="auto"/>
        </w:rPr>
        <w:tab/>
      </w:r>
      <w:r>
        <w:rPr>
          <w:rFonts w:ascii="Arial" w:cs="Arial" w:eastAsia="Arial" w:hAnsi="Arial"/>
          <w:sz w:val="16"/>
          <w:szCs w:val="16"/>
          <w:b w:val="1"/>
          <w:bCs w:val="1"/>
          <w:u w:val="single" w:color="auto"/>
          <w:color w:val="auto"/>
        </w:rPr>
        <w:t>DATE</w:t>
      </w:r>
    </w:p>
    <w:p>
      <w:pPr>
        <w:sectPr>
          <w:pgSz w:w="11900" w:h="16838" w:orient="portrait"/>
          <w:cols w:equalWidth="0" w:num="1">
            <w:col w:w="11300"/>
          </w:cols>
          <w:pgMar w:left="240" w:top="131"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1860"/>
        <w:spacing w:after="0"/>
        <w:rPr>
          <w:sz w:val="20"/>
          <w:szCs w:val="20"/>
          <w:color w:val="auto"/>
        </w:rPr>
      </w:pPr>
      <w:r>
        <w:rPr>
          <w:rFonts w:ascii="Arial" w:cs="Arial" w:eastAsia="Arial" w:hAnsi="Arial"/>
          <w:sz w:val="15"/>
          <w:szCs w:val="15"/>
          <w:color w:val="auto"/>
        </w:rPr>
        <w:t>/s/Paul R. Saueracker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12515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3" w:lineRule="exact"/>
        <w:rPr>
          <w:sz w:val="20"/>
          <w:szCs w:val="20"/>
          <w:color w:val="auto"/>
        </w:rPr>
      </w:pPr>
    </w:p>
    <w:p>
      <w:pPr>
        <w:jc w:val="right"/>
        <w:ind w:right="1860"/>
        <w:spacing w:after="0"/>
        <w:rPr>
          <w:sz w:val="20"/>
          <w:szCs w:val="20"/>
          <w:color w:val="auto"/>
        </w:rPr>
      </w:pPr>
      <w:r>
        <w:rPr>
          <w:rFonts w:ascii="Arial" w:cs="Arial" w:eastAsia="Arial" w:hAnsi="Arial"/>
          <w:sz w:val="16"/>
          <w:szCs w:val="16"/>
          <w:color w:val="auto"/>
        </w:rPr>
        <w:t>Paul R. Saueracker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2020"/>
        <w:spacing w:after="0"/>
        <w:rPr>
          <w:sz w:val="20"/>
          <w:szCs w:val="20"/>
          <w:color w:val="auto"/>
        </w:rPr>
      </w:pPr>
      <w:r>
        <w:rPr>
          <w:rFonts w:ascii="Arial" w:cs="Arial" w:eastAsia="Arial" w:hAnsi="Arial"/>
          <w:sz w:val="15"/>
          <w:szCs w:val="15"/>
          <w:color w:val="auto"/>
        </w:rPr>
        <w:t>/s/Neil M. Bardach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1149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23" w:lineRule="exact"/>
        <w:rPr>
          <w:sz w:val="20"/>
          <w:szCs w:val="20"/>
          <w:color w:val="auto"/>
        </w:rPr>
      </w:pPr>
    </w:p>
    <w:p>
      <w:pPr>
        <w:jc w:val="right"/>
        <w:ind w:right="2020"/>
        <w:spacing w:after="0"/>
        <w:rPr>
          <w:sz w:val="20"/>
          <w:szCs w:val="20"/>
          <w:color w:val="auto"/>
        </w:rPr>
      </w:pPr>
      <w:r>
        <w:rPr>
          <w:rFonts w:ascii="Arial" w:cs="Arial" w:eastAsia="Arial" w:hAnsi="Arial"/>
          <w:sz w:val="17"/>
          <w:szCs w:val="17"/>
          <w:color w:val="auto"/>
        </w:rPr>
        <w:t>Neil M. Bardach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1860"/>
        <w:spacing w:after="0"/>
        <w:rPr>
          <w:sz w:val="20"/>
          <w:szCs w:val="20"/>
          <w:color w:val="auto"/>
        </w:rPr>
      </w:pPr>
      <w:r>
        <w:rPr>
          <w:rFonts w:ascii="Arial" w:cs="Arial" w:eastAsia="Arial" w:hAnsi="Arial"/>
          <w:sz w:val="16"/>
          <w:szCs w:val="16"/>
          <w:color w:val="auto"/>
        </w:rPr>
        <w:t>/s/Michael A. Cipolla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1203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2" w:lineRule="exact"/>
        <w:rPr>
          <w:sz w:val="20"/>
          <w:szCs w:val="20"/>
          <w:color w:val="auto"/>
        </w:rPr>
      </w:pPr>
    </w:p>
    <w:p>
      <w:pPr>
        <w:jc w:val="right"/>
        <w:ind w:right="1840"/>
        <w:spacing w:after="0"/>
        <w:rPr>
          <w:sz w:val="20"/>
          <w:szCs w:val="20"/>
          <w:color w:val="auto"/>
        </w:rPr>
      </w:pPr>
      <w:r>
        <w:rPr>
          <w:rFonts w:ascii="Arial" w:cs="Arial" w:eastAsia="Arial" w:hAnsi="Arial"/>
          <w:sz w:val="17"/>
          <w:szCs w:val="17"/>
          <w:color w:val="auto"/>
        </w:rPr>
        <w:t>Michael A. Cipolla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(principal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Vice President-Finance 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Treasurer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Controller and Chief Accounting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351155</wp:posOffset>
            </wp:positionV>
            <wp:extent cx="69602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602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March 20,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March 20,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March 20, 2001</w:t>
      </w:r>
    </w:p>
    <w:p>
      <w:pPr>
        <w:spacing w:after="0" w:line="1349" w:lineRule="exact"/>
        <w:rPr>
          <w:sz w:val="20"/>
          <w:szCs w:val="20"/>
          <w:color w:val="auto"/>
        </w:rPr>
      </w:pPr>
    </w:p>
    <w:p>
      <w:pPr>
        <w:sectPr>
          <w:pgSz w:w="11900" w:h="16838" w:orient="portrait"/>
          <w:cols w:equalWidth="0" w:num="3">
            <w:col w:w="3760" w:space="720"/>
            <w:col w:w="4260" w:space="720"/>
            <w:col w:w="1840"/>
          </w:cols>
          <w:pgMar w:left="240" w:top="131"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ind w:left="440"/>
              <w:spacing w:after="0"/>
              <w:rPr>
                <w:sz w:val="20"/>
                <w:szCs w:val="20"/>
                <w:color w:val="auto"/>
              </w:rPr>
            </w:pPr>
            <w:r>
              <w:rPr>
                <w:rFonts w:ascii="Arial" w:cs="Arial" w:eastAsia="Arial" w:hAnsi="Arial"/>
                <w:sz w:val="17"/>
                <w:szCs w:val="17"/>
                <w:color w:val="auto"/>
                <w:w w:val="86"/>
              </w:rPr>
              <w:t>/s/Jean-Paul Valles</w:t>
            </w:r>
          </w:p>
        </w:tc>
        <w:tc>
          <w:tcPr>
            <w:tcW w:w="1380" w:type="dxa"/>
            <w:vAlign w:val="bottom"/>
          </w:tcPr>
          <w:p>
            <w:pPr>
              <w:spacing w:after="0"/>
              <w:rPr>
                <w:sz w:val="16"/>
                <w:szCs w:val="16"/>
                <w:color w:val="auto"/>
              </w:rPr>
            </w:pPr>
          </w:p>
        </w:tc>
        <w:tc>
          <w:tcPr>
            <w:tcW w:w="5080" w:type="dxa"/>
            <w:vAlign w:val="bottom"/>
            <w:vMerge w:val="restart"/>
          </w:tcPr>
          <w:p>
            <w:pPr>
              <w:ind w:left="1380"/>
              <w:spacing w:after="0"/>
              <w:rPr>
                <w:sz w:val="20"/>
                <w:szCs w:val="20"/>
                <w:color w:val="auto"/>
              </w:rPr>
            </w:pPr>
            <w:r>
              <w:rPr>
                <w:rFonts w:ascii="Arial" w:cs="Arial" w:eastAsia="Arial" w:hAnsi="Arial"/>
                <w:sz w:val="17"/>
                <w:szCs w:val="17"/>
                <w:color w:val="auto"/>
              </w:rPr>
              <w:t>Chairman of the Board of Directors</w:t>
            </w:r>
          </w:p>
        </w:tc>
        <w:tc>
          <w:tcPr>
            <w:tcW w:w="2360" w:type="dxa"/>
            <w:vAlign w:val="bottom"/>
          </w:tcPr>
          <w:p>
            <w:pPr>
              <w:ind w:left="1280"/>
              <w:spacing w:after="0"/>
              <w:rPr>
                <w:sz w:val="20"/>
                <w:szCs w:val="20"/>
                <w:color w:val="auto"/>
              </w:rPr>
            </w:pPr>
            <w:r>
              <w:rPr>
                <w:rFonts w:ascii="Arial" w:cs="Arial" w:eastAsia="Arial" w:hAnsi="Arial"/>
                <w:sz w:val="17"/>
                <w:szCs w:val="17"/>
                <w:color w:val="auto"/>
                <w:w w:val="89"/>
              </w:rPr>
              <w:t>March 20, 2001</w:t>
            </w:r>
          </w:p>
        </w:tc>
        <w:tc>
          <w:tcPr>
            <w:tcW w:w="0" w:type="dxa"/>
            <w:vAlign w:val="bottom"/>
          </w:tcPr>
          <w:p>
            <w:pPr>
              <w:spacing w:after="0"/>
              <w:rPr>
                <w:sz w:val="1"/>
                <w:szCs w:val="1"/>
                <w:color w:val="auto"/>
              </w:rPr>
            </w:pPr>
          </w:p>
        </w:tc>
      </w:tr>
      <w:tr>
        <w:trPr>
          <w:trHeight w:val="226"/>
        </w:trPr>
        <w:tc>
          <w:tcPr>
            <w:tcW w:w="3100" w:type="dxa"/>
            <w:vAlign w:val="bottom"/>
            <w:gridSpan w:val="3"/>
          </w:tcPr>
          <w:p>
            <w:pPr>
              <w:jc w:val="center"/>
              <w:ind w:right="860"/>
              <w:spacing w:after="0"/>
              <w:rPr>
                <w:sz w:val="20"/>
                <w:szCs w:val="20"/>
                <w:color w:val="auto"/>
              </w:rPr>
            </w:pPr>
            <w:r>
              <w:rPr>
                <w:rFonts w:ascii="Arial" w:cs="Arial" w:eastAsia="Arial" w:hAnsi="Arial"/>
                <w:sz w:val="17"/>
                <w:szCs w:val="17"/>
                <w:color w:val="auto"/>
                <w:w w:val="87"/>
              </w:rPr>
              <w:t>Jean-Paul Valles</w:t>
            </w:r>
          </w:p>
        </w:tc>
        <w:tc>
          <w:tcPr>
            <w:tcW w:w="508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4"/>
        </w:trPr>
        <w:tc>
          <w:tcPr>
            <w:tcW w:w="1620" w:type="dxa"/>
            <w:vAlign w:val="bottom"/>
            <w:vMerge w:val="restart"/>
          </w:tcPr>
          <w:p>
            <w:pPr>
              <w:ind w:left="440"/>
              <w:spacing w:after="0"/>
              <w:rPr>
                <w:sz w:val="20"/>
                <w:szCs w:val="20"/>
                <w:color w:val="auto"/>
              </w:rPr>
            </w:pPr>
            <w:r>
              <w:rPr>
                <w:rFonts w:ascii="Arial" w:cs="Arial" w:eastAsia="Arial" w:hAnsi="Arial"/>
                <w:sz w:val="17"/>
                <w:szCs w:val="17"/>
                <w:color w:val="auto"/>
                <w:w w:val="89"/>
              </w:rPr>
              <w:t>/s/John B. Curcio</w:t>
            </w:r>
          </w:p>
        </w:tc>
        <w:tc>
          <w:tcPr>
            <w:tcW w:w="1480" w:type="dxa"/>
            <w:vAlign w:val="bottom"/>
            <w:gridSpan w:val="2"/>
            <w:vMerge w:val="restart"/>
          </w:tcPr>
          <w:p>
            <w:pPr>
              <w:spacing w:after="0"/>
              <w:rPr>
                <w:sz w:val="24"/>
                <w:szCs w:val="24"/>
                <w:color w:val="auto"/>
              </w:rPr>
            </w:pPr>
          </w:p>
        </w:tc>
        <w:tc>
          <w:tcPr>
            <w:tcW w:w="5080" w:type="dxa"/>
            <w:vAlign w:val="bottom"/>
          </w:tcPr>
          <w:p>
            <w:pPr>
              <w:ind w:left="3120"/>
              <w:spacing w:after="0"/>
              <w:rPr>
                <w:sz w:val="20"/>
                <w:szCs w:val="20"/>
                <w:color w:val="auto"/>
              </w:rPr>
            </w:pPr>
            <w:r>
              <w:rPr>
                <w:rFonts w:ascii="Arial" w:cs="Arial" w:eastAsia="Arial" w:hAnsi="Arial"/>
                <w:sz w:val="17"/>
                <w:szCs w:val="17"/>
                <w:color w:val="auto"/>
              </w:rPr>
              <w:t>Director</w:t>
            </w:r>
          </w:p>
        </w:tc>
        <w:tc>
          <w:tcPr>
            <w:tcW w:w="2360" w:type="dxa"/>
            <w:vAlign w:val="bottom"/>
          </w:tcPr>
          <w:p>
            <w:pPr>
              <w:ind w:left="1280"/>
              <w:spacing w:after="0"/>
              <w:rPr>
                <w:sz w:val="20"/>
                <w:szCs w:val="20"/>
                <w:color w:val="auto"/>
              </w:rPr>
            </w:pPr>
            <w:r>
              <w:rPr>
                <w:rFonts w:ascii="Arial" w:cs="Arial" w:eastAsia="Arial" w:hAnsi="Arial"/>
                <w:sz w:val="17"/>
                <w:szCs w:val="17"/>
                <w:color w:val="auto"/>
                <w:w w:val="89"/>
              </w:rPr>
              <w:t>March 20, 2001</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50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jc w:val="center"/>
              <w:ind w:right="880"/>
              <w:spacing w:after="0"/>
              <w:rPr>
                <w:sz w:val="20"/>
                <w:szCs w:val="20"/>
                <w:color w:val="auto"/>
              </w:rPr>
            </w:pPr>
            <w:r>
              <w:rPr>
                <w:rFonts w:ascii="Arial" w:cs="Arial" w:eastAsia="Arial" w:hAnsi="Arial"/>
                <w:sz w:val="17"/>
                <w:szCs w:val="17"/>
                <w:color w:val="auto"/>
                <w:w w:val="91"/>
              </w:rPr>
              <w:t>John B. Curcio</w:t>
            </w:r>
          </w:p>
        </w:tc>
        <w:tc>
          <w:tcPr>
            <w:tcW w:w="50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31" w:right="359" w:bottom="0" w:gutter="0" w:footer="0" w:header="0"/>
          <w:type w:val="continuous"/>
        </w:sectPr>
      </w:pPr>
    </w:p>
    <w:bookmarkStart w:id="20" w:name="page21"/>
    <w:bookmarkEnd w:id="20"/>
    <w:p>
      <w:pPr>
        <w:jc w:val="both"/>
        <w:ind w:left="6220"/>
        <w:spacing w:after="0"/>
        <w:tabs>
          <w:tab w:leader="none" w:pos="9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20, 2001</w:t>
      </w:r>
    </w:p>
    <w:p>
      <w:pPr>
        <w:spacing w:after="0" w:line="20" w:lineRule="exact"/>
        <w:rPr>
          <w:sz w:val="20"/>
          <w:szCs w:val="20"/>
          <w:color w:val="auto"/>
        </w:rPr>
      </w:pPr>
    </w:p>
    <w:p>
      <w:pPr>
        <w:jc w:val="right"/>
        <w:ind w:right="8860"/>
        <w:spacing w:after="0"/>
        <w:rPr>
          <w:sz w:val="20"/>
          <w:szCs w:val="20"/>
          <w:color w:val="auto"/>
        </w:rPr>
      </w:pPr>
      <w:r>
        <w:rPr>
          <w:rFonts w:ascii="Arial" w:cs="Arial" w:eastAsia="Arial" w:hAnsi="Arial"/>
          <w:sz w:val="17"/>
          <w:szCs w:val="17"/>
          <w:color w:val="auto"/>
        </w:rPr>
        <w:t>/s/Steven J. Golub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10598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jc w:val="right"/>
        <w:ind w:right="8900"/>
        <w:spacing w:after="0"/>
        <w:rPr>
          <w:sz w:val="20"/>
          <w:szCs w:val="20"/>
          <w:color w:val="auto"/>
        </w:rPr>
      </w:pPr>
      <w:r>
        <w:rPr>
          <w:rFonts w:ascii="Arial" w:cs="Arial" w:eastAsia="Arial" w:hAnsi="Arial"/>
          <w:sz w:val="17"/>
          <w:szCs w:val="17"/>
          <w:color w:val="auto"/>
        </w:rPr>
        <w:t>Steven J. Golub</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220"/>
        <w:spacing w:after="0"/>
        <w:tabs>
          <w:tab w:leader="none" w:pos="9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20, 2001</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/s/Kristina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12522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Kristina M. Johnson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220"/>
        <w:spacing w:after="0"/>
        <w:tabs>
          <w:tab w:leader="none" w:pos="9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20, 2001</w:t>
      </w:r>
    </w:p>
    <w:p>
      <w:pPr>
        <w:spacing w:after="0" w:line="20" w:lineRule="exact"/>
        <w:rPr>
          <w:sz w:val="20"/>
          <w:szCs w:val="20"/>
          <w:color w:val="auto"/>
        </w:rPr>
      </w:pPr>
    </w:p>
    <w:p>
      <w:pPr>
        <w:jc w:val="right"/>
        <w:ind w:right="8840"/>
        <w:spacing w:after="0"/>
        <w:rPr>
          <w:sz w:val="20"/>
          <w:szCs w:val="20"/>
          <w:color w:val="auto"/>
        </w:rPr>
      </w:pPr>
      <w:r>
        <w:rPr>
          <w:rFonts w:ascii="Arial" w:cs="Arial" w:eastAsia="Arial" w:hAnsi="Arial"/>
          <w:sz w:val="17"/>
          <w:szCs w:val="17"/>
          <w:color w:val="auto"/>
        </w:rPr>
        <w:t>/s/Paul M.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1071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jc w:val="right"/>
        <w:ind w:right="8840"/>
        <w:spacing w:after="0"/>
        <w:rPr>
          <w:sz w:val="20"/>
          <w:szCs w:val="20"/>
          <w:color w:val="auto"/>
        </w:rPr>
      </w:pPr>
      <w:r>
        <w:rPr>
          <w:rFonts w:ascii="Arial" w:cs="Arial" w:eastAsia="Arial" w:hAnsi="Arial"/>
          <w:sz w:val="17"/>
          <w:szCs w:val="17"/>
          <w:color w:val="auto"/>
        </w:rPr>
        <w:t>Paul M. Meister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220"/>
        <w:spacing w:after="0"/>
        <w:tabs>
          <w:tab w:leader="none" w:pos="9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20, 2001</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/s/Michael F. Pasquale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12433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Michael F. Pasquale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220"/>
        <w:spacing w:after="0"/>
        <w:tabs>
          <w:tab w:leader="none" w:pos="944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20, 2001</w:t>
      </w:r>
    </w:p>
    <w:p>
      <w:pPr>
        <w:spacing w:after="0" w:line="20" w:lineRule="exact"/>
        <w:rPr>
          <w:sz w:val="20"/>
          <w:szCs w:val="20"/>
          <w:color w:val="auto"/>
        </w:rPr>
      </w:pPr>
    </w:p>
    <w:p>
      <w:pPr>
        <w:jc w:val="center"/>
        <w:ind w:right="8320"/>
        <w:spacing w:after="0"/>
        <w:rPr>
          <w:sz w:val="20"/>
          <w:szCs w:val="20"/>
          <w:color w:val="auto"/>
        </w:rPr>
      </w:pPr>
      <w:r>
        <w:rPr>
          <w:rFonts w:ascii="Arial" w:cs="Arial" w:eastAsia="Arial" w:hAnsi="Arial"/>
          <w:sz w:val="17"/>
          <w:szCs w:val="17"/>
          <w:color w:val="auto"/>
        </w:rPr>
        <w:t>/s/William C. Steere,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12172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jc w:val="center"/>
        <w:ind w:right="8320"/>
        <w:spacing w:after="0"/>
        <w:rPr>
          <w:sz w:val="20"/>
          <w:szCs w:val="20"/>
          <w:color w:val="auto"/>
        </w:rPr>
      </w:pPr>
      <w:r>
        <w:rPr>
          <w:rFonts w:ascii="Arial" w:cs="Arial" w:eastAsia="Arial" w:hAnsi="Arial"/>
          <w:sz w:val="17"/>
          <w:szCs w:val="17"/>
          <w:color w:val="auto"/>
        </w:rPr>
        <w:t>William C. Steere,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60" w:type="dxa"/>
            <w:vAlign w:val="bottom"/>
          </w:tcPr>
          <w:p>
            <w:pPr>
              <w:ind w:left="2700"/>
              <w:spacing w:after="0"/>
              <w:rPr>
                <w:sz w:val="20"/>
                <w:szCs w:val="20"/>
                <w:color w:val="auto"/>
              </w:rPr>
            </w:pPr>
            <w:r>
              <w:rPr>
                <w:rFonts w:ascii="Arial" w:cs="Arial" w:eastAsia="Arial" w:hAnsi="Arial"/>
                <w:sz w:val="17"/>
                <w:szCs w:val="17"/>
                <w:b w:val="1"/>
                <w:bCs w:val="1"/>
                <w:color w:val="auto"/>
              </w:rPr>
              <w:t>MINERALS TECHNOLOGIES INC. AND SUBSIDIARY COMPANIES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60" w:type="dxa"/>
            <w:vAlign w:val="bottom"/>
          </w:tcPr>
          <w:p>
            <w:pPr>
              <w:ind w:left="3160"/>
              <w:spacing w:after="0"/>
              <w:rPr>
                <w:sz w:val="20"/>
                <w:szCs w:val="20"/>
                <w:color w:val="auto"/>
              </w:rPr>
            </w:pPr>
            <w:r>
              <w:rPr>
                <w:rFonts w:ascii="Arial" w:cs="Arial" w:eastAsia="Arial" w:hAnsi="Arial"/>
                <w:sz w:val="17"/>
                <w:szCs w:val="17"/>
                <w:b w:val="1"/>
                <w:bCs w:val="1"/>
                <w:color w:val="auto"/>
              </w:rPr>
              <w:t>INDEX TO CONSOLIDATED FINANCIAL STATEMENTS</w:t>
            </w:r>
          </w:p>
        </w:tc>
        <w:tc>
          <w:tcPr>
            <w:tcW w:w="400" w:type="dxa"/>
            <w:vAlign w:val="bottom"/>
            <w:gridSpan w:val="2"/>
            <w:vMerge w:val="restart"/>
          </w:tcPr>
          <w:p>
            <w:pPr>
              <w:spacing w:after="0"/>
              <w:rPr>
                <w:sz w:val="20"/>
                <w:szCs w:val="20"/>
                <w:color w:val="auto"/>
              </w:rPr>
            </w:pPr>
            <w:r>
              <w:rPr>
                <w:rFonts w:ascii="Arial" w:cs="Arial" w:eastAsia="Arial" w:hAnsi="Arial"/>
                <w:sz w:val="17"/>
                <w:szCs w:val="17"/>
                <w:color w:val="auto"/>
                <w:w w:val="95"/>
              </w:rPr>
              <w:t>Page</w:t>
            </w:r>
          </w:p>
        </w:tc>
        <w:tc>
          <w:tcPr>
            <w:tcW w:w="0" w:type="dxa"/>
            <w:vAlign w:val="bottom"/>
          </w:tcPr>
          <w:p>
            <w:pPr>
              <w:spacing w:after="0"/>
              <w:rPr>
                <w:sz w:val="1"/>
                <w:szCs w:val="1"/>
                <w:color w:val="auto"/>
              </w:rPr>
            </w:pPr>
          </w:p>
        </w:tc>
      </w:tr>
      <w:tr>
        <w:trPr>
          <w:trHeight w:val="173"/>
        </w:trPr>
        <w:tc>
          <w:tcPr>
            <w:tcW w:w="100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0060" w:type="dxa"/>
            <w:vAlign w:val="bottom"/>
          </w:tcPr>
          <w:p>
            <w:pPr>
              <w:spacing w:after="0"/>
              <w:rPr>
                <w:sz w:val="20"/>
                <w:szCs w:val="20"/>
                <w:color w:val="auto"/>
              </w:rPr>
            </w:pPr>
            <w:r>
              <w:rPr>
                <w:rFonts w:ascii="Arial" w:cs="Arial" w:eastAsia="Arial" w:hAnsi="Arial"/>
                <w:sz w:val="17"/>
                <w:szCs w:val="17"/>
                <w:color w:val="auto"/>
              </w:rPr>
              <w:t>Audited Financial Statements:</w:t>
            </w:r>
          </w:p>
        </w:tc>
        <w:tc>
          <w:tcPr>
            <w:tcW w:w="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0060" w:type="dxa"/>
            <w:vAlign w:val="bottom"/>
          </w:tcPr>
          <w:p>
            <w:pPr>
              <w:ind w:left="220"/>
              <w:spacing w:after="0"/>
              <w:rPr>
                <w:sz w:val="20"/>
                <w:szCs w:val="20"/>
                <w:color w:val="auto"/>
              </w:rPr>
            </w:pPr>
            <w:r>
              <w:rPr>
                <w:rFonts w:ascii="Arial" w:cs="Arial" w:eastAsia="Arial" w:hAnsi="Arial"/>
                <w:sz w:val="17"/>
                <w:szCs w:val="17"/>
                <w:color w:val="auto"/>
              </w:rPr>
              <w:t>Consolidated Balance Sheet as of December 31,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060" w:type="dxa"/>
            <w:vAlign w:val="bottom"/>
          </w:tcPr>
          <w:p>
            <w:pPr>
              <w:ind w:left="220"/>
              <w:spacing w:after="0"/>
              <w:rPr>
                <w:sz w:val="20"/>
                <w:szCs w:val="20"/>
                <w:color w:val="auto"/>
              </w:rPr>
            </w:pPr>
            <w:r>
              <w:rPr>
                <w:rFonts w:ascii="Arial" w:cs="Arial" w:eastAsia="Arial" w:hAnsi="Arial"/>
                <w:sz w:val="17"/>
                <w:szCs w:val="17"/>
                <w:color w:val="auto"/>
              </w:rPr>
              <w:t>2000 and 1999</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93"/>
              </w:rPr>
              <w:t>F-2</w:t>
            </w:r>
          </w:p>
        </w:tc>
        <w:tc>
          <w:tcPr>
            <w:tcW w:w="0" w:type="dxa"/>
            <w:vAlign w:val="bottom"/>
          </w:tcPr>
          <w:p>
            <w:pPr>
              <w:spacing w:after="0"/>
              <w:rPr>
                <w:sz w:val="1"/>
                <w:szCs w:val="1"/>
                <w:color w:val="auto"/>
              </w:rPr>
            </w:pPr>
          </w:p>
        </w:tc>
      </w:tr>
      <w:tr>
        <w:trPr>
          <w:trHeight w:val="505"/>
        </w:trPr>
        <w:tc>
          <w:tcPr>
            <w:tcW w:w="10060" w:type="dxa"/>
            <w:vAlign w:val="bottom"/>
          </w:tcPr>
          <w:p>
            <w:pPr>
              <w:ind w:left="220"/>
              <w:spacing w:after="0"/>
              <w:rPr>
                <w:sz w:val="20"/>
                <w:szCs w:val="20"/>
                <w:color w:val="auto"/>
              </w:rPr>
            </w:pPr>
            <w:r>
              <w:rPr>
                <w:rFonts w:ascii="Arial" w:cs="Arial" w:eastAsia="Arial" w:hAnsi="Arial"/>
                <w:sz w:val="17"/>
                <w:szCs w:val="17"/>
                <w:color w:val="auto"/>
              </w:rPr>
              <w:t>Consolidated Statement of Income for the years ended December 31,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60" w:type="dxa"/>
            <w:vAlign w:val="bottom"/>
          </w:tcPr>
          <w:p>
            <w:pPr>
              <w:ind w:left="220"/>
              <w:spacing w:after="0"/>
              <w:rPr>
                <w:sz w:val="20"/>
                <w:szCs w:val="20"/>
                <w:color w:val="auto"/>
              </w:rPr>
            </w:pPr>
            <w:r>
              <w:rPr>
                <w:rFonts w:ascii="Arial" w:cs="Arial" w:eastAsia="Arial" w:hAnsi="Arial"/>
                <w:sz w:val="17"/>
                <w:szCs w:val="17"/>
                <w:color w:val="auto"/>
              </w:rPr>
              <w:t>2000, 1999 and 1998</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93"/>
              </w:rPr>
              <w:t>F-3</w:t>
            </w:r>
          </w:p>
        </w:tc>
        <w:tc>
          <w:tcPr>
            <w:tcW w:w="0" w:type="dxa"/>
            <w:vAlign w:val="bottom"/>
          </w:tcPr>
          <w:p>
            <w:pPr>
              <w:spacing w:after="0"/>
              <w:rPr>
                <w:sz w:val="1"/>
                <w:szCs w:val="1"/>
                <w:color w:val="auto"/>
              </w:rPr>
            </w:pPr>
          </w:p>
        </w:tc>
      </w:tr>
      <w:tr>
        <w:trPr>
          <w:trHeight w:val="439"/>
        </w:trPr>
        <w:tc>
          <w:tcPr>
            <w:tcW w:w="10060" w:type="dxa"/>
            <w:vAlign w:val="bottom"/>
          </w:tcPr>
          <w:p>
            <w:pPr>
              <w:ind w:left="220"/>
              <w:spacing w:after="0"/>
              <w:rPr>
                <w:sz w:val="20"/>
                <w:szCs w:val="20"/>
                <w:color w:val="auto"/>
              </w:rPr>
            </w:pPr>
            <w:r>
              <w:rPr>
                <w:rFonts w:ascii="Arial" w:cs="Arial" w:eastAsia="Arial" w:hAnsi="Arial"/>
                <w:sz w:val="17"/>
                <w:szCs w:val="17"/>
                <w:color w:val="auto"/>
              </w:rPr>
              <w:t>Consolidated Statement of Cash Flows for the years ended December 31,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60" w:type="dxa"/>
            <w:vAlign w:val="bottom"/>
          </w:tcPr>
          <w:p>
            <w:pPr>
              <w:ind w:left="220"/>
              <w:spacing w:after="0"/>
              <w:rPr>
                <w:sz w:val="20"/>
                <w:szCs w:val="20"/>
                <w:color w:val="auto"/>
              </w:rPr>
            </w:pPr>
            <w:r>
              <w:rPr>
                <w:rFonts w:ascii="Arial" w:cs="Arial" w:eastAsia="Arial" w:hAnsi="Arial"/>
                <w:sz w:val="17"/>
                <w:szCs w:val="17"/>
                <w:color w:val="auto"/>
              </w:rPr>
              <w:t>2000, 1999 and 1998</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93"/>
              </w:rPr>
              <w:t>F-4</w:t>
            </w:r>
          </w:p>
        </w:tc>
        <w:tc>
          <w:tcPr>
            <w:tcW w:w="0" w:type="dxa"/>
            <w:vAlign w:val="bottom"/>
          </w:tcPr>
          <w:p>
            <w:pPr>
              <w:spacing w:after="0"/>
              <w:rPr>
                <w:sz w:val="1"/>
                <w:szCs w:val="1"/>
                <w:color w:val="auto"/>
              </w:rPr>
            </w:pPr>
          </w:p>
        </w:tc>
      </w:tr>
      <w:tr>
        <w:trPr>
          <w:trHeight w:val="649"/>
        </w:trPr>
        <w:tc>
          <w:tcPr>
            <w:tcW w:w="10060" w:type="dxa"/>
            <w:vAlign w:val="bottom"/>
          </w:tcPr>
          <w:p>
            <w:pPr>
              <w:ind w:left="220"/>
              <w:spacing w:after="0"/>
              <w:rPr>
                <w:sz w:val="20"/>
                <w:szCs w:val="20"/>
                <w:color w:val="auto"/>
              </w:rPr>
            </w:pPr>
            <w:r>
              <w:rPr>
                <w:rFonts w:ascii="Arial" w:cs="Arial" w:eastAsia="Arial" w:hAnsi="Arial"/>
                <w:sz w:val="17"/>
                <w:szCs w:val="17"/>
                <w:color w:val="auto"/>
              </w:rPr>
              <w:t>Consolidated Statement of Shareholders' Equity for the years ended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60" w:type="dxa"/>
            <w:vAlign w:val="bottom"/>
          </w:tcPr>
          <w:p>
            <w:pPr>
              <w:ind w:left="220"/>
              <w:spacing w:after="0"/>
              <w:rPr>
                <w:sz w:val="20"/>
                <w:szCs w:val="20"/>
                <w:color w:val="auto"/>
              </w:rPr>
            </w:pPr>
            <w:r>
              <w:rPr>
                <w:rFonts w:ascii="Arial" w:cs="Arial" w:eastAsia="Arial" w:hAnsi="Arial"/>
                <w:sz w:val="17"/>
                <w:szCs w:val="17"/>
                <w:color w:val="auto"/>
              </w:rPr>
              <w:t>December 31, 2000, 1999 and 1998</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93"/>
              </w:rPr>
              <w:t>F-5</w:t>
            </w:r>
          </w:p>
        </w:tc>
        <w:tc>
          <w:tcPr>
            <w:tcW w:w="0" w:type="dxa"/>
            <w:vAlign w:val="bottom"/>
          </w:tcPr>
          <w:p>
            <w:pPr>
              <w:spacing w:after="0"/>
              <w:rPr>
                <w:sz w:val="1"/>
                <w:szCs w:val="1"/>
                <w:color w:val="auto"/>
              </w:rPr>
            </w:pPr>
          </w:p>
        </w:tc>
      </w:tr>
      <w:tr>
        <w:trPr>
          <w:trHeight w:val="471"/>
        </w:trPr>
        <w:tc>
          <w:tcPr>
            <w:tcW w:w="10060" w:type="dxa"/>
            <w:vAlign w:val="bottom"/>
          </w:tcPr>
          <w:p>
            <w:pPr>
              <w:ind w:left="220"/>
              <w:spacing w:after="0"/>
              <w:rPr>
                <w:sz w:val="20"/>
                <w:szCs w:val="20"/>
                <w:color w:val="auto"/>
              </w:rPr>
            </w:pPr>
            <w:r>
              <w:rPr>
                <w:rFonts w:ascii="Arial" w:cs="Arial" w:eastAsia="Arial" w:hAnsi="Arial"/>
                <w:sz w:val="17"/>
                <w:szCs w:val="17"/>
                <w:color w:val="auto"/>
              </w:rPr>
              <w:t>Notes to Consolidated Financial Statements</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93"/>
              </w:rPr>
              <w:t>F-6</w:t>
            </w:r>
          </w:p>
        </w:tc>
        <w:tc>
          <w:tcPr>
            <w:tcW w:w="0" w:type="dxa"/>
            <w:vAlign w:val="bottom"/>
          </w:tcPr>
          <w:p>
            <w:pPr>
              <w:spacing w:after="0"/>
              <w:rPr>
                <w:sz w:val="1"/>
                <w:szCs w:val="1"/>
                <w:color w:val="auto"/>
              </w:rPr>
            </w:pPr>
          </w:p>
        </w:tc>
      </w:tr>
      <w:tr>
        <w:trPr>
          <w:trHeight w:val="471"/>
        </w:trPr>
        <w:tc>
          <w:tcPr>
            <w:tcW w:w="10060" w:type="dxa"/>
            <w:vAlign w:val="bottom"/>
          </w:tcPr>
          <w:p>
            <w:pPr>
              <w:ind w:left="220"/>
              <w:spacing w:after="0"/>
              <w:rPr>
                <w:sz w:val="20"/>
                <w:szCs w:val="20"/>
                <w:color w:val="auto"/>
              </w:rPr>
            </w:pPr>
            <w:r>
              <w:rPr>
                <w:rFonts w:ascii="Arial" w:cs="Arial" w:eastAsia="Arial" w:hAnsi="Arial"/>
                <w:sz w:val="17"/>
                <w:szCs w:val="17"/>
                <w:color w:val="auto"/>
              </w:rPr>
              <w:t>Independent Auditors' Report</w:t>
            </w: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w w:val="91"/>
              </w:rPr>
              <w:t>F-21</w:t>
            </w:r>
          </w:p>
        </w:tc>
        <w:tc>
          <w:tcPr>
            <w:tcW w:w="0" w:type="dxa"/>
            <w:vAlign w:val="bottom"/>
          </w:tcPr>
          <w:p>
            <w:pPr>
              <w:spacing w:after="0"/>
              <w:rPr>
                <w:sz w:val="1"/>
                <w:szCs w:val="1"/>
                <w:color w:val="auto"/>
              </w:rPr>
            </w:pPr>
          </w:p>
        </w:tc>
      </w:tr>
    </w:tbl>
    <w:p>
      <w:pPr>
        <w:sectPr>
          <w:pgSz w:w="11900" w:h="16838" w:orient="portrait"/>
          <w:cols w:equalWidth="0" w:num="1">
            <w:col w:w="10540"/>
          </w:cols>
          <w:pgMar w:left="240" w:top="602" w:right="111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MINERALS TECHNOLOGIES INC. AND SUBSIDIARY COMPANIES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(thousands of dollars)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Borders>
              <w:bottom w:val="single" w:sz="8" w:color="C0C0C0"/>
            </w:tcBorders>
            <w:shd w:val="clear" w:color="auto" w:fill="C0C0C0"/>
          </w:tcPr>
          <w:p>
            <w:pPr>
              <w:spacing w:after="0"/>
              <w:rPr>
                <w:sz w:val="16"/>
                <w:szCs w:val="16"/>
                <w:color w:val="auto"/>
              </w:rPr>
            </w:pPr>
          </w:p>
        </w:tc>
        <w:tc>
          <w:tcPr>
            <w:tcW w:w="760" w:type="dxa"/>
            <w:vAlign w:val="bottom"/>
            <w:tcBorders>
              <w:bottom w:val="single" w:sz="8" w:color="C0C0C0"/>
            </w:tcBorders>
            <w:shd w:val="clear" w:color="auto" w:fill="C0C0C0"/>
          </w:tcPr>
          <w:p>
            <w:pPr>
              <w:spacing w:after="0"/>
              <w:rPr>
                <w:sz w:val="16"/>
                <w:szCs w:val="16"/>
                <w:color w:val="auto"/>
              </w:rPr>
            </w:pPr>
          </w:p>
        </w:tc>
        <w:tc>
          <w:tcPr>
            <w:tcW w:w="40" w:type="dxa"/>
            <w:vAlign w:val="bottom"/>
            <w:tcBorders>
              <w:bottom w:val="single" w:sz="8" w:color="C0C0C0"/>
            </w:tcBorders>
            <w:shd w:val="clear" w:color="auto" w:fill="C0C0C0"/>
          </w:tcPr>
          <w:p>
            <w:pPr>
              <w:spacing w:after="0"/>
              <w:rPr>
                <w:sz w:val="16"/>
                <w:szCs w:val="16"/>
                <w:color w:val="auto"/>
              </w:rPr>
            </w:pPr>
          </w:p>
        </w:tc>
        <w:tc>
          <w:tcPr>
            <w:tcW w:w="80" w:type="dxa"/>
            <w:vAlign w:val="bottom"/>
            <w:tcBorders>
              <w:bottom w:val="single" w:sz="8" w:color="C0C0C0"/>
            </w:tcBorders>
            <w:shd w:val="clear" w:color="auto" w:fill="C0C0C0"/>
          </w:tcPr>
          <w:p>
            <w:pPr>
              <w:spacing w:after="0"/>
              <w:rPr>
                <w:sz w:val="16"/>
                <w:szCs w:val="16"/>
                <w:color w:val="auto"/>
              </w:rPr>
            </w:pPr>
          </w:p>
        </w:tc>
        <w:tc>
          <w:tcPr>
            <w:tcW w:w="180" w:type="dxa"/>
            <w:vAlign w:val="bottom"/>
            <w:tcBorders>
              <w:bottom w:val="single" w:sz="8" w:color="C0C0C0"/>
            </w:tcBorders>
            <w:shd w:val="clear" w:color="auto" w:fill="C0C0C0"/>
          </w:tcPr>
          <w:p>
            <w:pPr>
              <w:spacing w:after="0"/>
              <w:rPr>
                <w:sz w:val="16"/>
                <w:szCs w:val="16"/>
                <w:color w:val="auto"/>
              </w:rPr>
            </w:pPr>
          </w:p>
        </w:tc>
        <w:tc>
          <w:tcPr>
            <w:tcW w:w="300" w:type="dxa"/>
            <w:vAlign w:val="bottom"/>
            <w:tcBorders>
              <w:bottom w:val="single" w:sz="8" w:color="C0C0C0"/>
            </w:tcBorders>
            <w:shd w:val="clear" w:color="auto" w:fill="C0C0C0"/>
          </w:tcPr>
          <w:p>
            <w:pPr>
              <w:spacing w:after="0"/>
              <w:rPr>
                <w:sz w:val="16"/>
                <w:szCs w:val="16"/>
                <w:color w:val="auto"/>
              </w:rPr>
            </w:pPr>
          </w:p>
        </w:tc>
        <w:tc>
          <w:tcPr>
            <w:tcW w:w="40" w:type="dxa"/>
            <w:vAlign w:val="bottom"/>
            <w:tcBorders>
              <w:bottom w:val="single" w:sz="8" w:color="C0C0C0"/>
            </w:tcBorders>
            <w:shd w:val="clear" w:color="auto" w:fill="C0C0C0"/>
          </w:tcPr>
          <w:p>
            <w:pPr>
              <w:spacing w:after="0"/>
              <w:rPr>
                <w:sz w:val="16"/>
                <w:szCs w:val="16"/>
                <w:color w:val="auto"/>
              </w:rPr>
            </w:pPr>
          </w:p>
        </w:tc>
        <w:tc>
          <w:tcPr>
            <w:tcW w:w="200" w:type="dxa"/>
            <w:vAlign w:val="bottom"/>
            <w:tcBorders>
              <w:bottom w:val="single" w:sz="8" w:color="C0C0C0"/>
            </w:tcBorders>
            <w:shd w:val="clear" w:color="auto" w:fill="C0C0C0"/>
          </w:tcPr>
          <w:p>
            <w:pPr>
              <w:spacing w:after="0"/>
              <w:rPr>
                <w:sz w:val="16"/>
                <w:szCs w:val="16"/>
                <w:color w:val="auto"/>
              </w:rPr>
            </w:pPr>
          </w:p>
        </w:tc>
        <w:tc>
          <w:tcPr>
            <w:tcW w:w="1000" w:type="dxa"/>
            <w:vAlign w:val="bottom"/>
            <w:tcBorders>
              <w:bottom w:val="single" w:sz="8" w:color="auto"/>
            </w:tcBorders>
            <w:gridSpan w:val="3"/>
            <w:shd w:val="clear" w:color="auto" w:fill="C0C0C0"/>
          </w:tcPr>
          <w:p>
            <w:pPr>
              <w:spacing w:after="0"/>
              <w:rPr>
                <w:sz w:val="20"/>
                <w:szCs w:val="20"/>
                <w:color w:val="auto"/>
              </w:rPr>
            </w:pPr>
            <w:r>
              <w:rPr>
                <w:rFonts w:ascii="Arial" w:cs="Arial" w:eastAsia="Arial" w:hAnsi="Arial"/>
                <w:sz w:val="17"/>
                <w:szCs w:val="17"/>
                <w:b w:val="1"/>
                <w:bCs w:val="1"/>
                <w:color w:val="auto"/>
                <w:w w:val="88"/>
              </w:rPr>
              <w:t>December 31,</w:t>
            </w:r>
          </w:p>
        </w:tc>
        <w:tc>
          <w:tcPr>
            <w:tcW w:w="500" w:type="dxa"/>
            <w:vAlign w:val="bottom"/>
            <w:tcBorders>
              <w:bottom w:val="single" w:sz="8" w:color="C0C0C0"/>
            </w:tcBorders>
            <w:gridSpan w:val="3"/>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vMerge w:val="restart"/>
            <w:shd w:val="clear" w:color="auto" w:fill="C0C0C0"/>
          </w:tcPr>
          <w:p>
            <w:pPr>
              <w:ind w:left="3580"/>
              <w:spacing w:after="0"/>
              <w:rPr>
                <w:sz w:val="20"/>
                <w:szCs w:val="20"/>
                <w:color w:val="auto"/>
              </w:rPr>
            </w:pPr>
            <w:r>
              <w:rPr>
                <w:rFonts w:ascii="Arial" w:cs="Arial" w:eastAsia="Arial" w:hAnsi="Arial"/>
                <w:sz w:val="17"/>
                <w:szCs w:val="17"/>
                <w:b w:val="1"/>
                <w:bCs w:val="1"/>
                <w:color w:val="auto"/>
              </w:rPr>
              <w:t>Assets</w:t>
            </w:r>
          </w:p>
        </w:tc>
        <w:tc>
          <w:tcPr>
            <w:tcW w:w="760" w:type="dxa"/>
            <w:vAlign w:val="bottom"/>
            <w:shd w:val="clear" w:color="auto" w:fill="C0C0C0"/>
          </w:tcPr>
          <w:p>
            <w:pPr>
              <w:spacing w:after="0"/>
              <w:rPr>
                <w:sz w:val="18"/>
                <w:szCs w:val="18"/>
                <w:color w:val="auto"/>
              </w:rPr>
            </w:pPr>
          </w:p>
        </w:tc>
        <w:tc>
          <w:tcPr>
            <w:tcW w:w="640" w:type="dxa"/>
            <w:vAlign w:val="bottom"/>
            <w:gridSpan w:val="5"/>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200" w:type="dxa"/>
            <w:vAlign w:val="bottom"/>
            <w:shd w:val="clear" w:color="auto" w:fill="C0C0C0"/>
          </w:tcPr>
          <w:p>
            <w:pPr>
              <w:spacing w:after="0"/>
              <w:rPr>
                <w:sz w:val="18"/>
                <w:szCs w:val="18"/>
                <w:color w:val="auto"/>
              </w:rPr>
            </w:pPr>
          </w:p>
        </w:tc>
        <w:tc>
          <w:tcPr>
            <w:tcW w:w="900" w:type="dxa"/>
            <w:vAlign w:val="bottom"/>
            <w:shd w:val="clear" w:color="auto" w:fill="C0C0C0"/>
          </w:tcPr>
          <w:p>
            <w:pPr>
              <w:spacing w:after="0"/>
              <w:rPr>
                <w:sz w:val="18"/>
                <w:szCs w:val="18"/>
                <w:color w:val="auto"/>
              </w:rPr>
            </w:pPr>
          </w:p>
        </w:tc>
        <w:tc>
          <w:tcPr>
            <w:tcW w:w="600" w:type="dxa"/>
            <w:vAlign w:val="bottom"/>
            <w:gridSpan w:val="5"/>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0" w:type="dxa"/>
            <w:vAlign w:val="bottom"/>
          </w:tcPr>
          <w:p>
            <w:pPr>
              <w:spacing w:after="0"/>
              <w:rPr>
                <w:sz w:val="1"/>
                <w:szCs w:val="1"/>
                <w:color w:val="auto"/>
              </w:rPr>
            </w:pPr>
          </w:p>
        </w:tc>
      </w:tr>
      <w:tr>
        <w:trPr>
          <w:trHeight w:val="261"/>
        </w:trPr>
        <w:tc>
          <w:tcPr>
            <w:tcW w:w="7620" w:type="dxa"/>
            <w:vAlign w:val="bottom"/>
            <w:tcBorders>
              <w:top w:val="single" w:sz="8" w:color="C0C0C0"/>
              <w:bottom w:val="single" w:sz="8" w:color="C0C0C0"/>
            </w:tcBorders>
            <w:vMerge w:val="continue"/>
            <w:shd w:val="clear" w:color="auto" w:fill="C0C0C0"/>
          </w:tcPr>
          <w:p>
            <w:pPr>
              <w:spacing w:after="0"/>
              <w:rPr>
                <w:sz w:val="22"/>
                <w:szCs w:val="22"/>
                <w:color w:val="auto"/>
              </w:rPr>
            </w:pPr>
          </w:p>
        </w:tc>
        <w:tc>
          <w:tcPr>
            <w:tcW w:w="760" w:type="dxa"/>
            <w:vAlign w:val="bottom"/>
            <w:tcBorders>
              <w:top w:val="single" w:sz="8" w:color="C0C0C0"/>
              <w:bottom w:val="single" w:sz="8" w:color="C0C0C0"/>
            </w:tcBorders>
            <w:shd w:val="clear" w:color="auto" w:fill="C0C0C0"/>
          </w:tcPr>
          <w:p>
            <w:pPr>
              <w:spacing w:after="0"/>
              <w:rPr>
                <w:sz w:val="22"/>
                <w:szCs w:val="22"/>
                <w:color w:val="auto"/>
              </w:rPr>
            </w:pPr>
          </w:p>
        </w:tc>
        <w:tc>
          <w:tcPr>
            <w:tcW w:w="40" w:type="dxa"/>
            <w:vAlign w:val="bottom"/>
            <w:tcBorders>
              <w:top w:val="single" w:sz="8" w:color="C0C0C0"/>
              <w:bottom w:val="single" w:sz="8" w:color="C0C0C0"/>
            </w:tcBorders>
            <w:shd w:val="clear" w:color="auto" w:fill="C0C0C0"/>
          </w:tcPr>
          <w:p>
            <w:pPr>
              <w:spacing w:after="0"/>
              <w:rPr>
                <w:sz w:val="22"/>
                <w:szCs w:val="22"/>
                <w:color w:val="auto"/>
              </w:rPr>
            </w:pPr>
          </w:p>
        </w:tc>
        <w:tc>
          <w:tcPr>
            <w:tcW w:w="80" w:type="dxa"/>
            <w:vAlign w:val="bottom"/>
            <w:tcBorders>
              <w:top w:val="single" w:sz="8" w:color="C0C0C0"/>
              <w:bottom w:val="single" w:sz="8" w:color="C0C0C0"/>
            </w:tcBorders>
            <w:shd w:val="clear" w:color="auto" w:fill="C0C0C0"/>
          </w:tcPr>
          <w:p>
            <w:pPr>
              <w:spacing w:after="0"/>
              <w:rPr>
                <w:sz w:val="22"/>
                <w:szCs w:val="22"/>
                <w:color w:val="auto"/>
              </w:rPr>
            </w:pPr>
          </w:p>
        </w:tc>
        <w:tc>
          <w:tcPr>
            <w:tcW w:w="180" w:type="dxa"/>
            <w:vAlign w:val="bottom"/>
            <w:tcBorders>
              <w:top w:val="single" w:sz="8" w:color="C0C0C0"/>
              <w:bottom w:val="single" w:sz="8" w:color="C0C0C0"/>
            </w:tcBorders>
            <w:shd w:val="clear" w:color="auto" w:fill="C0C0C0"/>
          </w:tcPr>
          <w:p>
            <w:pPr>
              <w:spacing w:after="0"/>
              <w:rPr>
                <w:sz w:val="22"/>
                <w:szCs w:val="22"/>
                <w:color w:val="auto"/>
              </w:rPr>
            </w:pPr>
          </w:p>
        </w:tc>
        <w:tc>
          <w:tcPr>
            <w:tcW w:w="300" w:type="dxa"/>
            <w:vAlign w:val="bottom"/>
            <w:tcBorders>
              <w:top w:val="single" w:sz="8" w:color="auto"/>
              <w:bottom w:val="single" w:sz="8" w:color="C0C0C0"/>
            </w:tcBorders>
            <w:shd w:val="clear" w:color="auto" w:fill="C0C0C0"/>
          </w:tcPr>
          <w:p>
            <w:pPr>
              <w:spacing w:after="0"/>
              <w:rPr>
                <w:sz w:val="22"/>
                <w:szCs w:val="22"/>
                <w:color w:val="auto"/>
              </w:rPr>
            </w:pPr>
          </w:p>
        </w:tc>
        <w:tc>
          <w:tcPr>
            <w:tcW w:w="40" w:type="dxa"/>
            <w:vAlign w:val="bottom"/>
            <w:tcBorders>
              <w:top w:val="single" w:sz="8" w:color="auto"/>
              <w:bottom w:val="single" w:sz="8" w:color="C0C0C0"/>
            </w:tcBorders>
            <w:shd w:val="clear" w:color="auto" w:fill="C0C0C0"/>
          </w:tcPr>
          <w:p>
            <w:pPr>
              <w:spacing w:after="0"/>
              <w:rPr>
                <w:sz w:val="22"/>
                <w:szCs w:val="22"/>
                <w:color w:val="auto"/>
              </w:rPr>
            </w:pPr>
          </w:p>
        </w:tc>
        <w:tc>
          <w:tcPr>
            <w:tcW w:w="200" w:type="dxa"/>
            <w:vAlign w:val="bottom"/>
            <w:tcBorders>
              <w:top w:val="single" w:sz="8" w:color="C0C0C0"/>
              <w:bottom w:val="single" w:sz="8" w:color="C0C0C0"/>
            </w:tcBorders>
            <w:shd w:val="clear" w:color="auto" w:fill="C0C0C0"/>
          </w:tcPr>
          <w:p>
            <w:pPr>
              <w:spacing w:after="0"/>
              <w:rPr>
                <w:sz w:val="22"/>
                <w:szCs w:val="22"/>
                <w:color w:val="auto"/>
              </w:rPr>
            </w:pPr>
          </w:p>
        </w:tc>
        <w:tc>
          <w:tcPr>
            <w:tcW w:w="900" w:type="dxa"/>
            <w:vAlign w:val="bottom"/>
            <w:tcBorders>
              <w:top w:val="single" w:sz="8" w:color="C0C0C0"/>
              <w:bottom w:val="single" w:sz="8" w:color="C0C0C0"/>
            </w:tcBorders>
            <w:shd w:val="clear" w:color="auto" w:fill="C0C0C0"/>
          </w:tcPr>
          <w:p>
            <w:pPr>
              <w:spacing w:after="0"/>
              <w:rPr>
                <w:sz w:val="22"/>
                <w:szCs w:val="22"/>
                <w:color w:val="auto"/>
              </w:rPr>
            </w:pPr>
          </w:p>
        </w:tc>
        <w:tc>
          <w:tcPr>
            <w:tcW w:w="20" w:type="dxa"/>
            <w:vAlign w:val="bottom"/>
            <w:tcBorders>
              <w:top w:val="single" w:sz="8" w:color="C0C0C0"/>
              <w:bottom w:val="single" w:sz="8" w:color="C0C0C0"/>
            </w:tcBorders>
            <w:shd w:val="clear" w:color="auto" w:fill="C0C0C0"/>
          </w:tcPr>
          <w:p>
            <w:pPr>
              <w:spacing w:after="0"/>
              <w:rPr>
                <w:sz w:val="22"/>
                <w:szCs w:val="22"/>
                <w:color w:val="auto"/>
              </w:rPr>
            </w:pPr>
          </w:p>
        </w:tc>
        <w:tc>
          <w:tcPr>
            <w:tcW w:w="80" w:type="dxa"/>
            <w:vAlign w:val="bottom"/>
            <w:tcBorders>
              <w:top w:val="single" w:sz="8" w:color="C0C0C0"/>
              <w:bottom w:val="single" w:sz="8" w:color="C0C0C0"/>
            </w:tcBorders>
            <w:shd w:val="clear" w:color="auto" w:fill="C0C0C0"/>
          </w:tcPr>
          <w:p>
            <w:pPr>
              <w:spacing w:after="0"/>
              <w:rPr>
                <w:sz w:val="22"/>
                <w:szCs w:val="22"/>
                <w:color w:val="auto"/>
              </w:rPr>
            </w:pPr>
          </w:p>
        </w:tc>
        <w:tc>
          <w:tcPr>
            <w:tcW w:w="160" w:type="dxa"/>
            <w:vAlign w:val="bottom"/>
            <w:tcBorders>
              <w:top w:val="single" w:sz="8" w:color="C0C0C0"/>
              <w:bottom w:val="single" w:sz="8" w:color="C0C0C0"/>
            </w:tcBorders>
            <w:shd w:val="clear" w:color="auto" w:fill="C0C0C0"/>
          </w:tcPr>
          <w:p>
            <w:pPr>
              <w:spacing w:after="0"/>
              <w:rPr>
                <w:sz w:val="22"/>
                <w:szCs w:val="22"/>
                <w:color w:val="auto"/>
              </w:rPr>
            </w:pPr>
          </w:p>
        </w:tc>
        <w:tc>
          <w:tcPr>
            <w:tcW w:w="300" w:type="dxa"/>
            <w:vAlign w:val="bottom"/>
            <w:tcBorders>
              <w:top w:val="single" w:sz="8" w:color="auto"/>
              <w:bottom w:val="single" w:sz="8" w:color="C0C0C0"/>
            </w:tcBorders>
            <w:shd w:val="clear" w:color="auto" w:fill="C0C0C0"/>
          </w:tcPr>
          <w:p>
            <w:pPr>
              <w:spacing w:after="0"/>
              <w:rPr>
                <w:sz w:val="22"/>
                <w:szCs w:val="22"/>
                <w:color w:val="auto"/>
              </w:rPr>
            </w:pPr>
          </w:p>
        </w:tc>
        <w:tc>
          <w:tcPr>
            <w:tcW w:w="40" w:type="dxa"/>
            <w:vAlign w:val="bottom"/>
            <w:tcBorders>
              <w:top w:val="single" w:sz="8" w:color="auto"/>
              <w:bottom w:val="single" w:sz="8" w:color="C0C0C0"/>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7620" w:type="dxa"/>
            <w:vAlign w:val="bottom"/>
          </w:tcPr>
          <w:p>
            <w:pPr>
              <w:spacing w:after="0"/>
              <w:rPr>
                <w:sz w:val="20"/>
                <w:szCs w:val="20"/>
                <w:color w:val="auto"/>
              </w:rPr>
            </w:pPr>
            <w:r>
              <w:rPr>
                <w:rFonts w:ascii="Arial" w:cs="Arial" w:eastAsia="Arial" w:hAnsi="Arial"/>
                <w:sz w:val="17"/>
                <w:szCs w:val="17"/>
                <w:color w:val="auto"/>
              </w:rPr>
              <w:t>Current assets:</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6,692</w:t>
            </w:r>
          </w:p>
        </w:tc>
        <w:tc>
          <w:tcPr>
            <w:tcW w:w="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20,378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7620" w:type="dxa"/>
            <w:vAlign w:val="bottom"/>
          </w:tcPr>
          <w:p>
            <w:pPr>
              <w:ind w:left="200"/>
              <w:spacing w:after="0"/>
              <w:rPr>
                <w:sz w:val="20"/>
                <w:szCs w:val="20"/>
                <w:color w:val="auto"/>
              </w:rPr>
            </w:pPr>
            <w:r>
              <w:rPr>
                <w:rFonts w:ascii="Arial" w:cs="Arial" w:eastAsia="Arial" w:hAnsi="Arial"/>
                <w:sz w:val="17"/>
                <w:szCs w:val="17"/>
                <w:color w:val="auto"/>
              </w:rPr>
              <w:t>Accounts receivable, less allowance for doubtful accounts: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20"/>
              <w:spacing w:after="0"/>
              <w:rPr>
                <w:sz w:val="20"/>
                <w:szCs w:val="20"/>
                <w:color w:val="auto"/>
              </w:rPr>
            </w:pPr>
            <w:r>
              <w:rPr>
                <w:rFonts w:ascii="Arial" w:cs="Arial" w:eastAsia="Arial" w:hAnsi="Arial"/>
                <w:sz w:val="17"/>
                <w:szCs w:val="17"/>
                <w:color w:val="auto"/>
              </w:rPr>
              <w:t>2000 - $2,898; 1999 - $3,100</w:t>
            </w:r>
          </w:p>
        </w:tc>
        <w:tc>
          <w:tcPr>
            <w:tcW w:w="76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7"/>
                <w:szCs w:val="17"/>
                <w:color w:val="auto"/>
                <w:w w:val="94"/>
              </w:rPr>
              <w:t>116,192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w w:val="87"/>
              </w:rPr>
              <w:t>118,327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71,883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67,427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620" w:type="dxa"/>
            <w:vAlign w:val="bottom"/>
          </w:tcPr>
          <w:p>
            <w:pPr>
              <w:ind w:left="220"/>
              <w:spacing w:after="0" w:line="179" w:lineRule="exact"/>
              <w:rPr>
                <w:sz w:val="20"/>
                <w:szCs w:val="20"/>
                <w:color w:val="auto"/>
              </w:rPr>
            </w:pPr>
            <w:r>
              <w:rPr>
                <w:rFonts w:ascii="Arial" w:cs="Arial" w:eastAsia="Arial" w:hAnsi="Arial"/>
                <w:sz w:val="17"/>
                <w:szCs w:val="17"/>
                <w:color w:val="auto"/>
              </w:rPr>
              <w:t>Other current assets</w:t>
            </w:r>
          </w:p>
        </w:tc>
        <w:tc>
          <w:tcPr>
            <w:tcW w:w="760" w:type="dxa"/>
            <w:vAlign w:val="bottom"/>
          </w:tcPr>
          <w:p>
            <w:pPr>
              <w:spacing w:after="0"/>
              <w:rPr>
                <w:sz w:val="15"/>
                <w:szCs w:val="15"/>
                <w:color w:val="auto"/>
              </w:rPr>
            </w:pPr>
          </w:p>
        </w:tc>
        <w:tc>
          <w:tcPr>
            <w:tcW w:w="600" w:type="dxa"/>
            <w:vAlign w:val="bottom"/>
            <w:tcBorders>
              <w:bottom w:val="single" w:sz="8" w:color="auto"/>
            </w:tcBorders>
            <w:gridSpan w:val="4"/>
          </w:tcPr>
          <w:p>
            <w:pPr>
              <w:jc w:val="right"/>
              <w:spacing w:after="0" w:line="179" w:lineRule="exact"/>
              <w:rPr>
                <w:sz w:val="20"/>
                <w:szCs w:val="20"/>
                <w:color w:val="auto"/>
              </w:rPr>
            </w:pPr>
            <w:r>
              <w:rPr>
                <w:rFonts w:ascii="Arial" w:cs="Arial" w:eastAsia="Arial" w:hAnsi="Arial"/>
                <w:sz w:val="17"/>
                <w:szCs w:val="17"/>
                <w:color w:val="auto"/>
              </w:rPr>
              <w:t>20,590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gridSpan w:val="3"/>
          </w:tcPr>
          <w:p>
            <w:pPr>
              <w:jc w:val="right"/>
              <w:spacing w:after="0" w:line="179" w:lineRule="exact"/>
              <w:rPr>
                <w:sz w:val="20"/>
                <w:szCs w:val="20"/>
                <w:color w:val="auto"/>
              </w:rPr>
            </w:pPr>
            <w:r>
              <w:rPr>
                <w:rFonts w:ascii="Arial" w:cs="Arial" w:eastAsia="Arial" w:hAnsi="Arial"/>
                <w:sz w:val="17"/>
                <w:szCs w:val="17"/>
                <w:color w:val="auto"/>
                <w:w w:val="99"/>
              </w:rPr>
              <w:t>13,815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62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76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w w:val="94"/>
              </w:rPr>
              <w:t>215,357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w w:val="87"/>
              </w:rPr>
              <w:t>219,947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4"/>
        </w:trPr>
        <w:tc>
          <w:tcPr>
            <w:tcW w:w="762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20"/>
              <w:spacing w:after="0"/>
              <w:rPr>
                <w:sz w:val="20"/>
                <w:szCs w:val="20"/>
                <w:color w:val="auto"/>
              </w:rPr>
            </w:pPr>
            <w:r>
              <w:rPr>
                <w:rFonts w:ascii="Arial" w:cs="Arial" w:eastAsia="Arial" w:hAnsi="Arial"/>
                <w:sz w:val="17"/>
                <w:szCs w:val="17"/>
                <w:color w:val="auto"/>
              </w:rPr>
              <w:t>less accumulated depreciation and depletion</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w w:val="94"/>
              </w:rPr>
              <w:t>548,209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w w:val="87"/>
              </w:rPr>
              <w:t>521,996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620" w:type="dxa"/>
            <w:vAlign w:val="bottom"/>
          </w:tcPr>
          <w:p>
            <w:pPr>
              <w:spacing w:after="0" w:line="179" w:lineRule="exact"/>
              <w:rPr>
                <w:sz w:val="20"/>
                <w:szCs w:val="20"/>
                <w:color w:val="auto"/>
              </w:rPr>
            </w:pPr>
            <w:r>
              <w:rPr>
                <w:rFonts w:ascii="Arial" w:cs="Arial" w:eastAsia="Arial" w:hAnsi="Arial"/>
                <w:sz w:val="17"/>
                <w:szCs w:val="17"/>
                <w:color w:val="auto"/>
              </w:rPr>
              <w:t>Other assets and deferred charges</w:t>
            </w:r>
          </w:p>
        </w:tc>
        <w:tc>
          <w:tcPr>
            <w:tcW w:w="7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48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88"/>
              </w:rPr>
              <w:t>36,266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gridSpan w:val="3"/>
          </w:tcPr>
          <w:p>
            <w:pPr>
              <w:jc w:val="right"/>
              <w:spacing w:after="0" w:line="179" w:lineRule="exact"/>
              <w:rPr>
                <w:sz w:val="20"/>
                <w:szCs w:val="20"/>
                <w:color w:val="auto"/>
              </w:rPr>
            </w:pPr>
            <w:r>
              <w:rPr>
                <w:rFonts w:ascii="Arial" w:cs="Arial" w:eastAsia="Arial" w:hAnsi="Arial"/>
                <w:sz w:val="17"/>
                <w:szCs w:val="17"/>
                <w:color w:val="auto"/>
                <w:w w:val="99"/>
              </w:rPr>
              <w:t>27,188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620" w:type="dxa"/>
            <w:vAlign w:val="bottom"/>
          </w:tcPr>
          <w:p>
            <w:pPr>
              <w:ind w:left="420"/>
              <w:spacing w:after="0"/>
              <w:rPr>
                <w:sz w:val="20"/>
                <w:szCs w:val="20"/>
                <w:color w:val="auto"/>
              </w:rPr>
            </w:pPr>
            <w:r>
              <w:rPr>
                <w:rFonts w:ascii="Arial" w:cs="Arial" w:eastAsia="Arial" w:hAnsi="Arial"/>
                <w:sz w:val="17"/>
                <w:szCs w:val="17"/>
                <w:color w:val="auto"/>
              </w:rPr>
              <w:t>Total assets</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4"/>
          </w:tcPr>
          <w:p>
            <w:pPr>
              <w:jc w:val="right"/>
              <w:spacing w:after="0"/>
              <w:rPr>
                <w:sz w:val="20"/>
                <w:szCs w:val="20"/>
                <w:color w:val="auto"/>
              </w:rPr>
            </w:pPr>
            <w:r>
              <w:rPr>
                <w:rFonts w:ascii="Arial" w:cs="Arial" w:eastAsia="Arial" w:hAnsi="Arial"/>
                <w:sz w:val="17"/>
                <w:szCs w:val="17"/>
                <w:color w:val="auto"/>
                <w:w w:val="94"/>
              </w:rPr>
              <w:t>799,832</w:t>
            </w:r>
          </w:p>
        </w:tc>
        <w:tc>
          <w:tcPr>
            <w:tcW w:w="40" w:type="dxa"/>
            <w:vAlign w:val="bottom"/>
          </w:tcPr>
          <w:p>
            <w:pPr>
              <w:spacing w:after="0"/>
              <w:rPr>
                <w:sz w:val="19"/>
                <w:szCs w:val="19"/>
                <w:color w:val="auto"/>
              </w:rPr>
            </w:pPr>
          </w:p>
        </w:tc>
        <w:tc>
          <w:tcPr>
            <w:tcW w:w="1660" w:type="dxa"/>
            <w:vAlign w:val="bottom"/>
            <w:gridSpan w:val="6"/>
          </w:tcPr>
          <w:p>
            <w:pPr>
              <w:jc w:val="right"/>
              <w:spacing w:after="0"/>
              <w:rPr>
                <w:sz w:val="20"/>
                <w:szCs w:val="20"/>
                <w:color w:val="auto"/>
              </w:rPr>
            </w:pPr>
            <w:r>
              <w:rPr>
                <w:rFonts w:ascii="Arial" w:cs="Arial" w:eastAsia="Arial" w:hAnsi="Arial"/>
                <w:sz w:val="17"/>
                <w:szCs w:val="17"/>
                <w:color w:val="auto"/>
              </w:rPr>
              <w:t>$ 769,131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18"/>
                <w:szCs w:val="18"/>
                <w:color w:val="auto"/>
              </w:rPr>
            </w:pPr>
          </w:p>
        </w:tc>
        <w:tc>
          <w:tcPr>
            <w:tcW w:w="1400" w:type="dxa"/>
            <w:vAlign w:val="bottom"/>
            <w:gridSpan w:val="6"/>
          </w:tcPr>
          <w:p>
            <w:pPr>
              <w:jc w:val="right"/>
              <w:ind w:right="40"/>
              <w:spacing w:after="0"/>
              <w:rPr>
                <w:sz w:val="20"/>
                <w:szCs w:val="20"/>
                <w:color w:val="auto"/>
              </w:rPr>
            </w:pPr>
            <w:r>
              <w:rPr>
                <w:rFonts w:ascii="Arial" w:cs="Arial" w:eastAsia="Arial" w:hAnsi="Arial"/>
                <w:sz w:val="17"/>
                <w:szCs w:val="17"/>
                <w:color w:val="auto"/>
              </w:rPr>
              <w:t>=======</w:t>
            </w:r>
          </w:p>
        </w:tc>
        <w:tc>
          <w:tcPr>
            <w:tcW w:w="1700" w:type="dxa"/>
            <w:vAlign w:val="bottom"/>
            <w:gridSpan w:val="7"/>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7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20" w:type="dxa"/>
            <w:vAlign w:val="bottom"/>
            <w:shd w:val="clear" w:color="auto" w:fill="C0C0C0"/>
          </w:tcPr>
          <w:p>
            <w:pPr>
              <w:ind w:left="2500"/>
              <w:spacing w:after="0"/>
              <w:rPr>
                <w:sz w:val="20"/>
                <w:szCs w:val="20"/>
                <w:color w:val="auto"/>
              </w:rPr>
            </w:pPr>
            <w:r>
              <w:rPr>
                <w:rFonts w:ascii="Arial" w:cs="Arial" w:eastAsia="Arial" w:hAnsi="Arial"/>
                <w:sz w:val="17"/>
                <w:szCs w:val="17"/>
                <w:b w:val="1"/>
                <w:bCs w:val="1"/>
                <w:color w:val="auto"/>
              </w:rPr>
              <w:t>Liabilities and Shareholders' Equity</w:t>
            </w:r>
          </w:p>
        </w:tc>
        <w:tc>
          <w:tcPr>
            <w:tcW w:w="7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620" w:type="dxa"/>
            <w:vAlign w:val="bottom"/>
          </w:tcPr>
          <w:p>
            <w:pPr>
              <w:spacing w:after="0"/>
              <w:rPr>
                <w:sz w:val="20"/>
                <w:szCs w:val="20"/>
                <w:color w:val="auto"/>
              </w:rPr>
            </w:pPr>
            <w:r>
              <w:rPr>
                <w:rFonts w:ascii="Arial" w:cs="Arial" w:eastAsia="Arial" w:hAnsi="Arial"/>
                <w:sz w:val="17"/>
                <w:szCs w:val="17"/>
                <w:color w:val="auto"/>
              </w:rPr>
              <w:t>Current liabilities:</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20"/>
              <w:spacing w:after="0"/>
              <w:rPr>
                <w:sz w:val="20"/>
                <w:szCs w:val="20"/>
                <w:color w:val="auto"/>
              </w:rPr>
            </w:pPr>
            <w:r>
              <w:rPr>
                <w:rFonts w:ascii="Arial" w:cs="Arial" w:eastAsia="Arial" w:hAnsi="Arial"/>
                <w:sz w:val="17"/>
                <w:szCs w:val="17"/>
                <w:color w:val="auto"/>
              </w:rPr>
              <w:t>Short-term debt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48,105</w:t>
            </w:r>
          </w:p>
        </w:tc>
        <w:tc>
          <w:tcPr>
            <w:tcW w:w="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20"/>
              <w:spacing w:after="0"/>
              <w:rPr>
                <w:sz w:val="20"/>
                <w:szCs w:val="20"/>
                <w:color w:val="auto"/>
              </w:rPr>
            </w:pPr>
            <w:r>
              <w:rPr>
                <w:rFonts w:ascii="Arial" w:cs="Arial" w:eastAsia="Arial" w:hAnsi="Arial"/>
                <w:sz w:val="17"/>
                <w:szCs w:val="17"/>
                <w:color w:val="auto"/>
              </w:rPr>
              <w:t>Current maturities of long-term debt</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765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13,439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36,153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46,703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18,124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22,839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0"/>
              <w:spacing w:after="0"/>
              <w:rPr>
                <w:sz w:val="20"/>
                <w:szCs w:val="20"/>
                <w:color w:val="auto"/>
              </w:rPr>
            </w:pPr>
            <w:r>
              <w:rPr>
                <w:rFonts w:ascii="Arial" w:cs="Arial" w:eastAsia="Arial" w:hAnsi="Arial"/>
                <w:sz w:val="17"/>
                <w:szCs w:val="17"/>
                <w:color w:val="auto"/>
              </w:rPr>
              <w:t>Accrued compensation and related items</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10,259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12,467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620" w:type="dxa"/>
            <w:vAlign w:val="bottom"/>
          </w:tcPr>
          <w:p>
            <w:pPr>
              <w:ind w:left="220"/>
              <w:spacing w:after="0" w:line="179" w:lineRule="exact"/>
              <w:rPr>
                <w:sz w:val="20"/>
                <w:szCs w:val="20"/>
                <w:color w:val="auto"/>
              </w:rPr>
            </w:pPr>
            <w:r>
              <w:rPr>
                <w:rFonts w:ascii="Arial" w:cs="Arial" w:eastAsia="Arial" w:hAnsi="Arial"/>
                <w:sz w:val="17"/>
                <w:szCs w:val="17"/>
                <w:color w:val="auto"/>
              </w:rPr>
              <w:t>Other current liabilities</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tcPr>
          <w:p>
            <w:pPr>
              <w:jc w:val="right"/>
              <w:spacing w:after="0" w:line="179" w:lineRule="exact"/>
              <w:rPr>
                <w:sz w:val="20"/>
                <w:szCs w:val="20"/>
                <w:color w:val="auto"/>
              </w:rPr>
            </w:pPr>
            <w:r>
              <w:rPr>
                <w:rFonts w:ascii="Arial" w:cs="Arial" w:eastAsia="Arial" w:hAnsi="Arial"/>
                <w:sz w:val="17"/>
                <w:szCs w:val="17"/>
                <w:color w:val="auto"/>
              </w:rPr>
              <w:t>20,121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22,094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2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76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w w:val="94"/>
              </w:rPr>
              <w:t>133,527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w w:val="87"/>
              </w:rPr>
              <w:t>117,542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7620" w:type="dxa"/>
            <w:vAlign w:val="bottom"/>
          </w:tcPr>
          <w:p>
            <w:pPr>
              <w:spacing w:after="0"/>
              <w:rPr>
                <w:sz w:val="20"/>
                <w:szCs w:val="20"/>
                <w:color w:val="auto"/>
              </w:rPr>
            </w:pPr>
            <w:r>
              <w:rPr>
                <w:rFonts w:ascii="Arial" w:cs="Arial" w:eastAsia="Arial" w:hAnsi="Arial"/>
                <w:sz w:val="17"/>
                <w:szCs w:val="17"/>
                <w:color w:val="auto"/>
              </w:rPr>
              <w:t>Long-term debt</w:t>
            </w:r>
          </w:p>
        </w:tc>
        <w:tc>
          <w:tcPr>
            <w:tcW w:w="76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89,857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75,238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7"/>
                <w:szCs w:val="17"/>
                <w:color w:val="auto"/>
              </w:rPr>
              <w:t>Accrued postretirement benefits</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19,024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19,244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7"/>
                <w:szCs w:val="17"/>
                <w:color w:val="auto"/>
              </w:rPr>
              <w:t>Deferred taxes on income</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50,438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50,015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620" w:type="dxa"/>
            <w:vAlign w:val="bottom"/>
          </w:tcPr>
          <w:p>
            <w:pPr>
              <w:spacing w:after="0" w:line="179" w:lineRule="exact"/>
              <w:rPr>
                <w:sz w:val="20"/>
                <w:szCs w:val="20"/>
                <w:color w:val="auto"/>
              </w:rPr>
            </w:pPr>
            <w:r>
              <w:rPr>
                <w:rFonts w:ascii="Arial" w:cs="Arial" w:eastAsia="Arial" w:hAnsi="Arial"/>
                <w:sz w:val="17"/>
                <w:szCs w:val="17"/>
                <w:color w:val="auto"/>
              </w:rPr>
              <w:t>Other noncurrent liabilities</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Borders>
              <w:bottom w:val="single" w:sz="8" w:color="auto"/>
            </w:tcBorders>
            <w:gridSpan w:val="3"/>
          </w:tcPr>
          <w:p>
            <w:pPr>
              <w:jc w:val="right"/>
              <w:spacing w:after="0" w:line="179" w:lineRule="exact"/>
              <w:rPr>
                <w:sz w:val="20"/>
                <w:szCs w:val="20"/>
                <w:color w:val="auto"/>
              </w:rPr>
            </w:pPr>
            <w:r>
              <w:rPr>
                <w:rFonts w:ascii="Arial" w:cs="Arial" w:eastAsia="Arial" w:hAnsi="Arial"/>
                <w:sz w:val="17"/>
                <w:szCs w:val="17"/>
                <w:color w:val="auto"/>
              </w:rPr>
              <w:t>23,347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gridSpan w:val="3"/>
          </w:tcPr>
          <w:p>
            <w:pPr>
              <w:jc w:val="right"/>
              <w:spacing w:after="0" w:line="179" w:lineRule="exact"/>
              <w:rPr>
                <w:sz w:val="20"/>
                <w:szCs w:val="20"/>
                <w:color w:val="auto"/>
              </w:rPr>
            </w:pPr>
            <w:r>
              <w:rPr>
                <w:rFonts w:ascii="Arial" w:cs="Arial" w:eastAsia="Arial" w:hAnsi="Arial"/>
                <w:sz w:val="17"/>
                <w:szCs w:val="17"/>
                <w:color w:val="auto"/>
                <w:w w:val="99"/>
              </w:rPr>
              <w:t>22,056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20" w:type="dxa"/>
            <w:vAlign w:val="bottom"/>
          </w:tcPr>
          <w:p>
            <w:pPr>
              <w:ind w:left="420"/>
              <w:spacing w:after="0" w:line="189" w:lineRule="exact"/>
              <w:rPr>
                <w:sz w:val="20"/>
                <w:szCs w:val="20"/>
                <w:color w:val="auto"/>
              </w:rPr>
            </w:pPr>
            <w:r>
              <w:rPr>
                <w:rFonts w:ascii="Arial" w:cs="Arial" w:eastAsia="Arial" w:hAnsi="Arial"/>
                <w:sz w:val="17"/>
                <w:szCs w:val="17"/>
                <w:color w:val="auto"/>
              </w:rPr>
              <w:t>Total liabilities</w:t>
            </w:r>
          </w:p>
        </w:tc>
        <w:tc>
          <w:tcPr>
            <w:tcW w:w="760" w:type="dxa"/>
            <w:vAlign w:val="bottom"/>
          </w:tcPr>
          <w:p>
            <w:pPr>
              <w:spacing w:after="0"/>
              <w:rPr>
                <w:sz w:val="16"/>
                <w:szCs w:val="16"/>
                <w:color w:val="auto"/>
              </w:rPr>
            </w:pPr>
          </w:p>
        </w:tc>
        <w:tc>
          <w:tcPr>
            <w:tcW w:w="600" w:type="dxa"/>
            <w:vAlign w:val="bottom"/>
            <w:gridSpan w:val="4"/>
          </w:tcPr>
          <w:p>
            <w:pPr>
              <w:jc w:val="right"/>
              <w:spacing w:after="0" w:line="189" w:lineRule="exact"/>
              <w:rPr>
                <w:sz w:val="20"/>
                <w:szCs w:val="20"/>
                <w:color w:val="auto"/>
              </w:rPr>
            </w:pPr>
            <w:r>
              <w:rPr>
                <w:rFonts w:ascii="Arial" w:cs="Arial" w:eastAsia="Arial" w:hAnsi="Arial"/>
                <w:sz w:val="17"/>
                <w:szCs w:val="17"/>
                <w:color w:val="auto"/>
                <w:w w:val="94"/>
              </w:rPr>
              <w:t>316,193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gridSpan w:val="4"/>
          </w:tcPr>
          <w:p>
            <w:pPr>
              <w:jc w:val="right"/>
              <w:spacing w:after="0" w:line="189" w:lineRule="exact"/>
              <w:rPr>
                <w:sz w:val="20"/>
                <w:szCs w:val="20"/>
                <w:color w:val="auto"/>
              </w:rPr>
            </w:pPr>
            <w:r>
              <w:rPr>
                <w:rFonts w:ascii="Arial" w:cs="Arial" w:eastAsia="Arial" w:hAnsi="Arial"/>
                <w:sz w:val="17"/>
                <w:szCs w:val="17"/>
                <w:color w:val="auto"/>
                <w:w w:val="87"/>
              </w:rPr>
              <w:t>284,095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8"/>
        </w:trPr>
        <w:tc>
          <w:tcPr>
            <w:tcW w:w="7620" w:type="dxa"/>
            <w:vAlign w:val="bottom"/>
          </w:tcPr>
          <w:p>
            <w:pPr>
              <w:spacing w:after="0"/>
              <w:rPr>
                <w:sz w:val="20"/>
                <w:szCs w:val="20"/>
                <w:color w:val="auto"/>
              </w:rPr>
            </w:pPr>
            <w:r>
              <w:rPr>
                <w:rFonts w:ascii="Arial" w:cs="Arial" w:eastAsia="Arial" w:hAnsi="Arial"/>
                <w:sz w:val="17"/>
                <w:szCs w:val="17"/>
                <w:color w:val="auto"/>
              </w:rPr>
              <w:t>Commitments and contingent liabilities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7620" w:type="dxa"/>
            <w:vAlign w:val="bottom"/>
          </w:tcPr>
          <w:p>
            <w:pPr>
              <w:spacing w:after="0"/>
              <w:rPr>
                <w:sz w:val="20"/>
                <w:szCs w:val="20"/>
                <w:color w:val="auto"/>
              </w:rPr>
            </w:pPr>
            <w:r>
              <w:rPr>
                <w:rFonts w:ascii="Arial" w:cs="Arial" w:eastAsia="Arial" w:hAnsi="Arial"/>
                <w:sz w:val="17"/>
                <w:szCs w:val="17"/>
                <w:color w:val="auto"/>
              </w:rPr>
              <w:t>Shareholders' equity:</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20"/>
              <w:spacing w:after="0"/>
              <w:rPr>
                <w:sz w:val="20"/>
                <w:szCs w:val="20"/>
                <w:color w:val="auto"/>
              </w:rPr>
            </w:pPr>
            <w:r>
              <w:rPr>
                <w:rFonts w:ascii="Arial" w:cs="Arial" w:eastAsia="Arial" w:hAnsi="Arial"/>
                <w:sz w:val="17"/>
                <w:szCs w:val="17"/>
                <w:color w:val="auto"/>
              </w:rPr>
              <w:t>Preferred stock, without par value; 1,000,000 shares authorized;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40"/>
              <w:spacing w:after="0"/>
              <w:rPr>
                <w:sz w:val="20"/>
                <w:szCs w:val="20"/>
                <w:color w:val="auto"/>
              </w:rPr>
            </w:pPr>
            <w:r>
              <w:rPr>
                <w:rFonts w:ascii="Arial" w:cs="Arial" w:eastAsia="Arial" w:hAnsi="Arial"/>
                <w:sz w:val="17"/>
                <w:szCs w:val="17"/>
                <w:color w:val="auto"/>
              </w:rPr>
              <w:t>none issued</w:t>
            </w:r>
          </w:p>
        </w:tc>
        <w:tc>
          <w:tcPr>
            <w:tcW w:w="76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7620" w:type="dxa"/>
            <w:vAlign w:val="bottom"/>
          </w:tcPr>
          <w:p>
            <w:pPr>
              <w:ind w:left="220"/>
              <w:spacing w:after="0"/>
              <w:rPr>
                <w:sz w:val="20"/>
                <w:szCs w:val="20"/>
                <w:color w:val="auto"/>
              </w:rPr>
            </w:pPr>
            <w:r>
              <w:rPr>
                <w:rFonts w:ascii="Arial" w:cs="Arial" w:eastAsia="Arial" w:hAnsi="Arial"/>
                <w:sz w:val="17"/>
                <w:szCs w:val="17"/>
                <w:color w:val="auto"/>
              </w:rPr>
              <w:t>Common stock at par, $0.10 par value; 100,000,000 shares authorized;</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340"/>
              <w:spacing w:after="0"/>
              <w:rPr>
                <w:sz w:val="20"/>
                <w:szCs w:val="20"/>
                <w:color w:val="auto"/>
              </w:rPr>
            </w:pPr>
            <w:r>
              <w:rPr>
                <w:rFonts w:ascii="Arial" w:cs="Arial" w:eastAsia="Arial" w:hAnsi="Arial"/>
                <w:sz w:val="17"/>
                <w:szCs w:val="17"/>
                <w:color w:val="auto"/>
              </w:rPr>
              <w:t>issued 25,853,271 shares in 2000 and 25,705,035 shares in 1999</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rPr>
              <w:t>2,585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2,571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w w:val="94"/>
              </w:rPr>
              <w:t>155,001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w w:val="87"/>
              </w:rPr>
              <w:t>150,315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7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w w:val="94"/>
              </w:rPr>
              <w:t>579 181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w w:val="87"/>
              </w:rPr>
              <w:t>527 022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68" w:orient="portrait"/>
          <w:cols w:equalWidth="0" w:num="1">
            <w:col w:w="10720"/>
          </w:cols>
          <w:pgMar w:left="240" w:top="1440" w:right="939" w:bottom="0" w:gutter="0" w:footer="0" w:header="0"/>
        </w:sectPr>
      </w:pPr>
    </w:p>
    <w:bookmarkStart w:id="22" w:name="page23"/>
    <w:bookmarkEnd w:id="22"/>
    <w:p>
      <w:pPr>
        <w:spacing w:after="0" w:line="38"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616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3140" w:type="dxa"/>
            <w:vAlign w:val="bottom"/>
            <w:gridSpan w:val="5"/>
          </w:tcPr>
          <w:p>
            <w:pPr>
              <w:jc w:val="right"/>
              <w:ind w:right="480"/>
              <w:spacing w:after="0"/>
              <w:rPr>
                <w:sz w:val="20"/>
                <w:szCs w:val="20"/>
                <w:color w:val="auto"/>
              </w:rPr>
            </w:pPr>
            <w:r>
              <w:rPr>
                <w:rFonts w:ascii="Arial" w:cs="Arial" w:eastAsia="Arial" w:hAnsi="Arial"/>
                <w:sz w:val="17"/>
                <w:szCs w:val="17"/>
                <w:color w:val="auto"/>
              </w:rPr>
              <w:t>(44,073)</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(28,865)</w:t>
            </w:r>
          </w:p>
        </w:tc>
      </w:tr>
      <w:tr>
        <w:trPr>
          <w:trHeight w:val="20"/>
        </w:trPr>
        <w:tc>
          <w:tcPr>
            <w:tcW w:w="6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3"/>
        </w:trPr>
        <w:tc>
          <w:tcPr>
            <w:tcW w:w="6160" w:type="dxa"/>
            <w:vAlign w:val="bottom"/>
          </w:tcPr>
          <w:p>
            <w:pPr>
              <w:spacing w:after="0"/>
              <w:rPr>
                <w:sz w:val="21"/>
                <w:szCs w:val="21"/>
                <w:color w:val="auto"/>
              </w:rPr>
            </w:pPr>
          </w:p>
        </w:tc>
        <w:tc>
          <w:tcPr>
            <w:tcW w:w="2620" w:type="dxa"/>
            <w:vAlign w:val="bottom"/>
            <w:gridSpan w:val="4"/>
          </w:tcPr>
          <w:p>
            <w:pPr>
              <w:jc w:val="right"/>
              <w:spacing w:after="0"/>
              <w:rPr>
                <w:sz w:val="20"/>
                <w:szCs w:val="20"/>
                <w:color w:val="auto"/>
              </w:rPr>
            </w:pPr>
            <w:r>
              <w:rPr>
                <w:rFonts w:ascii="Arial" w:cs="Arial" w:eastAsia="Arial" w:hAnsi="Arial"/>
                <w:sz w:val="17"/>
                <w:szCs w:val="17"/>
                <w:color w:val="auto"/>
              </w:rPr>
              <w:t>692,694</w:t>
            </w:r>
          </w:p>
        </w:tc>
        <w:tc>
          <w:tcPr>
            <w:tcW w:w="5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651,043</w:t>
            </w:r>
          </w:p>
        </w:tc>
        <w:tc>
          <w:tcPr>
            <w:tcW w:w="40" w:type="dxa"/>
            <w:vAlign w:val="bottom"/>
          </w:tcPr>
          <w:p>
            <w:pPr>
              <w:spacing w:after="0"/>
              <w:rPr>
                <w:sz w:val="21"/>
                <w:szCs w:val="21"/>
                <w:color w:val="auto"/>
              </w:rPr>
            </w:pPr>
          </w:p>
        </w:tc>
      </w:tr>
      <w:tr>
        <w:trPr>
          <w:trHeight w:val="413"/>
        </w:trPr>
        <w:tc>
          <w:tcPr>
            <w:tcW w:w="6160" w:type="dxa"/>
            <w:vAlign w:val="bottom"/>
          </w:tcPr>
          <w:p>
            <w:pPr>
              <w:ind w:left="20"/>
              <w:spacing w:after="0"/>
              <w:rPr>
                <w:sz w:val="20"/>
                <w:szCs w:val="20"/>
                <w:color w:val="auto"/>
              </w:rPr>
            </w:pPr>
            <w:r>
              <w:rPr>
                <w:rFonts w:ascii="Arial" w:cs="Arial" w:eastAsia="Arial" w:hAnsi="Arial"/>
                <w:sz w:val="17"/>
                <w:szCs w:val="17"/>
                <w:color w:val="auto"/>
              </w:rPr>
              <w:t>Less common stock held in treasury, at cost; 5,886,417 shares</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9"/>
        </w:trPr>
        <w:tc>
          <w:tcPr>
            <w:tcW w:w="6160" w:type="dxa"/>
            <w:vAlign w:val="bottom"/>
          </w:tcPr>
          <w:p>
            <w:pPr>
              <w:ind w:left="140"/>
              <w:spacing w:after="0" w:line="179" w:lineRule="exact"/>
              <w:rPr>
                <w:sz w:val="20"/>
                <w:szCs w:val="20"/>
                <w:color w:val="auto"/>
              </w:rPr>
            </w:pPr>
            <w:r>
              <w:rPr>
                <w:rFonts w:ascii="Arial" w:cs="Arial" w:eastAsia="Arial" w:hAnsi="Arial"/>
                <w:sz w:val="17"/>
                <w:szCs w:val="17"/>
                <w:color w:val="auto"/>
              </w:rPr>
              <w:t>in 2000 and 4,819,317 shares in 1999</w:t>
            </w:r>
          </w:p>
        </w:tc>
        <w:tc>
          <w:tcPr>
            <w:tcW w:w="262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209,055</w:t>
            </w:r>
          </w:p>
        </w:tc>
        <w:tc>
          <w:tcPr>
            <w:tcW w:w="520" w:type="dxa"/>
            <w:vAlign w:val="bottom"/>
          </w:tcPr>
          <w:p>
            <w:pPr>
              <w:spacing w:after="0"/>
              <w:rPr>
                <w:sz w:val="15"/>
                <w:szCs w:val="15"/>
                <w:color w:val="auto"/>
              </w:rPr>
            </w:pPr>
          </w:p>
        </w:tc>
        <w:tc>
          <w:tcPr>
            <w:tcW w:w="118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166,007</w:t>
            </w:r>
          </w:p>
        </w:tc>
        <w:tc>
          <w:tcPr>
            <w:tcW w:w="40" w:type="dxa"/>
            <w:vAlign w:val="bottom"/>
          </w:tcPr>
          <w:p>
            <w:pPr>
              <w:spacing w:after="0"/>
              <w:rPr>
                <w:sz w:val="15"/>
                <w:szCs w:val="15"/>
                <w:color w:val="auto"/>
              </w:rPr>
            </w:pPr>
          </w:p>
        </w:tc>
      </w:tr>
      <w:tr>
        <w:trPr>
          <w:trHeight w:val="20"/>
        </w:trPr>
        <w:tc>
          <w:tcPr>
            <w:tcW w:w="6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6160" w:type="dxa"/>
            <w:vAlign w:val="bottom"/>
          </w:tcPr>
          <w:p>
            <w:pPr>
              <w:ind w:left="220"/>
              <w:spacing w:after="0" w:line="189" w:lineRule="exact"/>
              <w:rPr>
                <w:sz w:val="20"/>
                <w:szCs w:val="20"/>
                <w:color w:val="auto"/>
              </w:rPr>
            </w:pPr>
            <w:r>
              <w:rPr>
                <w:rFonts w:ascii="Arial" w:cs="Arial" w:eastAsia="Arial" w:hAnsi="Arial"/>
                <w:sz w:val="17"/>
                <w:szCs w:val="17"/>
                <w:color w:val="auto"/>
              </w:rPr>
              <w:t>Total shareholders' equity</w:t>
            </w:r>
          </w:p>
        </w:tc>
        <w:tc>
          <w:tcPr>
            <w:tcW w:w="262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483,639</w:t>
            </w:r>
          </w:p>
        </w:tc>
        <w:tc>
          <w:tcPr>
            <w:tcW w:w="520" w:type="dxa"/>
            <w:vAlign w:val="bottom"/>
          </w:tcPr>
          <w:p>
            <w:pPr>
              <w:spacing w:after="0"/>
              <w:rPr>
                <w:sz w:val="16"/>
                <w:szCs w:val="16"/>
                <w:color w:val="auto"/>
              </w:rPr>
            </w:pPr>
          </w:p>
        </w:tc>
        <w:tc>
          <w:tcPr>
            <w:tcW w:w="11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485,036</w:t>
            </w:r>
          </w:p>
        </w:tc>
        <w:tc>
          <w:tcPr>
            <w:tcW w:w="40" w:type="dxa"/>
            <w:vAlign w:val="bottom"/>
          </w:tcPr>
          <w:p>
            <w:pPr>
              <w:spacing w:after="0"/>
              <w:rPr>
                <w:sz w:val="16"/>
                <w:szCs w:val="16"/>
                <w:color w:val="auto"/>
              </w:rPr>
            </w:pPr>
          </w:p>
        </w:tc>
      </w:tr>
      <w:tr>
        <w:trPr>
          <w:trHeight w:val="20"/>
        </w:trPr>
        <w:tc>
          <w:tcPr>
            <w:tcW w:w="6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6"/>
        </w:trPr>
        <w:tc>
          <w:tcPr>
            <w:tcW w:w="6160" w:type="dxa"/>
            <w:vAlign w:val="bottom"/>
          </w:tcPr>
          <w:p>
            <w:pPr>
              <w:ind w:left="220"/>
              <w:spacing w:after="0"/>
              <w:rPr>
                <w:sz w:val="20"/>
                <w:szCs w:val="20"/>
                <w:color w:val="auto"/>
              </w:rPr>
            </w:pPr>
            <w:r>
              <w:rPr>
                <w:rFonts w:ascii="Arial" w:cs="Arial" w:eastAsia="Arial" w:hAnsi="Arial"/>
                <w:sz w:val="17"/>
                <w:szCs w:val="17"/>
                <w:color w:val="auto"/>
              </w:rPr>
              <w:t>Total liabilities and shareholders' equity</w:t>
            </w:r>
          </w:p>
        </w:tc>
        <w:tc>
          <w:tcPr>
            <w:tcW w:w="2620" w:type="dxa"/>
            <w:vAlign w:val="bottom"/>
            <w:gridSpan w:val="4"/>
          </w:tcPr>
          <w:p>
            <w:pPr>
              <w:jc w:val="right"/>
              <w:spacing w:after="0"/>
              <w:rPr>
                <w:sz w:val="20"/>
                <w:szCs w:val="20"/>
                <w:color w:val="auto"/>
              </w:rPr>
            </w:pPr>
            <w:r>
              <w:rPr>
                <w:rFonts w:ascii="Arial" w:cs="Arial" w:eastAsia="Arial" w:hAnsi="Arial"/>
                <w:sz w:val="17"/>
                <w:szCs w:val="17"/>
                <w:color w:val="auto"/>
              </w:rPr>
              <w:t>$ 799,832</w:t>
            </w:r>
          </w:p>
        </w:tc>
        <w:tc>
          <w:tcPr>
            <w:tcW w:w="5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$ 769,131</w:t>
            </w:r>
          </w:p>
        </w:tc>
        <w:tc>
          <w:tcPr>
            <w:tcW w:w="40" w:type="dxa"/>
            <w:vAlign w:val="bottom"/>
          </w:tcPr>
          <w:p>
            <w:pPr>
              <w:spacing w:after="0"/>
              <w:rPr>
                <w:sz w:val="24"/>
                <w:szCs w:val="24"/>
                <w:color w:val="auto"/>
              </w:rPr>
            </w:pPr>
          </w:p>
        </w:tc>
      </w:tr>
      <w:tr>
        <w:trPr>
          <w:trHeight w:val="216"/>
        </w:trPr>
        <w:tc>
          <w:tcPr>
            <w:tcW w:w="6160" w:type="dxa"/>
            <w:vAlign w:val="bottom"/>
          </w:tcPr>
          <w:p>
            <w:pPr>
              <w:spacing w:after="0"/>
              <w:rPr>
                <w:sz w:val="18"/>
                <w:szCs w:val="18"/>
                <w:color w:val="auto"/>
              </w:rPr>
            </w:pPr>
          </w:p>
        </w:tc>
        <w:tc>
          <w:tcPr>
            <w:tcW w:w="3140" w:type="dxa"/>
            <w:vAlign w:val="bottom"/>
            <w:gridSpan w:val="5"/>
          </w:tcPr>
          <w:p>
            <w:pPr>
              <w:jc w:val="right"/>
              <w:ind w:right="5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 which are an integral part of these statements.</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MINERALS TECHNOLOGIES INC. AND SUBSIDIARY COMPANIES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INCOME</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(thousands of dollars, except per share data)</w:t>
      </w:r>
    </w:p>
    <w:p>
      <w:pPr>
        <w:spacing w:after="0" w:line="332"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320" w:type="dxa"/>
            <w:vAlign w:val="bottom"/>
            <w:tcBorders>
              <w:bottom w:val="single" w:sz="8" w:color="C0C0C0"/>
            </w:tcBorders>
            <w:shd w:val="clear" w:color="auto" w:fill="C0C0C0"/>
          </w:tcPr>
          <w:p>
            <w:pPr>
              <w:spacing w:after="0"/>
              <w:rPr>
                <w:sz w:val="16"/>
                <w:szCs w:val="16"/>
                <w:color w:val="auto"/>
              </w:rPr>
            </w:pPr>
          </w:p>
        </w:tc>
        <w:tc>
          <w:tcPr>
            <w:tcW w:w="1060" w:type="dxa"/>
            <w:vAlign w:val="bottom"/>
            <w:tcBorders>
              <w:bottom w:val="single" w:sz="8" w:color="C0C0C0"/>
              <w:right w:val="single" w:sz="8" w:color="C0C0C0"/>
            </w:tcBorders>
            <w:shd w:val="clear" w:color="auto" w:fill="C0C0C0"/>
          </w:tcPr>
          <w:p>
            <w:pPr>
              <w:spacing w:after="0"/>
              <w:rPr>
                <w:sz w:val="16"/>
                <w:szCs w:val="16"/>
                <w:color w:val="auto"/>
              </w:rPr>
            </w:pPr>
          </w:p>
        </w:tc>
        <w:tc>
          <w:tcPr>
            <w:tcW w:w="20" w:type="dxa"/>
            <w:vAlign w:val="bottom"/>
            <w:tcBorders>
              <w:bottom w:val="single" w:sz="8" w:color="C0C0C0"/>
            </w:tcBorders>
            <w:shd w:val="clear" w:color="auto" w:fill="C0C0C0"/>
          </w:tcPr>
          <w:p>
            <w:pPr>
              <w:spacing w:after="0"/>
              <w:rPr>
                <w:sz w:val="16"/>
                <w:szCs w:val="16"/>
                <w:color w:val="auto"/>
              </w:rPr>
            </w:pPr>
          </w:p>
        </w:tc>
        <w:tc>
          <w:tcPr>
            <w:tcW w:w="180" w:type="dxa"/>
            <w:vAlign w:val="bottom"/>
            <w:tcBorders>
              <w:bottom w:val="single" w:sz="8" w:color="C0C0C0"/>
            </w:tcBorders>
            <w:shd w:val="clear" w:color="auto" w:fill="C0C0C0"/>
          </w:tcPr>
          <w:p>
            <w:pPr>
              <w:spacing w:after="0"/>
              <w:rPr>
                <w:sz w:val="16"/>
                <w:szCs w:val="16"/>
                <w:color w:val="auto"/>
              </w:rPr>
            </w:pPr>
          </w:p>
        </w:tc>
        <w:tc>
          <w:tcPr>
            <w:tcW w:w="240" w:type="dxa"/>
            <w:vAlign w:val="bottom"/>
            <w:tcBorders>
              <w:bottom w:val="single" w:sz="8" w:color="C0C0C0"/>
            </w:tcBorders>
            <w:shd w:val="clear" w:color="auto" w:fill="C0C0C0"/>
          </w:tcPr>
          <w:p>
            <w:pPr>
              <w:spacing w:after="0"/>
              <w:rPr>
                <w:sz w:val="16"/>
                <w:szCs w:val="16"/>
                <w:color w:val="auto"/>
              </w:rPr>
            </w:pPr>
          </w:p>
        </w:tc>
        <w:tc>
          <w:tcPr>
            <w:tcW w:w="1900" w:type="dxa"/>
            <w:vAlign w:val="bottom"/>
            <w:tcBorders>
              <w:bottom w:val="single" w:sz="8" w:color="auto"/>
            </w:tcBorders>
            <w:gridSpan w:val="6"/>
            <w:shd w:val="clear" w:color="auto" w:fill="C0C0C0"/>
          </w:tcPr>
          <w:p>
            <w:pPr>
              <w:spacing w:after="0"/>
              <w:rPr>
                <w:sz w:val="20"/>
                <w:szCs w:val="20"/>
                <w:color w:val="auto"/>
              </w:rPr>
            </w:pPr>
            <w:r>
              <w:rPr>
                <w:rFonts w:ascii="Arial" w:cs="Arial" w:eastAsia="Arial" w:hAnsi="Arial"/>
                <w:sz w:val="17"/>
                <w:szCs w:val="17"/>
                <w:b w:val="1"/>
                <w:bCs w:val="1"/>
                <w:color w:val="auto"/>
                <w:w w:val="90"/>
              </w:rPr>
              <w:t>Year Ended December 31,</w:t>
            </w:r>
          </w:p>
        </w:tc>
        <w:tc>
          <w:tcPr>
            <w:tcW w:w="140" w:type="dxa"/>
            <w:vAlign w:val="bottom"/>
            <w:tcBorders>
              <w:bottom w:val="single" w:sz="8" w:color="C0C0C0"/>
            </w:tcBorders>
            <w:shd w:val="clear" w:color="auto" w:fill="C0C0C0"/>
          </w:tcPr>
          <w:p>
            <w:pPr>
              <w:spacing w:after="0"/>
              <w:rPr>
                <w:sz w:val="16"/>
                <w:szCs w:val="16"/>
                <w:color w:val="auto"/>
              </w:rPr>
            </w:pPr>
          </w:p>
        </w:tc>
        <w:tc>
          <w:tcPr>
            <w:tcW w:w="260" w:type="dxa"/>
            <w:vAlign w:val="bottom"/>
            <w:tcBorders>
              <w:bottom w:val="single" w:sz="8" w:color="C0C0C0"/>
              <w:right w:val="single" w:sz="8" w:color="C0C0C0"/>
            </w:tcBorders>
            <w:shd w:val="clear" w:color="auto" w:fill="C0C0C0"/>
          </w:tcPr>
          <w:p>
            <w:pPr>
              <w:spacing w:after="0"/>
              <w:rPr>
                <w:sz w:val="16"/>
                <w:szCs w:val="16"/>
                <w:color w:val="auto"/>
              </w:rPr>
            </w:pPr>
          </w:p>
        </w:tc>
        <w:tc>
          <w:tcPr>
            <w:tcW w:w="220" w:type="dxa"/>
            <w:vAlign w:val="bottom"/>
            <w:tcBorders>
              <w:bottom w:val="single" w:sz="8" w:color="C0C0C0"/>
            </w:tcBorders>
            <w:shd w:val="clear" w:color="auto" w:fill="C0C0C0"/>
          </w:tcPr>
          <w:p>
            <w:pPr>
              <w:spacing w:after="0"/>
              <w:rPr>
                <w:sz w:val="16"/>
                <w:szCs w:val="16"/>
                <w:color w:val="auto"/>
              </w:rPr>
            </w:pPr>
          </w:p>
        </w:tc>
        <w:tc>
          <w:tcPr>
            <w:tcW w:w="28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left w:val="single" w:sz="8" w:color="C0C0C0"/>
              <w:bottom w:val="single" w:sz="8" w:color="C0C0C0"/>
            </w:tcBorders>
            <w:shd w:val="clear" w:color="auto" w:fill="C0C0C0"/>
          </w:tcPr>
          <w:p>
            <w:pPr>
              <w:spacing w:after="0"/>
              <w:rPr>
                <w:sz w:val="16"/>
                <w:szCs w:val="16"/>
                <w:color w:val="auto"/>
              </w:rPr>
            </w:pPr>
          </w:p>
        </w:tc>
      </w:tr>
      <w:tr>
        <w:trPr>
          <w:trHeight w:val="242"/>
        </w:trPr>
        <w:tc>
          <w:tcPr>
            <w:tcW w:w="20" w:type="dxa"/>
            <w:vAlign w:val="bottom"/>
          </w:tcPr>
          <w:p>
            <w:pPr>
              <w:spacing w:after="0"/>
              <w:rPr>
                <w:sz w:val="21"/>
                <w:szCs w:val="21"/>
                <w:color w:val="auto"/>
              </w:rPr>
            </w:pPr>
          </w:p>
        </w:tc>
        <w:tc>
          <w:tcPr>
            <w:tcW w:w="6320" w:type="dxa"/>
            <w:vAlign w:val="bottom"/>
            <w:shd w:val="clear" w:color="auto" w:fill="C0C0C0"/>
          </w:tcPr>
          <w:p>
            <w:pPr>
              <w:spacing w:after="0"/>
              <w:rPr>
                <w:sz w:val="21"/>
                <w:szCs w:val="21"/>
                <w:color w:val="auto"/>
              </w:rPr>
            </w:pPr>
          </w:p>
        </w:tc>
        <w:tc>
          <w:tcPr>
            <w:tcW w:w="1060" w:type="dxa"/>
            <w:vAlign w:val="bottom"/>
            <w:tcBorders>
              <w:right w:val="single" w:sz="8" w:color="C0C0C0"/>
            </w:tcBorders>
            <w:shd w:val="clear" w:color="auto" w:fill="C0C0C0"/>
          </w:tcPr>
          <w:p>
            <w:pPr>
              <w:spacing w:after="0"/>
              <w:rPr>
                <w:sz w:val="21"/>
                <w:szCs w:val="21"/>
                <w:color w:val="auto"/>
              </w:rPr>
            </w:pPr>
          </w:p>
        </w:tc>
        <w:tc>
          <w:tcPr>
            <w:tcW w:w="900" w:type="dxa"/>
            <w:vAlign w:val="bottom"/>
            <w:gridSpan w:val="5"/>
            <w:shd w:val="clear" w:color="auto" w:fill="C0C0C0"/>
          </w:tcPr>
          <w:p>
            <w:pPr>
              <w:jc w:val="right"/>
              <w:ind w:right="360"/>
              <w:spacing w:after="0"/>
              <w:rPr>
                <w:sz w:val="20"/>
                <w:szCs w:val="20"/>
                <w:color w:val="auto"/>
              </w:rPr>
            </w:pPr>
            <w:r>
              <w:rPr>
                <w:rFonts w:ascii="Arial" w:cs="Arial" w:eastAsia="Arial" w:hAnsi="Arial"/>
                <w:sz w:val="17"/>
                <w:szCs w:val="17"/>
                <w:b w:val="1"/>
                <w:bCs w:val="1"/>
                <w:color w:val="auto"/>
              </w:rPr>
              <w:t>2000</w:t>
            </w:r>
          </w:p>
        </w:tc>
        <w:tc>
          <w:tcPr>
            <w:tcW w:w="480" w:type="dxa"/>
            <w:vAlign w:val="bottom"/>
            <w:tcBorders>
              <w:right w:val="single" w:sz="8" w:color="C0C0C0"/>
            </w:tcBorders>
            <w:shd w:val="clear" w:color="auto" w:fill="C0C0C0"/>
          </w:tcPr>
          <w:p>
            <w:pPr>
              <w:spacing w:after="0"/>
              <w:rPr>
                <w:sz w:val="21"/>
                <w:szCs w:val="21"/>
                <w:color w:val="auto"/>
              </w:rPr>
            </w:pP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460" w:type="dxa"/>
            <w:vAlign w:val="bottom"/>
            <w:tcBorders>
              <w:lef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560" w:type="dxa"/>
            <w:vAlign w:val="bottom"/>
            <w:gridSpan w:val="3"/>
            <w:shd w:val="clear" w:color="auto" w:fill="C0C0C0"/>
          </w:tcPr>
          <w:p>
            <w:pPr>
              <w:jc w:val="right"/>
              <w:spacing w:after="0"/>
              <w:rPr>
                <w:sz w:val="20"/>
                <w:szCs w:val="20"/>
                <w:color w:val="auto"/>
              </w:rPr>
            </w:pPr>
            <w:r>
              <w:rPr>
                <w:rFonts w:ascii="Arial" w:cs="Arial" w:eastAsia="Arial" w:hAnsi="Arial"/>
                <w:sz w:val="17"/>
                <w:szCs w:val="17"/>
                <w:b w:val="1"/>
                <w:bCs w:val="1"/>
                <w:color w:val="auto"/>
              </w:rPr>
              <w:t>1998</w:t>
            </w:r>
          </w:p>
        </w:tc>
      </w:tr>
      <w:tr>
        <w:trPr>
          <w:trHeight w:val="39"/>
        </w:trPr>
        <w:tc>
          <w:tcPr>
            <w:tcW w:w="20" w:type="dxa"/>
            <w:vAlign w:val="bottom"/>
          </w:tcPr>
          <w:p>
            <w:pPr>
              <w:spacing w:after="0"/>
              <w:rPr>
                <w:sz w:val="3"/>
                <w:szCs w:val="3"/>
                <w:color w:val="auto"/>
              </w:rPr>
            </w:pPr>
          </w:p>
        </w:tc>
        <w:tc>
          <w:tcPr>
            <w:tcW w:w="6320" w:type="dxa"/>
            <w:vAlign w:val="bottom"/>
            <w:shd w:val="clear" w:color="auto" w:fill="C0C0C0"/>
          </w:tcPr>
          <w:p>
            <w:pPr>
              <w:spacing w:after="0"/>
              <w:rPr>
                <w:sz w:val="3"/>
                <w:szCs w:val="3"/>
                <w:color w:val="auto"/>
              </w:rPr>
            </w:pPr>
          </w:p>
        </w:tc>
        <w:tc>
          <w:tcPr>
            <w:tcW w:w="1060" w:type="dxa"/>
            <w:vAlign w:val="bottom"/>
            <w:tcBorders>
              <w:right w:val="single" w:sz="8" w:color="C0C0C0"/>
            </w:tcBorders>
            <w:shd w:val="clear" w:color="auto" w:fill="C0C0C0"/>
          </w:tcPr>
          <w:p>
            <w:pPr>
              <w:spacing w:after="0"/>
              <w:rPr>
                <w:sz w:val="3"/>
                <w:szCs w:val="3"/>
                <w:color w:val="auto"/>
              </w:rPr>
            </w:pPr>
          </w:p>
        </w:tc>
        <w:tc>
          <w:tcPr>
            <w:tcW w:w="20" w:type="dxa"/>
            <w:vAlign w:val="bottom"/>
            <w:shd w:val="clear" w:color="auto" w:fill="C0C0C0"/>
          </w:tcPr>
          <w:p>
            <w:pPr>
              <w:spacing w:after="0"/>
              <w:rPr>
                <w:sz w:val="3"/>
                <w:szCs w:val="3"/>
                <w:color w:val="auto"/>
              </w:rPr>
            </w:pPr>
          </w:p>
        </w:tc>
        <w:tc>
          <w:tcPr>
            <w:tcW w:w="180" w:type="dxa"/>
            <w:vAlign w:val="bottom"/>
            <w:shd w:val="clear" w:color="auto" w:fill="C0C0C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20" w:type="dxa"/>
            <w:vAlign w:val="bottom"/>
            <w:tcBorders>
              <w:left w:val="single" w:sz="8" w:color="auto"/>
            </w:tcBorders>
            <w:shd w:val="clear" w:color="auto" w:fill="C0C0C0"/>
          </w:tcPr>
          <w:p>
            <w:pPr>
              <w:spacing w:after="0"/>
              <w:rPr>
                <w:sz w:val="3"/>
                <w:szCs w:val="3"/>
                <w:color w:val="auto"/>
              </w:rPr>
            </w:pPr>
          </w:p>
        </w:tc>
        <w:tc>
          <w:tcPr>
            <w:tcW w:w="480" w:type="dxa"/>
            <w:vAlign w:val="bottom"/>
            <w:tcBorders>
              <w:right w:val="single" w:sz="8" w:color="C0C0C0"/>
            </w:tcBorders>
            <w:shd w:val="clear" w:color="auto" w:fill="C0C0C0"/>
          </w:tcPr>
          <w:p>
            <w:pPr>
              <w:spacing w:after="0"/>
              <w:rPr>
                <w:sz w:val="3"/>
                <w:szCs w:val="3"/>
                <w:color w:val="auto"/>
              </w:rPr>
            </w:pPr>
          </w:p>
        </w:tc>
        <w:tc>
          <w:tcPr>
            <w:tcW w:w="200" w:type="dxa"/>
            <w:vAlign w:val="bottom"/>
            <w:shd w:val="clear" w:color="auto" w:fill="C0C0C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460" w:type="dxa"/>
            <w:vAlign w:val="bottom"/>
            <w:tcBorders>
              <w:left w:val="single" w:sz="8" w:color="auto"/>
            </w:tcBorders>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260" w:type="dxa"/>
            <w:vAlign w:val="bottom"/>
            <w:tcBorders>
              <w:right w:val="single" w:sz="8" w:color="C0C0C0"/>
            </w:tcBorders>
            <w:shd w:val="clear" w:color="auto" w:fill="C0C0C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60" w:type="dxa"/>
            <w:vAlign w:val="bottom"/>
            <w:tcBorders>
              <w:left w:val="single" w:sz="8" w:color="auto"/>
            </w:tcBorders>
            <w:shd w:val="clear" w:color="auto" w:fill="000000"/>
          </w:tcPr>
          <w:p>
            <w:pPr>
              <w:spacing w:after="0"/>
              <w:rPr>
                <w:sz w:val="3"/>
                <w:szCs w:val="3"/>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Net sales</w:t>
            </w:r>
          </w:p>
        </w:tc>
        <w:tc>
          <w:tcPr>
            <w:tcW w:w="1540" w:type="dxa"/>
            <w:vAlign w:val="bottom"/>
            <w:gridSpan w:val="5"/>
          </w:tcPr>
          <w:p>
            <w:pPr>
              <w:jc w:val="right"/>
              <w:spacing w:after="0"/>
              <w:rPr>
                <w:sz w:val="20"/>
                <w:szCs w:val="20"/>
                <w:color w:val="auto"/>
              </w:rPr>
            </w:pPr>
            <w:r>
              <w:rPr>
                <w:rFonts w:ascii="Arial" w:cs="Arial" w:eastAsia="Arial" w:hAnsi="Arial"/>
                <w:sz w:val="17"/>
                <w:szCs w:val="17"/>
                <w:color w:val="auto"/>
              </w:rPr>
              <w:t>$670,917</w:t>
            </w:r>
          </w:p>
        </w:tc>
        <w:tc>
          <w:tcPr>
            <w:tcW w:w="4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$662,475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$631,622</w:t>
            </w:r>
          </w:p>
        </w:tc>
      </w:tr>
      <w:tr>
        <w:trPr>
          <w:trHeight w:val="404"/>
        </w:trPr>
        <w:tc>
          <w:tcPr>
            <w:tcW w:w="6340" w:type="dxa"/>
            <w:vAlign w:val="bottom"/>
            <w:gridSpan w:val="2"/>
          </w:tcPr>
          <w:p>
            <w:pPr>
              <w:spacing w:after="0"/>
              <w:rPr>
                <w:sz w:val="20"/>
                <w:szCs w:val="20"/>
                <w:color w:val="auto"/>
              </w:rPr>
            </w:pPr>
            <w:r>
              <w:rPr>
                <w:rFonts w:ascii="Arial" w:cs="Arial" w:eastAsia="Arial" w:hAnsi="Arial"/>
                <w:sz w:val="17"/>
                <w:szCs w:val="17"/>
                <w:color w:val="auto"/>
              </w:rPr>
              <w:t>Operating costs and expenses: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7"/>
                <w:szCs w:val="17"/>
                <w:color w:val="auto"/>
              </w:rPr>
              <w:t>Cost of goods sold</w:t>
            </w:r>
          </w:p>
        </w:tc>
        <w:tc>
          <w:tcPr>
            <w:tcW w:w="10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w w:val="78"/>
              </w:rPr>
              <w:t>477,512</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78"/>
              </w:rPr>
              <w:t>466,702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w w:val="81"/>
              </w:rPr>
              <w:t>442,562</w:t>
            </w:r>
          </w:p>
        </w:tc>
      </w:tr>
      <w:tr>
        <w:trPr>
          <w:trHeight w:val="210"/>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7"/>
                <w:szCs w:val="17"/>
                <w:color w:val="auto"/>
              </w:rPr>
              <w:t>Marketing and administrative expenses `</w:t>
            </w:r>
          </w:p>
        </w:tc>
        <w:tc>
          <w:tcPr>
            <w:tcW w:w="10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w w:val="92"/>
              </w:rPr>
              <w:t>71,404</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72,208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w w:val="96"/>
              </w:rPr>
              <w:t>75,068</w:t>
            </w:r>
          </w:p>
        </w:tc>
      </w:tr>
      <w:tr>
        <w:trPr>
          <w:trHeight w:val="210"/>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7"/>
                <w:szCs w:val="17"/>
                <w:color w:val="auto"/>
              </w:rPr>
              <w:t>Research and development expenses</w:t>
            </w:r>
          </w:p>
        </w:tc>
        <w:tc>
          <w:tcPr>
            <w:tcW w:w="10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w w:val="92"/>
              </w:rPr>
              <w:t>26,331</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24,788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w w:val="96"/>
              </w:rPr>
              <w:t>21,038</w:t>
            </w:r>
          </w:p>
        </w:tc>
      </w:tr>
      <w:tr>
        <w:trPr>
          <w:trHeight w:val="210"/>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7"/>
                <w:szCs w:val="17"/>
                <w:color w:val="auto"/>
              </w:rPr>
              <w:t>Bad debt expenses</w:t>
            </w:r>
          </w:p>
        </w:tc>
        <w:tc>
          <w:tcPr>
            <w:tcW w:w="10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rPr>
              <w:t>5,964</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1,234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rPr>
              <w:t>507</w:t>
            </w:r>
          </w:p>
        </w:tc>
      </w:tr>
      <w:tr>
        <w:trPr>
          <w:trHeight w:val="179"/>
        </w:trPr>
        <w:tc>
          <w:tcPr>
            <w:tcW w:w="20" w:type="dxa"/>
            <w:vAlign w:val="bottom"/>
          </w:tcPr>
          <w:p>
            <w:pPr>
              <w:spacing w:after="0"/>
              <w:rPr>
                <w:sz w:val="15"/>
                <w:szCs w:val="15"/>
                <w:color w:val="auto"/>
              </w:rPr>
            </w:pPr>
          </w:p>
        </w:tc>
        <w:tc>
          <w:tcPr>
            <w:tcW w:w="6320" w:type="dxa"/>
            <w:vAlign w:val="bottom"/>
          </w:tcPr>
          <w:p>
            <w:pPr>
              <w:ind w:left="200"/>
              <w:spacing w:after="0" w:line="179" w:lineRule="exact"/>
              <w:rPr>
                <w:sz w:val="20"/>
                <w:szCs w:val="20"/>
                <w:color w:val="auto"/>
              </w:rPr>
            </w:pPr>
            <w:r>
              <w:rPr>
                <w:rFonts w:ascii="Arial" w:cs="Arial" w:eastAsia="Arial" w:hAnsi="Arial"/>
                <w:sz w:val="17"/>
                <w:szCs w:val="17"/>
                <w:color w:val="auto"/>
              </w:rPr>
              <w:t>Write-down of impaired assets</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spacing w:after="0" w:line="179" w:lineRule="exact"/>
              <w:rPr>
                <w:sz w:val="20"/>
                <w:szCs w:val="20"/>
                <w:color w:val="auto"/>
              </w:rPr>
            </w:pPr>
            <w:r>
              <w:rPr>
                <w:rFonts w:ascii="Arial" w:cs="Arial" w:eastAsia="Arial" w:hAnsi="Arial"/>
                <w:sz w:val="17"/>
                <w:szCs w:val="17"/>
                <w:color w:val="auto"/>
              </w:rPr>
              <w:t>4,900</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3"/>
          </w:tcPr>
          <w:p>
            <w:pPr>
              <w:jc w:val="right"/>
              <w:ind w:right="40"/>
              <w:spacing w:after="0" w:line="179" w:lineRule="exact"/>
              <w:rPr>
                <w:sz w:val="20"/>
                <w:szCs w:val="20"/>
                <w:color w:val="auto"/>
              </w:rPr>
            </w:pPr>
            <w:r>
              <w:rPr>
                <w:rFonts w:ascii="Arial" w:cs="Arial" w:eastAsia="Arial" w:hAnsi="Arial"/>
                <w:sz w:val="17"/>
                <w:szCs w:val="17"/>
                <w:color w:val="auto"/>
              </w:rPr>
              <w:t>--</w:t>
            </w:r>
          </w:p>
        </w:tc>
      </w:tr>
      <w:tr>
        <w:trPr>
          <w:trHeight w:val="20"/>
        </w:trPr>
        <w:tc>
          <w:tcPr>
            <w:tcW w:w="6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25"/>
        </w:trPr>
        <w:tc>
          <w:tcPr>
            <w:tcW w:w="6340" w:type="dxa"/>
            <w:vAlign w:val="bottom"/>
            <w:gridSpan w:val="2"/>
          </w:tcPr>
          <w:p>
            <w:pPr>
              <w:spacing w:after="0"/>
              <w:rPr>
                <w:sz w:val="20"/>
                <w:szCs w:val="20"/>
                <w:color w:val="auto"/>
              </w:rPr>
            </w:pPr>
            <w:r>
              <w:rPr>
                <w:rFonts w:ascii="Arial" w:cs="Arial" w:eastAsia="Arial" w:hAnsi="Arial"/>
                <w:sz w:val="17"/>
                <w:szCs w:val="17"/>
                <w:color w:val="auto"/>
              </w:rPr>
              <w:t>Income from operations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w w:val="88"/>
              </w:rPr>
              <w:t>84,806</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97,543</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w w:val="96"/>
              </w:rPr>
              <w:t>92,447</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56"/>
        </w:trPr>
        <w:tc>
          <w:tcPr>
            <w:tcW w:w="20" w:type="dxa"/>
            <w:vAlign w:val="bottom"/>
          </w:tcPr>
          <w:p>
            <w:pPr>
              <w:spacing w:after="0"/>
              <w:rPr>
                <w:sz w:val="24"/>
                <w:szCs w:val="24"/>
                <w:color w:val="auto"/>
              </w:rPr>
            </w:pPr>
          </w:p>
        </w:tc>
        <w:tc>
          <w:tcPr>
            <w:tcW w:w="6320" w:type="dxa"/>
            <w:vAlign w:val="bottom"/>
          </w:tcPr>
          <w:p>
            <w:pPr>
              <w:ind w:left="200"/>
              <w:spacing w:after="0"/>
              <w:rPr>
                <w:sz w:val="20"/>
                <w:szCs w:val="20"/>
                <w:color w:val="auto"/>
              </w:rPr>
            </w:pPr>
            <w:r>
              <w:rPr>
                <w:rFonts w:ascii="Arial" w:cs="Arial" w:eastAsia="Arial" w:hAnsi="Arial"/>
                <w:sz w:val="17"/>
                <w:szCs w:val="17"/>
                <w:color w:val="auto"/>
              </w:rPr>
              <w:t>Interest income</w:t>
            </w:r>
          </w:p>
        </w:tc>
        <w:tc>
          <w:tcPr>
            <w:tcW w:w="106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rPr>
              <w:t>1,146</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1,193</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rPr>
              <w:t>2,146</w:t>
            </w:r>
          </w:p>
        </w:tc>
      </w:tr>
      <w:tr>
        <w:trPr>
          <w:trHeight w:val="210"/>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7"/>
                <w:szCs w:val="17"/>
                <w:color w:val="auto"/>
              </w:rPr>
              <w:t>Interest expense</w:t>
            </w:r>
          </w:p>
        </w:tc>
        <w:tc>
          <w:tcPr>
            <w:tcW w:w="1060" w:type="dxa"/>
            <w:vAlign w:val="bottom"/>
          </w:tcPr>
          <w:p>
            <w:pPr>
              <w:spacing w:after="0"/>
              <w:rPr>
                <w:sz w:val="18"/>
                <w:szCs w:val="18"/>
                <w:color w:val="auto"/>
              </w:rPr>
            </w:pPr>
          </w:p>
        </w:tc>
        <w:tc>
          <w:tcPr>
            <w:tcW w:w="900" w:type="dxa"/>
            <w:vAlign w:val="bottom"/>
            <w:gridSpan w:val="5"/>
          </w:tcPr>
          <w:p>
            <w:pPr>
              <w:jc w:val="right"/>
              <w:ind w:right="360"/>
              <w:spacing w:after="0"/>
              <w:rPr>
                <w:sz w:val="20"/>
                <w:szCs w:val="20"/>
                <w:color w:val="auto"/>
              </w:rPr>
            </w:pPr>
            <w:r>
              <w:rPr>
                <w:rFonts w:ascii="Arial" w:cs="Arial" w:eastAsia="Arial" w:hAnsi="Arial"/>
                <w:sz w:val="17"/>
                <w:szCs w:val="17"/>
                <w:color w:val="auto"/>
                <w:w w:val="96"/>
              </w:rPr>
              <w:t>(5,311)</w:t>
            </w: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6"/>
              </w:rPr>
              <w:t>(5,141)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(5,918)</w:t>
            </w:r>
          </w:p>
        </w:tc>
      </w:tr>
      <w:tr>
        <w:trPr>
          <w:trHeight w:val="179"/>
        </w:trPr>
        <w:tc>
          <w:tcPr>
            <w:tcW w:w="20" w:type="dxa"/>
            <w:vAlign w:val="bottom"/>
          </w:tcPr>
          <w:p>
            <w:pPr>
              <w:spacing w:after="0"/>
              <w:rPr>
                <w:sz w:val="15"/>
                <w:szCs w:val="15"/>
                <w:color w:val="auto"/>
              </w:rPr>
            </w:pPr>
          </w:p>
        </w:tc>
        <w:tc>
          <w:tcPr>
            <w:tcW w:w="6320" w:type="dxa"/>
            <w:vAlign w:val="bottom"/>
          </w:tcPr>
          <w:p>
            <w:pPr>
              <w:ind w:left="200"/>
              <w:spacing w:after="0" w:line="179" w:lineRule="exact"/>
              <w:rPr>
                <w:sz w:val="20"/>
                <w:szCs w:val="20"/>
                <w:color w:val="auto"/>
              </w:rPr>
            </w:pPr>
            <w:r>
              <w:rPr>
                <w:rFonts w:ascii="Arial" w:cs="Arial" w:eastAsia="Arial" w:hAnsi="Arial"/>
                <w:sz w:val="17"/>
                <w:szCs w:val="17"/>
                <w:color w:val="auto"/>
              </w:rPr>
              <w:t>Other deductions</w:t>
            </w:r>
          </w:p>
        </w:tc>
        <w:tc>
          <w:tcPr>
            <w:tcW w:w="1060" w:type="dxa"/>
            <w:vAlign w:val="bottom"/>
          </w:tcPr>
          <w:p>
            <w:pPr>
              <w:spacing w:after="0"/>
              <w:rPr>
                <w:sz w:val="15"/>
                <w:szCs w:val="15"/>
                <w:color w:val="auto"/>
              </w:rPr>
            </w:pPr>
          </w:p>
        </w:tc>
        <w:tc>
          <w:tcPr>
            <w:tcW w:w="900" w:type="dxa"/>
            <w:vAlign w:val="bottom"/>
            <w:gridSpan w:val="5"/>
          </w:tcPr>
          <w:p>
            <w:pPr>
              <w:jc w:val="right"/>
              <w:ind w:right="360"/>
              <w:spacing w:after="0" w:line="179" w:lineRule="exact"/>
              <w:rPr>
                <w:sz w:val="20"/>
                <w:szCs w:val="20"/>
                <w:color w:val="auto"/>
              </w:rPr>
            </w:pPr>
            <w:r>
              <w:rPr>
                <w:rFonts w:ascii="Arial" w:cs="Arial" w:eastAsia="Arial" w:hAnsi="Arial"/>
                <w:sz w:val="17"/>
                <w:szCs w:val="17"/>
                <w:color w:val="auto"/>
              </w:rPr>
              <w:t>(869)</w:t>
            </w:r>
          </w:p>
        </w:tc>
        <w:tc>
          <w:tcPr>
            <w:tcW w:w="480" w:type="dxa"/>
            <w:vAlign w:val="bottom"/>
          </w:tcPr>
          <w:p>
            <w:pPr>
              <w:spacing w:after="0"/>
              <w:rPr>
                <w:sz w:val="15"/>
                <w:szCs w:val="15"/>
                <w:color w:val="auto"/>
              </w:rPr>
            </w:pPr>
          </w:p>
        </w:tc>
        <w:tc>
          <w:tcPr>
            <w:tcW w:w="500" w:type="dxa"/>
            <w:vAlign w:val="bottom"/>
            <w:gridSpan w:val="2"/>
          </w:tcPr>
          <w:p>
            <w:pPr>
              <w:jc w:val="right"/>
              <w:spacing w:after="0" w:line="179" w:lineRule="exact"/>
              <w:rPr>
                <w:sz w:val="20"/>
                <w:szCs w:val="20"/>
                <w:color w:val="auto"/>
              </w:rPr>
            </w:pPr>
            <w:r>
              <w:rPr>
                <w:rFonts w:ascii="Arial" w:cs="Arial" w:eastAsia="Arial" w:hAnsi="Arial"/>
                <w:sz w:val="17"/>
                <w:szCs w:val="17"/>
                <w:color w:val="auto"/>
                <w:w w:val="96"/>
              </w:rPr>
              <w:t>(1,060)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3"/>
          </w:tcPr>
          <w:p>
            <w:pPr>
              <w:jc w:val="right"/>
              <w:spacing w:after="0" w:line="179" w:lineRule="exact"/>
              <w:rPr>
                <w:sz w:val="20"/>
                <w:szCs w:val="20"/>
                <w:color w:val="auto"/>
              </w:rPr>
            </w:pPr>
            <w:r>
              <w:rPr>
                <w:rFonts w:ascii="Arial" w:cs="Arial" w:eastAsia="Arial" w:hAnsi="Arial"/>
                <w:sz w:val="17"/>
                <w:szCs w:val="17"/>
                <w:color w:val="auto"/>
              </w:rPr>
              <w:t>(2,333)</w:t>
            </w:r>
          </w:p>
        </w:tc>
      </w:tr>
      <w:tr>
        <w:trPr>
          <w:trHeight w:val="20"/>
        </w:trPr>
        <w:tc>
          <w:tcPr>
            <w:tcW w:w="6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6340" w:type="dxa"/>
            <w:vAlign w:val="bottom"/>
            <w:gridSpan w:val="2"/>
          </w:tcPr>
          <w:p>
            <w:pPr>
              <w:spacing w:after="0" w:line="189" w:lineRule="exact"/>
              <w:rPr>
                <w:sz w:val="20"/>
                <w:szCs w:val="20"/>
                <w:color w:val="auto"/>
              </w:rPr>
            </w:pPr>
            <w:r>
              <w:rPr>
                <w:rFonts w:ascii="Arial" w:cs="Arial" w:eastAsia="Arial" w:hAnsi="Arial"/>
                <w:sz w:val="17"/>
                <w:szCs w:val="17"/>
                <w:color w:val="auto"/>
              </w:rPr>
              <w:t>Non-operating deductions, net</w:t>
            </w:r>
          </w:p>
        </w:tc>
        <w:tc>
          <w:tcPr>
            <w:tcW w:w="1060" w:type="dxa"/>
            <w:vAlign w:val="bottom"/>
          </w:tcPr>
          <w:p>
            <w:pPr>
              <w:spacing w:after="0"/>
              <w:rPr>
                <w:sz w:val="16"/>
                <w:szCs w:val="16"/>
                <w:color w:val="auto"/>
              </w:rPr>
            </w:pPr>
          </w:p>
        </w:tc>
        <w:tc>
          <w:tcPr>
            <w:tcW w:w="900" w:type="dxa"/>
            <w:vAlign w:val="bottom"/>
            <w:gridSpan w:val="5"/>
          </w:tcPr>
          <w:p>
            <w:pPr>
              <w:jc w:val="right"/>
              <w:ind w:right="360"/>
              <w:spacing w:after="0" w:line="189" w:lineRule="exact"/>
              <w:rPr>
                <w:sz w:val="20"/>
                <w:szCs w:val="20"/>
                <w:color w:val="auto"/>
              </w:rPr>
            </w:pPr>
            <w:r>
              <w:rPr>
                <w:rFonts w:ascii="Arial" w:cs="Arial" w:eastAsia="Arial" w:hAnsi="Arial"/>
                <w:sz w:val="17"/>
                <w:szCs w:val="17"/>
                <w:color w:val="auto"/>
                <w:w w:val="96"/>
              </w:rPr>
              <w:t>(5,034)</w:t>
            </w:r>
          </w:p>
        </w:tc>
        <w:tc>
          <w:tcPr>
            <w:tcW w:w="480" w:type="dxa"/>
            <w:vAlign w:val="bottom"/>
          </w:tcPr>
          <w:p>
            <w:pPr>
              <w:spacing w:after="0"/>
              <w:rPr>
                <w:sz w:val="16"/>
                <w:szCs w:val="16"/>
                <w:color w:val="auto"/>
              </w:rPr>
            </w:pPr>
          </w:p>
        </w:tc>
        <w:tc>
          <w:tcPr>
            <w:tcW w:w="500" w:type="dxa"/>
            <w:vAlign w:val="bottom"/>
            <w:gridSpan w:val="2"/>
          </w:tcPr>
          <w:p>
            <w:pPr>
              <w:jc w:val="right"/>
              <w:spacing w:after="0" w:line="189" w:lineRule="exact"/>
              <w:rPr>
                <w:sz w:val="20"/>
                <w:szCs w:val="20"/>
                <w:color w:val="auto"/>
              </w:rPr>
            </w:pPr>
            <w:r>
              <w:rPr>
                <w:rFonts w:ascii="Arial" w:cs="Arial" w:eastAsia="Arial" w:hAnsi="Arial"/>
                <w:sz w:val="17"/>
                <w:szCs w:val="17"/>
                <w:color w:val="auto"/>
                <w:w w:val="96"/>
              </w:rPr>
              <w:t>(5,008)</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(6,105)</w:t>
            </w:r>
          </w:p>
        </w:tc>
      </w:tr>
      <w:tr>
        <w:trPr>
          <w:trHeight w:val="20"/>
        </w:trPr>
        <w:tc>
          <w:tcPr>
            <w:tcW w:w="6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6"/>
        </w:trPr>
        <w:tc>
          <w:tcPr>
            <w:tcW w:w="6340" w:type="dxa"/>
            <w:vAlign w:val="bottom"/>
            <w:gridSpan w:val="2"/>
          </w:tcPr>
          <w:p>
            <w:pPr>
              <w:spacing w:after="0"/>
              <w:rPr>
                <w:sz w:val="20"/>
                <w:szCs w:val="20"/>
                <w:color w:val="auto"/>
              </w:rPr>
            </w:pPr>
            <w:r>
              <w:rPr>
                <w:rFonts w:ascii="Arial" w:cs="Arial" w:eastAsia="Arial" w:hAnsi="Arial"/>
                <w:sz w:val="17"/>
                <w:szCs w:val="17"/>
                <w:color w:val="auto"/>
              </w:rPr>
              <w:t>Income before provision for taxes on income and minority interests</w:t>
            </w:r>
          </w:p>
        </w:tc>
        <w:tc>
          <w:tcPr>
            <w:tcW w:w="106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w w:val="92"/>
              </w:rPr>
              <w:t>79,772</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92,535</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w w:val="96"/>
              </w:rPr>
              <w:t>86,342</w:t>
            </w:r>
          </w:p>
        </w:tc>
      </w:tr>
      <w:tr>
        <w:trPr>
          <w:trHeight w:val="210"/>
        </w:trPr>
        <w:tc>
          <w:tcPr>
            <w:tcW w:w="6340" w:type="dxa"/>
            <w:vAlign w:val="bottom"/>
            <w:gridSpan w:val="2"/>
          </w:tcPr>
          <w:p>
            <w:pPr>
              <w:spacing w:after="0"/>
              <w:rPr>
                <w:sz w:val="20"/>
                <w:szCs w:val="20"/>
                <w:color w:val="auto"/>
              </w:rPr>
            </w:pPr>
            <w:r>
              <w:rPr>
                <w:rFonts w:ascii="Arial" w:cs="Arial" w:eastAsia="Arial" w:hAnsi="Arial"/>
                <w:sz w:val="17"/>
                <w:szCs w:val="17"/>
                <w:color w:val="auto"/>
              </w:rPr>
              <w:t>Provision for taxes on income</w:t>
            </w:r>
          </w:p>
        </w:tc>
        <w:tc>
          <w:tcPr>
            <w:tcW w:w="10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w w:val="92"/>
              </w:rPr>
              <w:t>23,735</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28,920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w w:val="96"/>
              </w:rPr>
              <w:t>27,360</w:t>
            </w:r>
          </w:p>
        </w:tc>
      </w:tr>
      <w:tr>
        <w:trPr>
          <w:trHeight w:val="179"/>
        </w:trPr>
        <w:tc>
          <w:tcPr>
            <w:tcW w:w="6340" w:type="dxa"/>
            <w:vAlign w:val="bottom"/>
            <w:gridSpan w:val="2"/>
          </w:tcPr>
          <w:p>
            <w:pPr>
              <w:spacing w:after="0" w:line="179" w:lineRule="exact"/>
              <w:rPr>
                <w:sz w:val="20"/>
                <w:szCs w:val="20"/>
                <w:color w:val="auto"/>
              </w:rPr>
            </w:pPr>
            <w:r>
              <w:rPr>
                <w:rFonts w:ascii="Arial" w:cs="Arial" w:eastAsia="Arial" w:hAnsi="Arial"/>
                <w:sz w:val="17"/>
                <w:szCs w:val="17"/>
                <w:color w:val="auto"/>
              </w:rPr>
              <w:t>Minority interests</w:t>
            </w:r>
          </w:p>
        </w:tc>
        <w:tc>
          <w:tcPr>
            <w:tcW w:w="1060" w:type="dxa"/>
            <w:vAlign w:val="bottom"/>
          </w:tcPr>
          <w:p>
            <w:pPr>
              <w:spacing w:after="0"/>
              <w:rPr>
                <w:sz w:val="15"/>
                <w:szCs w:val="15"/>
                <w:color w:val="auto"/>
              </w:rPr>
            </w:pPr>
          </w:p>
        </w:tc>
        <w:tc>
          <w:tcPr>
            <w:tcW w:w="48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1,829</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1,499</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3"/>
          </w:tcPr>
          <w:p>
            <w:pPr>
              <w:jc w:val="right"/>
              <w:ind w:right="40"/>
              <w:spacing w:after="0" w:line="179" w:lineRule="exact"/>
              <w:rPr>
                <w:sz w:val="20"/>
                <w:szCs w:val="20"/>
                <w:color w:val="auto"/>
              </w:rPr>
            </w:pPr>
            <w:r>
              <w:rPr>
                <w:rFonts w:ascii="Arial" w:cs="Arial" w:eastAsia="Arial" w:hAnsi="Arial"/>
                <w:sz w:val="17"/>
                <w:szCs w:val="17"/>
                <w:color w:val="auto"/>
              </w:rPr>
              <w:t>1,758</w:t>
            </w:r>
          </w:p>
        </w:tc>
      </w:tr>
      <w:tr>
        <w:trPr>
          <w:trHeight w:val="20"/>
        </w:trPr>
        <w:tc>
          <w:tcPr>
            <w:tcW w:w="6340" w:type="dxa"/>
            <w:vAlign w:val="bottom"/>
            <w:gridSpan w:val="2"/>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20"/>
        </w:trPr>
        <w:tc>
          <w:tcPr>
            <w:tcW w:w="63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540" w:type="dxa"/>
            <w:vAlign w:val="bottom"/>
            <w:gridSpan w:val="5"/>
          </w:tcPr>
          <w:p>
            <w:pPr>
              <w:jc w:val="right"/>
              <w:spacing w:after="0"/>
              <w:rPr>
                <w:sz w:val="20"/>
                <w:szCs w:val="20"/>
                <w:color w:val="auto"/>
              </w:rPr>
            </w:pPr>
            <w:r>
              <w:rPr>
                <w:rFonts w:ascii="Arial" w:cs="Arial" w:eastAsia="Arial" w:hAnsi="Arial"/>
                <w:sz w:val="17"/>
                <w:szCs w:val="17"/>
                <w:color w:val="auto"/>
              </w:rPr>
              <w:t>$ 54,208</w:t>
            </w:r>
          </w:p>
        </w:tc>
        <w:tc>
          <w:tcPr>
            <w:tcW w:w="4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$ 62,116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$ 57,224</w:t>
            </w: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5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r>
        <w:trPr>
          <w:trHeight w:val="439"/>
        </w:trPr>
        <w:tc>
          <w:tcPr>
            <w:tcW w:w="6340" w:type="dxa"/>
            <w:vAlign w:val="bottom"/>
            <w:gridSpan w:val="2"/>
          </w:tcPr>
          <w:p>
            <w:pPr>
              <w:spacing w:after="0"/>
              <w:rPr>
                <w:sz w:val="20"/>
                <w:szCs w:val="20"/>
                <w:color w:val="auto"/>
              </w:rPr>
            </w:pPr>
            <w:r>
              <w:rPr>
                <w:rFonts w:ascii="Arial" w:cs="Arial" w:eastAsia="Arial" w:hAnsi="Arial"/>
                <w:sz w:val="17"/>
                <w:szCs w:val="17"/>
                <w:color w:val="auto"/>
              </w:rPr>
              <w:t>Basic earnings per share</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4"/>
          </w:tcPr>
          <w:p>
            <w:pPr>
              <w:jc w:val="right"/>
              <w:spacing w:after="0"/>
              <w:rPr>
                <w:sz w:val="20"/>
                <w:szCs w:val="20"/>
                <w:color w:val="auto"/>
              </w:rPr>
            </w:pPr>
            <w:r>
              <w:rPr>
                <w:rFonts w:ascii="Arial" w:cs="Arial" w:eastAsia="Arial" w:hAnsi="Arial"/>
                <w:sz w:val="17"/>
                <w:szCs w:val="17"/>
                <w:color w:val="auto"/>
              </w:rPr>
              <w:t>2.65</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2.90</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rPr>
              <w:t>2.57</w:t>
            </w: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5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r>
        <w:trPr>
          <w:trHeight w:val="210"/>
        </w:trPr>
        <w:tc>
          <w:tcPr>
            <w:tcW w:w="6340" w:type="dxa"/>
            <w:vAlign w:val="bottom"/>
            <w:gridSpan w:val="2"/>
          </w:tcPr>
          <w:p>
            <w:pPr>
              <w:spacing w:after="0"/>
              <w:rPr>
                <w:sz w:val="20"/>
                <w:szCs w:val="20"/>
                <w:color w:val="auto"/>
              </w:rPr>
            </w:pPr>
            <w:r>
              <w:rPr>
                <w:rFonts w:ascii="Arial" w:cs="Arial" w:eastAsia="Arial" w:hAnsi="Arial"/>
                <w:sz w:val="17"/>
                <w:szCs w:val="17"/>
                <w:color w:val="auto"/>
              </w:rPr>
              <w:t>Diluted earnings per share</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4"/>
          </w:tcPr>
          <w:p>
            <w:pPr>
              <w:jc w:val="right"/>
              <w:spacing w:after="0"/>
              <w:rPr>
                <w:sz w:val="20"/>
                <w:szCs w:val="20"/>
                <w:color w:val="auto"/>
              </w:rPr>
            </w:pPr>
            <w:r>
              <w:rPr>
                <w:rFonts w:ascii="Arial" w:cs="Arial" w:eastAsia="Arial" w:hAnsi="Arial"/>
                <w:sz w:val="17"/>
                <w:szCs w:val="17"/>
                <w:color w:val="auto"/>
              </w:rPr>
              <w:t>2.58</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2.80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7"/>
                <w:szCs w:val="17"/>
                <w:color w:val="auto"/>
              </w:rPr>
              <w:t>2.50</w:t>
            </w: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5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Notes to Consolidated Financial Statements, which are an integral part of these statements.</w:t>
      </w: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MINERALS TECHNOLOGIES INC. AND SUBSIDIARY COMPANIES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 OF CASH FLOWS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(thousands of dollars)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Borders>
              <w:bottom w:val="single" w:sz="8" w:color="C0C0C0"/>
            </w:tcBorders>
            <w:shd w:val="clear" w:color="auto" w:fill="C0C0C0"/>
          </w:tcPr>
          <w:p>
            <w:pPr>
              <w:spacing w:after="0"/>
              <w:rPr>
                <w:sz w:val="16"/>
                <w:szCs w:val="16"/>
                <w:color w:val="auto"/>
              </w:rPr>
            </w:pPr>
          </w:p>
        </w:tc>
        <w:tc>
          <w:tcPr>
            <w:tcW w:w="1280" w:type="dxa"/>
            <w:vAlign w:val="bottom"/>
            <w:tcBorders>
              <w:bottom w:val="single" w:sz="8" w:color="C0C0C0"/>
            </w:tcBorders>
            <w:shd w:val="clear" w:color="auto" w:fill="C0C0C0"/>
          </w:tcPr>
          <w:p>
            <w:pPr>
              <w:spacing w:after="0"/>
              <w:rPr>
                <w:sz w:val="16"/>
                <w:szCs w:val="16"/>
                <w:color w:val="auto"/>
              </w:rPr>
            </w:pPr>
          </w:p>
        </w:tc>
        <w:tc>
          <w:tcPr>
            <w:tcW w:w="340" w:type="dxa"/>
            <w:vAlign w:val="bottom"/>
            <w:tcBorders>
              <w:bottom w:val="single" w:sz="8" w:color="C0C0C0"/>
              <w:right w:val="single" w:sz="8" w:color="C0C0C0"/>
            </w:tcBorders>
            <w:shd w:val="clear" w:color="auto" w:fill="C0C0C0"/>
          </w:tcPr>
          <w:p>
            <w:pPr>
              <w:spacing w:after="0"/>
              <w:rPr>
                <w:sz w:val="16"/>
                <w:szCs w:val="16"/>
                <w:color w:val="auto"/>
              </w:rPr>
            </w:pPr>
          </w:p>
        </w:tc>
        <w:tc>
          <w:tcPr>
            <w:tcW w:w="1860" w:type="dxa"/>
            <w:vAlign w:val="bottom"/>
            <w:tcBorders>
              <w:bottom w:val="single" w:sz="8" w:color="auto"/>
            </w:tcBorders>
            <w:gridSpan w:val="4"/>
            <w:shd w:val="clear" w:color="auto" w:fill="C0C0C0"/>
          </w:tcPr>
          <w:p>
            <w:pPr>
              <w:spacing w:after="0"/>
              <w:rPr>
                <w:sz w:val="20"/>
                <w:szCs w:val="20"/>
                <w:color w:val="auto"/>
              </w:rPr>
            </w:pPr>
            <w:r>
              <w:rPr>
                <w:rFonts w:ascii="Arial" w:cs="Arial" w:eastAsia="Arial" w:hAnsi="Arial"/>
                <w:sz w:val="17"/>
                <w:szCs w:val="17"/>
                <w:b w:val="1"/>
                <w:bCs w:val="1"/>
                <w:color w:val="auto"/>
                <w:w w:val="88"/>
              </w:rPr>
              <w:t>Year Ended December 31,</w:t>
            </w:r>
          </w:p>
        </w:tc>
        <w:tc>
          <w:tcPr>
            <w:tcW w:w="100" w:type="dxa"/>
            <w:vAlign w:val="bottom"/>
            <w:tcBorders>
              <w:bottom w:val="single" w:sz="8" w:color="C0C0C0"/>
            </w:tcBorders>
            <w:shd w:val="clear" w:color="auto" w:fill="C0C0C0"/>
          </w:tcPr>
          <w:p>
            <w:pPr>
              <w:spacing w:after="0"/>
              <w:rPr>
                <w:sz w:val="16"/>
                <w:szCs w:val="16"/>
                <w:color w:val="auto"/>
              </w:rPr>
            </w:pPr>
          </w:p>
        </w:tc>
        <w:tc>
          <w:tcPr>
            <w:tcW w:w="400" w:type="dxa"/>
            <w:vAlign w:val="bottom"/>
            <w:tcBorders>
              <w:bottom w:val="single" w:sz="8" w:color="C0C0C0"/>
            </w:tcBorders>
            <w:shd w:val="clear" w:color="auto" w:fill="C0C0C0"/>
          </w:tcPr>
          <w:p>
            <w:pPr>
              <w:spacing w:after="0"/>
              <w:rPr>
                <w:sz w:val="16"/>
                <w:szCs w:val="16"/>
                <w:color w:val="auto"/>
              </w:rPr>
            </w:pPr>
          </w:p>
        </w:tc>
        <w:tc>
          <w:tcPr>
            <w:tcW w:w="380" w:type="dxa"/>
            <w:vAlign w:val="bottom"/>
            <w:tcBorders>
              <w:bottom w:val="single" w:sz="8" w:color="C0C0C0"/>
              <w:right w:val="single" w:sz="8" w:color="C0C0C0"/>
            </w:tcBorders>
            <w:shd w:val="clear" w:color="auto" w:fill="C0C0C0"/>
          </w:tcPr>
          <w:p>
            <w:pPr>
              <w:spacing w:after="0"/>
              <w:rPr>
                <w:sz w:val="16"/>
                <w:szCs w:val="16"/>
                <w:color w:val="auto"/>
              </w:rPr>
            </w:pPr>
          </w:p>
        </w:tc>
      </w:tr>
      <w:tr>
        <w:trPr>
          <w:trHeight w:val="216"/>
        </w:trPr>
        <w:tc>
          <w:tcPr>
            <w:tcW w:w="716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Operating Activities</w:t>
            </w:r>
          </w:p>
        </w:tc>
        <w:tc>
          <w:tcPr>
            <w:tcW w:w="1960" w:type="dxa"/>
            <w:vAlign w:val="bottom"/>
            <w:gridSpan w:val="3"/>
            <w:shd w:val="clear" w:color="auto" w:fill="C0C0C0"/>
          </w:tcPr>
          <w:p>
            <w:pPr>
              <w:jc w:val="right"/>
              <w:ind w:right="255"/>
              <w:spacing w:after="0"/>
              <w:rPr>
                <w:sz w:val="20"/>
                <w:szCs w:val="20"/>
                <w:color w:val="auto"/>
              </w:rPr>
            </w:pPr>
            <w:r>
              <w:rPr>
                <w:rFonts w:ascii="Arial" w:cs="Arial" w:eastAsia="Arial" w:hAnsi="Arial"/>
                <w:sz w:val="17"/>
                <w:szCs w:val="17"/>
                <w:b w:val="1"/>
                <w:bCs w:val="1"/>
                <w:color w:val="auto"/>
              </w:rPr>
              <w:t>2000</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4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80" w:type="dxa"/>
            <w:vAlign w:val="bottom"/>
            <w:tcBorders>
              <w:right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7"/>
                <w:szCs w:val="17"/>
                <w:b w:val="1"/>
                <w:bCs w:val="1"/>
                <w:color w:val="auto"/>
              </w:rPr>
              <w:t>1998</w:t>
            </w:r>
          </w:p>
        </w:tc>
      </w:tr>
      <w:tr>
        <w:trPr>
          <w:trHeight w:val="39"/>
        </w:trPr>
        <w:tc>
          <w:tcPr>
            <w:tcW w:w="7160" w:type="dxa"/>
            <w:vAlign w:val="bottom"/>
            <w:shd w:val="clear" w:color="auto" w:fill="C0C0C0"/>
          </w:tcPr>
          <w:p>
            <w:pPr>
              <w:spacing w:after="0"/>
              <w:rPr>
                <w:sz w:val="3"/>
                <w:szCs w:val="3"/>
                <w:color w:val="auto"/>
              </w:rPr>
            </w:pPr>
          </w:p>
        </w:tc>
        <w:tc>
          <w:tcPr>
            <w:tcW w:w="1280" w:type="dxa"/>
            <w:vAlign w:val="bottom"/>
            <w:shd w:val="clear" w:color="auto" w:fill="C0C0C0"/>
          </w:tcPr>
          <w:p>
            <w:pPr>
              <w:spacing w:after="0"/>
              <w:rPr>
                <w:sz w:val="3"/>
                <w:szCs w:val="3"/>
                <w:color w:val="auto"/>
              </w:rPr>
            </w:pPr>
          </w:p>
        </w:tc>
        <w:tc>
          <w:tcPr>
            <w:tcW w:w="340" w:type="dxa"/>
            <w:vAlign w:val="bottom"/>
            <w:tcBorders>
              <w:right w:val="single" w:sz="8" w:color="auto"/>
            </w:tcBorders>
            <w:shd w:val="clear" w:color="auto" w:fill="000000"/>
          </w:tcPr>
          <w:p>
            <w:pPr>
              <w:spacing w:after="0"/>
              <w:rPr>
                <w:sz w:val="3"/>
                <w:szCs w:val="3"/>
                <w:color w:val="auto"/>
              </w:rPr>
            </w:pPr>
          </w:p>
        </w:tc>
        <w:tc>
          <w:tcPr>
            <w:tcW w:w="340" w:type="dxa"/>
            <w:vAlign w:val="bottom"/>
            <w:shd w:val="clear" w:color="auto" w:fill="C0C0C0"/>
          </w:tcPr>
          <w:p>
            <w:pPr>
              <w:spacing w:after="0"/>
              <w:rPr>
                <w:sz w:val="3"/>
                <w:szCs w:val="3"/>
                <w:color w:val="auto"/>
              </w:rPr>
            </w:pPr>
          </w:p>
        </w:tc>
        <w:tc>
          <w:tcPr>
            <w:tcW w:w="700" w:type="dxa"/>
            <w:vAlign w:val="bottom"/>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8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400" w:type="dxa"/>
            <w:vAlign w:val="bottom"/>
            <w:shd w:val="clear" w:color="auto" w:fill="C0C0C0"/>
          </w:tcPr>
          <w:p>
            <w:pPr>
              <w:spacing w:after="0"/>
              <w:rPr>
                <w:sz w:val="3"/>
                <w:szCs w:val="3"/>
                <w:color w:val="auto"/>
              </w:rPr>
            </w:pPr>
          </w:p>
        </w:tc>
        <w:tc>
          <w:tcPr>
            <w:tcW w:w="380" w:type="dxa"/>
            <w:vAlign w:val="bottom"/>
            <w:tcBorders>
              <w:right w:val="single" w:sz="8" w:color="C0C0C0"/>
            </w:tcBorders>
            <w:shd w:val="clear" w:color="auto" w:fill="000000"/>
          </w:tcPr>
          <w:p>
            <w:pPr>
              <w:spacing w:after="0"/>
              <w:rPr>
                <w:sz w:val="3"/>
                <w:szCs w:val="3"/>
                <w:color w:val="auto"/>
              </w:rPr>
            </w:pPr>
          </w:p>
        </w:tc>
      </w:tr>
      <w:tr>
        <w:trPr>
          <w:trHeight w:val="201"/>
        </w:trPr>
        <w:tc>
          <w:tcPr>
            <w:tcW w:w="7160" w:type="dxa"/>
            <w:vAlign w:val="bottom"/>
          </w:tcPr>
          <w:p>
            <w:pPr>
              <w:spacing w:after="0"/>
              <w:rPr>
                <w:sz w:val="20"/>
                <w:szCs w:val="20"/>
                <w:color w:val="auto"/>
              </w:rPr>
            </w:pPr>
            <w:r>
              <w:rPr>
                <w:rFonts w:ascii="Arial" w:cs="Arial" w:eastAsia="Arial" w:hAnsi="Arial"/>
                <w:sz w:val="17"/>
                <w:szCs w:val="17"/>
                <w:color w:val="auto"/>
              </w:rPr>
              <w:t>Net income</w:t>
            </w:r>
          </w:p>
        </w:tc>
        <w:tc>
          <w:tcPr>
            <w:tcW w:w="1620" w:type="dxa"/>
            <w:vAlign w:val="bottom"/>
            <w:gridSpan w:val="2"/>
          </w:tcPr>
          <w:p>
            <w:pPr>
              <w:jc w:val="right"/>
              <w:ind w:right="40"/>
              <w:spacing w:after="0"/>
              <w:rPr>
                <w:sz w:val="20"/>
                <w:szCs w:val="20"/>
                <w:color w:val="auto"/>
              </w:rPr>
            </w:pPr>
            <w:r>
              <w:rPr>
                <w:rFonts w:ascii="Arial" w:cs="Arial" w:eastAsia="Arial" w:hAnsi="Arial"/>
                <w:sz w:val="17"/>
                <w:szCs w:val="17"/>
                <w:color w:val="auto"/>
              </w:rPr>
              <w:t>$ 54,208</w:t>
            </w:r>
          </w:p>
        </w:tc>
        <w:tc>
          <w:tcPr>
            <w:tcW w:w="3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$ 62,116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$ 57,224</w:t>
            </w:r>
          </w:p>
        </w:tc>
      </w:tr>
      <w:tr>
        <w:trPr>
          <w:trHeight w:val="210"/>
        </w:trPr>
        <w:tc>
          <w:tcPr>
            <w:tcW w:w="7160" w:type="dxa"/>
            <w:vAlign w:val="bottom"/>
          </w:tcPr>
          <w:p>
            <w:pPr>
              <w:spacing w:after="0"/>
              <w:rPr>
                <w:sz w:val="20"/>
                <w:szCs w:val="20"/>
                <w:color w:val="auto"/>
              </w:rPr>
            </w:pPr>
            <w:r>
              <w:rPr>
                <w:rFonts w:ascii="Arial" w:cs="Arial" w:eastAsia="Arial" w:hAnsi="Arial"/>
                <w:sz w:val="17"/>
                <w:szCs w:val="17"/>
                <w:color w:val="auto"/>
              </w:rPr>
              <w:t>Adjustments to reconcile net income</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0"/>
        </w:trPr>
        <w:tc>
          <w:tcPr>
            <w:tcW w:w="7160" w:type="dxa"/>
            <w:vAlign w:val="bottom"/>
          </w:tcPr>
          <w:p>
            <w:pPr>
              <w:ind w:left="220"/>
              <w:spacing w:after="0"/>
              <w:rPr>
                <w:sz w:val="20"/>
                <w:szCs w:val="20"/>
                <w:color w:val="auto"/>
              </w:rPr>
            </w:pPr>
            <w:r>
              <w:rPr>
                <w:rFonts w:ascii="Arial" w:cs="Arial" w:eastAsia="Arial" w:hAnsi="Arial"/>
                <w:sz w:val="17"/>
                <w:szCs w:val="17"/>
                <w:color w:val="auto"/>
              </w:rPr>
              <w:t>to net cash provided by operating activities: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0"/>
        </w:trPr>
        <w:tc>
          <w:tcPr>
            <w:tcW w:w="7160" w:type="dxa"/>
            <w:vAlign w:val="bottom"/>
          </w:tcPr>
          <w:p>
            <w:pPr>
              <w:ind w:left="440"/>
              <w:spacing w:after="0"/>
              <w:rPr>
                <w:sz w:val="20"/>
                <w:szCs w:val="20"/>
                <w:color w:val="auto"/>
              </w:rPr>
            </w:pPr>
            <w:r>
              <w:rPr>
                <w:rFonts w:ascii="Arial" w:cs="Arial" w:eastAsia="Arial" w:hAnsi="Arial"/>
                <w:sz w:val="17"/>
                <w:szCs w:val="17"/>
                <w:color w:val="auto"/>
              </w:rPr>
              <w:t>Depreciation, depletion and amortization</w:t>
            </w:r>
          </w:p>
        </w:tc>
        <w:tc>
          <w:tcPr>
            <w:tcW w:w="1620" w:type="dxa"/>
            <w:vAlign w:val="bottom"/>
            <w:gridSpan w:val="2"/>
          </w:tcPr>
          <w:p>
            <w:pPr>
              <w:jc w:val="right"/>
              <w:ind w:right="40"/>
              <w:spacing w:after="0"/>
              <w:rPr>
                <w:sz w:val="20"/>
                <w:szCs w:val="20"/>
                <w:color w:val="auto"/>
              </w:rPr>
            </w:pPr>
            <w:r>
              <w:rPr>
                <w:rFonts w:ascii="Arial" w:cs="Arial" w:eastAsia="Arial" w:hAnsi="Arial"/>
                <w:sz w:val="17"/>
                <w:szCs w:val="17"/>
                <w:color w:val="auto"/>
              </w:rPr>
              <w:t>60,795</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58,675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53,084</w:t>
            </w:r>
          </w:p>
        </w:tc>
      </w:tr>
      <w:tr>
        <w:trPr>
          <w:trHeight w:val="210"/>
        </w:trPr>
        <w:tc>
          <w:tcPr>
            <w:tcW w:w="7160" w:type="dxa"/>
            <w:vAlign w:val="bottom"/>
          </w:tcPr>
          <w:p>
            <w:pPr>
              <w:ind w:left="420"/>
              <w:spacing w:after="0"/>
              <w:rPr>
                <w:sz w:val="20"/>
                <w:szCs w:val="20"/>
                <w:color w:val="auto"/>
              </w:rPr>
            </w:pPr>
            <w:r>
              <w:rPr>
                <w:rFonts w:ascii="Arial" w:cs="Arial" w:eastAsia="Arial" w:hAnsi="Arial"/>
                <w:sz w:val="17"/>
                <w:szCs w:val="17"/>
                <w:color w:val="auto"/>
              </w:rPr>
              <w:t>Write-down of impaired assets</w:t>
            </w:r>
          </w:p>
        </w:tc>
        <w:tc>
          <w:tcPr>
            <w:tcW w:w="1620" w:type="dxa"/>
            <w:vAlign w:val="bottom"/>
            <w:gridSpan w:val="2"/>
          </w:tcPr>
          <w:p>
            <w:pPr>
              <w:jc w:val="right"/>
              <w:ind w:right="40"/>
              <w:spacing w:after="0"/>
              <w:rPr>
                <w:sz w:val="20"/>
                <w:szCs w:val="20"/>
                <w:color w:val="auto"/>
              </w:rPr>
            </w:pPr>
            <w:r>
              <w:rPr>
                <w:rFonts w:ascii="Arial" w:cs="Arial" w:eastAsia="Arial" w:hAnsi="Arial"/>
                <w:sz w:val="17"/>
                <w:szCs w:val="17"/>
                <w:color w:val="auto"/>
              </w:rPr>
              <w:t>4,900</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10"/>
        </w:trPr>
        <w:tc>
          <w:tcPr>
            <w:tcW w:w="7160" w:type="dxa"/>
            <w:vAlign w:val="bottom"/>
          </w:tcPr>
          <w:p>
            <w:pPr>
              <w:ind w:left="440"/>
              <w:spacing w:after="0"/>
              <w:rPr>
                <w:sz w:val="20"/>
                <w:szCs w:val="20"/>
                <w:color w:val="auto"/>
              </w:rPr>
            </w:pPr>
            <w:r>
              <w:rPr>
                <w:rFonts w:ascii="Arial" w:cs="Arial" w:eastAsia="Arial" w:hAnsi="Arial"/>
                <w:sz w:val="17"/>
                <w:szCs w:val="17"/>
                <w:color w:val="auto"/>
              </w:rPr>
              <w:t>Loss on disposal of property, plant and equipment</w:t>
            </w:r>
          </w:p>
        </w:tc>
        <w:tc>
          <w:tcPr>
            <w:tcW w:w="1620" w:type="dxa"/>
            <w:vAlign w:val="bottom"/>
            <w:gridSpan w:val="2"/>
          </w:tcPr>
          <w:p>
            <w:pPr>
              <w:jc w:val="right"/>
              <w:ind w:right="40"/>
              <w:spacing w:after="0"/>
              <w:rPr>
                <w:sz w:val="20"/>
                <w:szCs w:val="20"/>
                <w:color w:val="auto"/>
              </w:rPr>
            </w:pPr>
            <w:r>
              <w:rPr>
                <w:rFonts w:ascii="Arial" w:cs="Arial" w:eastAsia="Arial" w:hAnsi="Arial"/>
                <w:sz w:val="17"/>
                <w:szCs w:val="17"/>
                <w:color w:val="auto"/>
              </w:rPr>
              <w:t>257</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1,041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1,650</w:t>
            </w:r>
          </w:p>
        </w:tc>
      </w:tr>
      <w:tr>
        <w:trPr>
          <w:trHeight w:val="210"/>
        </w:trPr>
        <w:tc>
          <w:tcPr>
            <w:tcW w:w="7160" w:type="dxa"/>
            <w:vAlign w:val="bottom"/>
          </w:tcPr>
          <w:p>
            <w:pPr>
              <w:ind w:left="440"/>
              <w:spacing w:after="0"/>
              <w:rPr>
                <w:sz w:val="20"/>
                <w:szCs w:val="20"/>
                <w:color w:val="auto"/>
              </w:rPr>
            </w:pPr>
            <w:r>
              <w:rPr>
                <w:rFonts w:ascii="Arial" w:cs="Arial" w:eastAsia="Arial" w:hAnsi="Arial"/>
                <w:sz w:val="17"/>
                <w:szCs w:val="17"/>
                <w:color w:val="auto"/>
              </w:rPr>
              <w:t>Deferred income taxes</w:t>
            </w:r>
          </w:p>
        </w:tc>
        <w:tc>
          <w:tcPr>
            <w:tcW w:w="1620" w:type="dxa"/>
            <w:vAlign w:val="bottom"/>
            <w:gridSpan w:val="2"/>
          </w:tcPr>
          <w:p>
            <w:pPr>
              <w:jc w:val="right"/>
              <w:ind w:right="40"/>
              <w:spacing w:after="0"/>
              <w:rPr>
                <w:sz w:val="20"/>
                <w:szCs w:val="20"/>
                <w:color w:val="auto"/>
              </w:rPr>
            </w:pPr>
            <w:r>
              <w:rPr>
                <w:rFonts w:ascii="Arial" w:cs="Arial" w:eastAsia="Arial" w:hAnsi="Arial"/>
                <w:sz w:val="17"/>
                <w:szCs w:val="17"/>
                <w:color w:val="auto"/>
              </w:rPr>
              <w:t>1,202</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5,862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1,212</w:t>
            </w:r>
          </w:p>
        </w:tc>
      </w:tr>
      <w:tr>
        <w:trPr>
          <w:trHeight w:val="210"/>
        </w:trPr>
        <w:tc>
          <w:tcPr>
            <w:tcW w:w="7160" w:type="dxa"/>
            <w:vAlign w:val="bottom"/>
          </w:tcPr>
          <w:p>
            <w:pPr>
              <w:ind w:left="440"/>
              <w:spacing w:after="0"/>
              <w:rPr>
                <w:sz w:val="20"/>
                <w:szCs w:val="20"/>
                <w:color w:val="auto"/>
              </w:rPr>
            </w:pPr>
            <w:r>
              <w:rPr>
                <w:rFonts w:ascii="Arial" w:cs="Arial" w:eastAsia="Arial" w:hAnsi="Arial"/>
                <w:sz w:val="17"/>
                <w:szCs w:val="17"/>
                <w:color w:val="auto"/>
              </w:rPr>
              <w:t>Bad debt expenses</w:t>
            </w:r>
          </w:p>
        </w:tc>
        <w:tc>
          <w:tcPr>
            <w:tcW w:w="1620" w:type="dxa"/>
            <w:vAlign w:val="bottom"/>
            <w:gridSpan w:val="2"/>
          </w:tcPr>
          <w:p>
            <w:pPr>
              <w:jc w:val="right"/>
              <w:ind w:right="40"/>
              <w:spacing w:after="0"/>
              <w:rPr>
                <w:sz w:val="20"/>
                <w:szCs w:val="20"/>
                <w:color w:val="auto"/>
              </w:rPr>
            </w:pPr>
            <w:r>
              <w:rPr>
                <w:rFonts w:ascii="Arial" w:cs="Arial" w:eastAsia="Arial" w:hAnsi="Arial"/>
                <w:sz w:val="17"/>
                <w:szCs w:val="17"/>
                <w:color w:val="auto"/>
              </w:rPr>
              <w:t>5,964</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1,234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507</w:t>
            </w:r>
          </w:p>
        </w:tc>
      </w:tr>
      <w:tr>
        <w:trPr>
          <w:trHeight w:val="216"/>
        </w:trPr>
        <w:tc>
          <w:tcPr>
            <w:tcW w:w="7160" w:type="dxa"/>
            <w:vAlign w:val="bottom"/>
          </w:tcPr>
          <w:p>
            <w:pPr>
              <w:ind w:left="440"/>
              <w:spacing w:after="0"/>
              <w:rPr>
                <w:sz w:val="20"/>
                <w:szCs w:val="20"/>
                <w:color w:val="auto"/>
              </w:rPr>
            </w:pPr>
            <w:r>
              <w:rPr>
                <w:rFonts w:ascii="Arial" w:cs="Arial" w:eastAsia="Arial" w:hAnsi="Arial"/>
                <w:sz w:val="17"/>
                <w:szCs w:val="17"/>
                <w:color w:val="auto"/>
              </w:rPr>
              <w:t>Other</w:t>
            </w:r>
          </w:p>
        </w:tc>
        <w:tc>
          <w:tcPr>
            <w:tcW w:w="1620" w:type="dxa"/>
            <w:vAlign w:val="bottom"/>
            <w:gridSpan w:val="2"/>
          </w:tcPr>
          <w:p>
            <w:pPr>
              <w:jc w:val="right"/>
              <w:ind w:right="40"/>
              <w:spacing w:after="0"/>
              <w:rPr>
                <w:sz w:val="20"/>
                <w:szCs w:val="20"/>
                <w:color w:val="auto"/>
              </w:rPr>
            </w:pPr>
            <w:r>
              <w:rPr>
                <w:rFonts w:ascii="Arial" w:cs="Arial" w:eastAsia="Arial" w:hAnsi="Arial"/>
                <w:sz w:val="17"/>
                <w:szCs w:val="17"/>
                <w:color w:val="auto"/>
              </w:rPr>
              <w:t>1,594</w:t>
            </w: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1,459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2,304</w:t>
            </w:r>
          </w:p>
        </w:tc>
      </w:tr>
      <w:tr>
        <w:trPr>
          <w:trHeight w:val="236"/>
        </w:trPr>
        <w:tc>
          <w:tcPr>
            <w:tcW w:w="716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ectPr>
          <w:pgSz w:w="11900" w:h="16876" w:orient="portrait"/>
          <w:cols w:equalWidth="0" w:num="1">
            <w:col w:w="11520"/>
          </w:cols>
          <w:pgMar w:left="240" w:top="324" w:right="1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ind w:left="220"/>
              <w:spacing w:after="0"/>
              <w:rPr>
                <w:sz w:val="20"/>
                <w:szCs w:val="20"/>
                <w:color w:val="auto"/>
              </w:rPr>
            </w:pPr>
            <w:r>
              <w:rPr>
                <w:rFonts w:ascii="Arial" w:cs="Arial" w:eastAsia="Arial" w:hAnsi="Arial"/>
                <w:sz w:val="17"/>
                <w:szCs w:val="17"/>
                <w:color w:val="auto"/>
              </w:rPr>
              <w:t>net of effects of acquisitions and disposition:</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(7,118)</w:t>
            </w:r>
          </w:p>
        </w:tc>
        <w:tc>
          <w:tcPr>
            <w:tcW w:w="1380" w:type="dxa"/>
            <w:vAlign w:val="bottom"/>
            <w:gridSpan w:val="6"/>
          </w:tcPr>
          <w:p>
            <w:pPr>
              <w:jc w:val="right"/>
              <w:ind w:right="320"/>
              <w:spacing w:after="0"/>
              <w:rPr>
                <w:sz w:val="20"/>
                <w:szCs w:val="20"/>
                <w:color w:val="auto"/>
              </w:rPr>
            </w:pPr>
            <w:r>
              <w:rPr>
                <w:rFonts w:ascii="Arial" w:cs="Arial" w:eastAsia="Arial" w:hAnsi="Arial"/>
                <w:sz w:val="17"/>
                <w:szCs w:val="17"/>
                <w:color w:val="auto"/>
              </w:rPr>
              <w:t>(10,432)</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(691)</w:t>
            </w:r>
          </w:p>
        </w:tc>
      </w:tr>
      <w:tr>
        <w:trPr>
          <w:trHeight w:val="216"/>
        </w:trPr>
        <w:tc>
          <w:tcPr>
            <w:tcW w:w="6120" w:type="dxa"/>
            <w:vAlign w:val="bottom"/>
          </w:tcPr>
          <w:p>
            <w:pPr>
              <w:ind w:left="420"/>
              <w:spacing w:after="0"/>
              <w:rPr>
                <w:sz w:val="20"/>
                <w:szCs w:val="20"/>
                <w:color w:val="auto"/>
              </w:rPr>
            </w:pPr>
            <w:r>
              <w:rPr>
                <w:rFonts w:ascii="Arial" w:cs="Arial" w:eastAsia="Arial" w:hAnsi="Arial"/>
                <w:sz w:val="17"/>
                <w:szCs w:val="17"/>
                <w:color w:val="auto"/>
              </w:rPr>
              <w:t>Accounts receivable</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6120" w:type="dxa"/>
            <w:vAlign w:val="bottom"/>
          </w:tcPr>
          <w:p>
            <w:pPr>
              <w:ind w:left="440"/>
              <w:spacing w:after="0"/>
              <w:rPr>
                <w:sz w:val="20"/>
                <w:szCs w:val="20"/>
                <w:color w:val="auto"/>
              </w:rPr>
            </w:pPr>
            <w:r>
              <w:rPr>
                <w:rFonts w:ascii="Arial" w:cs="Arial" w:eastAsia="Arial" w:hAnsi="Arial"/>
                <w:sz w:val="17"/>
                <w:szCs w:val="17"/>
                <w:color w:val="auto"/>
              </w:rPr>
              <w:t>Inventories</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(5,123)</w:t>
            </w:r>
          </w:p>
        </w:tc>
        <w:tc>
          <w:tcPr>
            <w:tcW w:w="1380" w:type="dxa"/>
            <w:vAlign w:val="bottom"/>
            <w:gridSpan w:val="6"/>
          </w:tcPr>
          <w:p>
            <w:pPr>
              <w:jc w:val="right"/>
              <w:ind w:right="320"/>
              <w:spacing w:after="0"/>
              <w:rPr>
                <w:sz w:val="20"/>
                <w:szCs w:val="20"/>
                <w:color w:val="auto"/>
              </w:rPr>
            </w:pPr>
            <w:r>
              <w:rPr>
                <w:rFonts w:ascii="Arial" w:cs="Arial" w:eastAsia="Arial" w:hAnsi="Arial"/>
                <w:sz w:val="17"/>
                <w:szCs w:val="17"/>
                <w:color w:val="auto"/>
              </w:rPr>
              <w:t>(4,675)</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(1,744)</w:t>
            </w:r>
          </w:p>
        </w:tc>
      </w:tr>
      <w:tr>
        <w:trPr>
          <w:trHeight w:val="210"/>
        </w:trPr>
        <w:tc>
          <w:tcPr>
            <w:tcW w:w="6120" w:type="dxa"/>
            <w:vAlign w:val="bottom"/>
          </w:tcPr>
          <w:p>
            <w:pPr>
              <w:ind w:left="440"/>
              <w:spacing w:after="0"/>
              <w:rPr>
                <w:sz w:val="20"/>
                <w:szCs w:val="20"/>
                <w:color w:val="auto"/>
              </w:rPr>
            </w:pPr>
            <w:r>
              <w:rPr>
                <w:rFonts w:ascii="Arial" w:cs="Arial" w:eastAsia="Arial" w:hAnsi="Arial"/>
                <w:sz w:val="17"/>
                <w:szCs w:val="17"/>
                <w:color w:val="auto"/>
              </w:rPr>
              <w:t>Other current assets</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(5,732)</w:t>
            </w: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2,215</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(699)</w:t>
            </w:r>
          </w:p>
        </w:tc>
      </w:tr>
      <w:tr>
        <w:trPr>
          <w:trHeight w:val="210"/>
        </w:trPr>
        <w:tc>
          <w:tcPr>
            <w:tcW w:w="6120" w:type="dxa"/>
            <w:vAlign w:val="bottom"/>
          </w:tcPr>
          <w:p>
            <w:pPr>
              <w:ind w:left="420"/>
              <w:spacing w:after="0"/>
              <w:rPr>
                <w:sz w:val="20"/>
                <w:szCs w:val="20"/>
                <w:color w:val="auto"/>
              </w:rPr>
            </w:pPr>
            <w:r>
              <w:rPr>
                <w:rFonts w:ascii="Arial" w:cs="Arial" w:eastAsia="Arial" w:hAnsi="Arial"/>
                <w:sz w:val="17"/>
                <w:szCs w:val="17"/>
                <w:color w:val="auto"/>
              </w:rPr>
              <w:t>Accounts payable</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(9,455)</w:t>
            </w: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9,644</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(3,442)</w:t>
            </w:r>
          </w:p>
        </w:tc>
      </w:tr>
      <w:tr>
        <w:trPr>
          <w:trHeight w:val="210"/>
        </w:trPr>
        <w:tc>
          <w:tcPr>
            <w:tcW w:w="6120" w:type="dxa"/>
            <w:vAlign w:val="bottom"/>
          </w:tcPr>
          <w:p>
            <w:pPr>
              <w:ind w:left="440"/>
              <w:spacing w:after="0"/>
              <w:rPr>
                <w:sz w:val="20"/>
                <w:szCs w:val="20"/>
                <w:color w:val="auto"/>
              </w:rPr>
            </w:pPr>
            <w:r>
              <w:rPr>
                <w:rFonts w:ascii="Arial" w:cs="Arial" w:eastAsia="Arial" w:hAnsi="Arial"/>
                <w:sz w:val="17"/>
                <w:szCs w:val="17"/>
                <w:color w:val="auto"/>
              </w:rPr>
              <w:t>Income taxes payable</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(5,275)</w:t>
            </w: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4,835</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6,699</w:t>
            </w:r>
          </w:p>
        </w:tc>
        <w:tc>
          <w:tcPr>
            <w:tcW w:w="40" w:type="dxa"/>
            <w:vAlign w:val="bottom"/>
          </w:tcPr>
          <w:p>
            <w:pPr>
              <w:spacing w:after="0"/>
              <w:rPr>
                <w:sz w:val="18"/>
                <w:szCs w:val="18"/>
                <w:color w:val="auto"/>
              </w:rPr>
            </w:pPr>
          </w:p>
        </w:tc>
      </w:tr>
      <w:tr>
        <w:trPr>
          <w:trHeight w:val="179"/>
        </w:trPr>
        <w:tc>
          <w:tcPr>
            <w:tcW w:w="6120" w:type="dxa"/>
            <w:vAlign w:val="bottom"/>
          </w:tcPr>
          <w:p>
            <w:pPr>
              <w:ind w:left="440"/>
              <w:spacing w:after="0" w:line="179" w:lineRule="exact"/>
              <w:rPr>
                <w:sz w:val="20"/>
                <w:szCs w:val="20"/>
                <w:color w:val="auto"/>
              </w:rPr>
            </w:pPr>
            <w:r>
              <w:rPr>
                <w:rFonts w:ascii="Arial" w:cs="Arial" w:eastAsia="Arial" w:hAnsi="Arial"/>
                <w:sz w:val="17"/>
                <w:szCs w:val="17"/>
                <w:color w:val="auto"/>
              </w:rPr>
              <w:t>Other</w:t>
            </w:r>
          </w:p>
        </w:tc>
        <w:tc>
          <w:tcPr>
            <w:tcW w:w="2080" w:type="dxa"/>
            <w:vAlign w:val="bottom"/>
            <w:gridSpan w:val="3"/>
          </w:tcPr>
          <w:p>
            <w:pPr>
              <w:spacing w:after="0"/>
              <w:rPr>
                <w:sz w:val="15"/>
                <w:szCs w:val="15"/>
                <w:color w:val="auto"/>
              </w:rPr>
            </w:pPr>
          </w:p>
        </w:tc>
        <w:tc>
          <w:tcPr>
            <w:tcW w:w="900" w:type="dxa"/>
            <w:vAlign w:val="bottom"/>
            <w:gridSpan w:val="2"/>
          </w:tcPr>
          <w:p>
            <w:pPr>
              <w:jc w:val="right"/>
              <w:ind w:right="320"/>
              <w:spacing w:after="0" w:line="179" w:lineRule="exact"/>
              <w:rPr>
                <w:sz w:val="20"/>
                <w:szCs w:val="20"/>
                <w:color w:val="auto"/>
              </w:rPr>
            </w:pPr>
            <w:r>
              <w:rPr>
                <w:rFonts w:ascii="Arial" w:cs="Arial" w:eastAsia="Arial" w:hAnsi="Arial"/>
                <w:sz w:val="17"/>
                <w:szCs w:val="17"/>
                <w:color w:val="auto"/>
              </w:rPr>
              <w:t>(5,104)</w:t>
            </w:r>
          </w:p>
        </w:tc>
        <w:tc>
          <w:tcPr>
            <w:tcW w:w="1380" w:type="dxa"/>
            <w:vAlign w:val="bottom"/>
            <w:gridSpan w:val="6"/>
          </w:tcPr>
          <w:p>
            <w:pPr>
              <w:jc w:val="right"/>
              <w:ind w:right="320"/>
              <w:spacing w:after="0" w:line="179" w:lineRule="exact"/>
              <w:rPr>
                <w:sz w:val="20"/>
                <w:szCs w:val="20"/>
                <w:color w:val="auto"/>
              </w:rPr>
            </w:pPr>
            <w:r>
              <w:rPr>
                <w:rFonts w:ascii="Arial" w:cs="Arial" w:eastAsia="Arial" w:hAnsi="Arial"/>
                <w:sz w:val="17"/>
                <w:szCs w:val="17"/>
                <w:color w:val="auto"/>
              </w:rPr>
              <w:t>(1,774)</w:t>
            </w:r>
          </w:p>
        </w:tc>
        <w:tc>
          <w:tcPr>
            <w:tcW w:w="1000" w:type="dxa"/>
            <w:vAlign w:val="bottom"/>
            <w:gridSpan w:val="3"/>
          </w:tcPr>
          <w:p>
            <w:pPr>
              <w:jc w:val="right"/>
              <w:spacing w:after="0" w:line="179" w:lineRule="exact"/>
              <w:rPr>
                <w:sz w:val="20"/>
                <w:szCs w:val="20"/>
                <w:color w:val="auto"/>
              </w:rPr>
            </w:pPr>
            <w:r>
              <w:rPr>
                <w:rFonts w:ascii="Arial" w:cs="Arial" w:eastAsia="Arial" w:hAnsi="Arial"/>
                <w:sz w:val="17"/>
                <w:szCs w:val="17"/>
                <w:color w:val="auto"/>
              </w:rPr>
              <w:t>850</w:t>
            </w:r>
          </w:p>
        </w:tc>
        <w:tc>
          <w:tcPr>
            <w:tcW w:w="40" w:type="dxa"/>
            <w:vAlign w:val="bottom"/>
          </w:tcPr>
          <w:p>
            <w:pPr>
              <w:spacing w:after="0"/>
              <w:rPr>
                <w:sz w:val="15"/>
                <w:szCs w:val="15"/>
                <w:color w:val="auto"/>
              </w:rPr>
            </w:pPr>
          </w:p>
        </w:tc>
      </w:tr>
      <w:tr>
        <w:trPr>
          <w:trHeight w:val="20"/>
        </w:trPr>
        <w:tc>
          <w:tcPr>
            <w:tcW w:w="6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190"/>
        </w:trPr>
        <w:tc>
          <w:tcPr>
            <w:tcW w:w="6120" w:type="dxa"/>
            <w:vAlign w:val="bottom"/>
          </w:tcPr>
          <w:p>
            <w:pPr>
              <w:spacing w:after="0" w:line="189" w:lineRule="exact"/>
              <w:rPr>
                <w:sz w:val="20"/>
                <w:szCs w:val="20"/>
                <w:color w:val="auto"/>
              </w:rPr>
            </w:pPr>
            <w:r>
              <w:rPr>
                <w:rFonts w:ascii="Arial" w:cs="Arial" w:eastAsia="Arial" w:hAnsi="Arial"/>
                <w:sz w:val="17"/>
                <w:szCs w:val="17"/>
                <w:color w:val="auto"/>
              </w:rPr>
              <w:t>Net cash provided by operating activities</w:t>
            </w:r>
          </w:p>
        </w:tc>
        <w:tc>
          <w:tcPr>
            <w:tcW w:w="2080" w:type="dxa"/>
            <w:vAlign w:val="bottom"/>
            <w:gridSpan w:val="3"/>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w w:val="99"/>
              </w:rPr>
              <w:t>91,113</w:t>
            </w:r>
          </w:p>
        </w:tc>
        <w:tc>
          <w:tcPr>
            <w:tcW w:w="380" w:type="dxa"/>
            <w:vAlign w:val="bottom"/>
          </w:tcPr>
          <w:p>
            <w:pPr>
              <w:spacing w:after="0"/>
              <w:rPr>
                <w:sz w:val="16"/>
                <w:szCs w:val="16"/>
                <w:color w:val="auto"/>
              </w:rPr>
            </w:pPr>
          </w:p>
        </w:tc>
        <w:tc>
          <w:tcPr>
            <w:tcW w:w="1380" w:type="dxa"/>
            <w:vAlign w:val="bottom"/>
            <w:gridSpan w:val="6"/>
          </w:tcPr>
          <w:p>
            <w:pPr>
              <w:jc w:val="right"/>
              <w:ind w:right="360"/>
              <w:spacing w:after="0" w:line="189" w:lineRule="exact"/>
              <w:rPr>
                <w:sz w:val="20"/>
                <w:szCs w:val="20"/>
                <w:color w:val="auto"/>
              </w:rPr>
            </w:pPr>
            <w:r>
              <w:rPr>
                <w:rFonts w:ascii="Arial" w:cs="Arial" w:eastAsia="Arial" w:hAnsi="Arial"/>
                <w:sz w:val="17"/>
                <w:szCs w:val="17"/>
                <w:color w:val="auto"/>
              </w:rPr>
              <w:t>130,200</w:t>
            </w:r>
          </w:p>
        </w:tc>
        <w:tc>
          <w:tcPr>
            <w:tcW w:w="100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116,954</w:t>
            </w:r>
          </w:p>
        </w:tc>
        <w:tc>
          <w:tcPr>
            <w:tcW w:w="40" w:type="dxa"/>
            <w:vAlign w:val="bottom"/>
          </w:tcPr>
          <w:p>
            <w:pPr>
              <w:spacing w:after="0"/>
              <w:rPr>
                <w:sz w:val="16"/>
                <w:szCs w:val="16"/>
                <w:color w:val="auto"/>
              </w:rPr>
            </w:pPr>
          </w:p>
        </w:tc>
      </w:tr>
      <w:tr>
        <w:trPr>
          <w:trHeight w:val="255"/>
        </w:trPr>
        <w:tc>
          <w:tcPr>
            <w:tcW w:w="6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36"/>
        </w:trPr>
        <w:tc>
          <w:tcPr>
            <w:tcW w:w="61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Investing Activities</w:t>
            </w:r>
          </w:p>
        </w:tc>
        <w:tc>
          <w:tcPr>
            <w:tcW w:w="200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60" w:type="dxa"/>
            <w:vAlign w:val="bottom"/>
            <w:tcBorders>
              <w:right w:val="single" w:sz="8" w:color="C0C0C0"/>
            </w:tcBorders>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380" w:type="dxa"/>
            <w:vAlign w:val="bottom"/>
            <w:tcBorders>
              <w:left w:val="single" w:sz="8" w:color="C0C0C0"/>
            </w:tcBorders>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140" w:type="dxa"/>
            <w:vAlign w:val="bottom"/>
            <w:tcBorders>
              <w:right w:val="single" w:sz="8" w:color="C0C0C0"/>
            </w:tcBorders>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480" w:type="dxa"/>
            <w:vAlign w:val="bottom"/>
            <w:tcBorders>
              <w:right w:val="single" w:sz="8" w:color="C0C0C0"/>
            </w:tcBorders>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40" w:type="dxa"/>
            <w:vAlign w:val="bottom"/>
            <w:tcBorders>
              <w:left w:val="single" w:sz="8" w:color="C0C0C0"/>
            </w:tcBorders>
            <w:shd w:val="clear" w:color="auto" w:fill="C0C0C0"/>
          </w:tcPr>
          <w:p>
            <w:pPr>
              <w:spacing w:after="0"/>
              <w:rPr>
                <w:sz w:val="20"/>
                <w:szCs w:val="20"/>
                <w:color w:val="auto"/>
              </w:rPr>
            </w:pPr>
          </w:p>
        </w:tc>
      </w:tr>
      <w:tr>
        <w:trPr>
          <w:trHeight w:val="201"/>
        </w:trPr>
        <w:tc>
          <w:tcPr>
            <w:tcW w:w="6120" w:type="dxa"/>
            <w:vAlign w:val="bottom"/>
          </w:tcPr>
          <w:p>
            <w:pPr>
              <w:spacing w:after="0"/>
              <w:rPr>
                <w:sz w:val="20"/>
                <w:szCs w:val="20"/>
                <w:color w:val="auto"/>
              </w:rPr>
            </w:pPr>
            <w:r>
              <w:rPr>
                <w:rFonts w:ascii="Arial" w:cs="Arial" w:eastAsia="Arial" w:hAnsi="Arial"/>
                <w:sz w:val="17"/>
                <w:szCs w:val="17"/>
                <w:color w:val="auto"/>
              </w:rPr>
              <w:t>Purchases of property, plant and equipment</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(103,286)</w:t>
            </w:r>
          </w:p>
        </w:tc>
        <w:tc>
          <w:tcPr>
            <w:tcW w:w="1380" w:type="dxa"/>
            <w:vAlign w:val="bottom"/>
            <w:gridSpan w:val="6"/>
          </w:tcPr>
          <w:p>
            <w:pPr>
              <w:jc w:val="right"/>
              <w:ind w:right="320"/>
              <w:spacing w:after="0"/>
              <w:rPr>
                <w:sz w:val="20"/>
                <w:szCs w:val="20"/>
                <w:color w:val="auto"/>
              </w:rPr>
            </w:pPr>
            <w:r>
              <w:rPr>
                <w:rFonts w:ascii="Arial" w:cs="Arial" w:eastAsia="Arial" w:hAnsi="Arial"/>
                <w:sz w:val="17"/>
                <w:szCs w:val="17"/>
                <w:color w:val="auto"/>
              </w:rPr>
              <w:t>(73,752)</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(82,450)</w:t>
            </w: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Proceeds from disposal of property, plant and equipment</w:t>
            </w:r>
          </w:p>
        </w:tc>
        <w:tc>
          <w:tcPr>
            <w:tcW w:w="2600" w:type="dxa"/>
            <w:vAlign w:val="bottom"/>
            <w:gridSpan w:val="4"/>
          </w:tcPr>
          <w:p>
            <w:pPr>
              <w:jc w:val="right"/>
              <w:spacing w:after="0"/>
              <w:rPr>
                <w:sz w:val="20"/>
                <w:szCs w:val="20"/>
                <w:color w:val="auto"/>
              </w:rPr>
            </w:pPr>
            <w:r>
              <w:rPr>
                <w:rFonts w:ascii="Arial" w:cs="Arial" w:eastAsia="Arial" w:hAnsi="Arial"/>
                <w:sz w:val="17"/>
                <w:szCs w:val="17"/>
                <w:color w:val="auto"/>
              </w:rPr>
              <w:t>1,396</w:t>
            </w:r>
          </w:p>
        </w:tc>
        <w:tc>
          <w:tcPr>
            <w:tcW w:w="380" w:type="dxa"/>
            <w:vAlign w:val="bottom"/>
          </w:tcPr>
          <w:p>
            <w:pPr>
              <w:spacing w:after="0"/>
              <w:rPr>
                <w:sz w:val="18"/>
                <w:szCs w:val="18"/>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986</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556</w:t>
            </w:r>
          </w:p>
        </w:tc>
        <w:tc>
          <w:tcPr>
            <w:tcW w:w="40" w:type="dxa"/>
            <w:vAlign w:val="bottom"/>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Acquisition of business</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(12,580)</w:t>
            </w: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(34,130)</w:t>
            </w: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Proceeds from disposition of business</w:t>
            </w:r>
          </w:p>
        </w:tc>
        <w:tc>
          <w:tcPr>
            <w:tcW w:w="26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32,357</w:t>
            </w:r>
          </w:p>
        </w:tc>
        <w:tc>
          <w:tcPr>
            <w:tcW w:w="40" w:type="dxa"/>
            <w:vAlign w:val="bottom"/>
          </w:tcPr>
          <w:p>
            <w:pPr>
              <w:spacing w:after="0"/>
              <w:rPr>
                <w:sz w:val="18"/>
                <w:szCs w:val="18"/>
                <w:color w:val="auto"/>
              </w:rPr>
            </w:pPr>
          </w:p>
        </w:tc>
      </w:tr>
      <w:tr>
        <w:trPr>
          <w:trHeight w:val="179"/>
        </w:trPr>
        <w:tc>
          <w:tcPr>
            <w:tcW w:w="6120" w:type="dxa"/>
            <w:vAlign w:val="bottom"/>
          </w:tcPr>
          <w:p>
            <w:pPr>
              <w:spacing w:after="0" w:line="179" w:lineRule="exact"/>
              <w:rPr>
                <w:sz w:val="20"/>
                <w:szCs w:val="20"/>
                <w:color w:val="auto"/>
              </w:rPr>
            </w:pPr>
            <w:r>
              <w:rPr>
                <w:rFonts w:ascii="Arial" w:cs="Arial" w:eastAsia="Arial" w:hAnsi="Arial"/>
                <w:sz w:val="17"/>
                <w:szCs w:val="17"/>
                <w:color w:val="auto"/>
              </w:rPr>
              <w:t>Other investing activities</w:t>
            </w:r>
          </w:p>
        </w:tc>
        <w:tc>
          <w:tcPr>
            <w:tcW w:w="2020" w:type="dxa"/>
            <w:vAlign w:val="bottom"/>
            <w:gridSpan w:val="2"/>
          </w:tcPr>
          <w:p>
            <w:pPr>
              <w:spacing w:after="0"/>
              <w:rPr>
                <w:sz w:val="15"/>
                <w:szCs w:val="15"/>
                <w:color w:val="auto"/>
              </w:rPr>
            </w:pPr>
          </w:p>
        </w:tc>
        <w:tc>
          <w:tcPr>
            <w:tcW w:w="58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418</w:t>
            </w:r>
          </w:p>
        </w:tc>
        <w:tc>
          <w:tcPr>
            <w:tcW w:w="38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900" w:type="dxa"/>
            <w:vAlign w:val="bottom"/>
            <w:gridSpan w:val="4"/>
          </w:tcPr>
          <w:p>
            <w:pPr>
              <w:jc w:val="right"/>
              <w:ind w:right="320"/>
              <w:spacing w:after="0" w:line="179" w:lineRule="exact"/>
              <w:rPr>
                <w:sz w:val="20"/>
                <w:szCs w:val="20"/>
                <w:color w:val="auto"/>
              </w:rPr>
            </w:pPr>
            <w:r>
              <w:rPr>
                <w:rFonts w:ascii="Arial" w:cs="Arial" w:eastAsia="Arial" w:hAnsi="Arial"/>
                <w:sz w:val="17"/>
                <w:szCs w:val="17"/>
                <w:color w:val="auto"/>
              </w:rPr>
              <w:t>(604)</w:t>
            </w:r>
          </w:p>
        </w:tc>
        <w:tc>
          <w:tcPr>
            <w:tcW w:w="104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(1,954)</w:t>
            </w:r>
          </w:p>
        </w:tc>
      </w:tr>
      <w:tr>
        <w:trPr>
          <w:trHeight w:val="20"/>
        </w:trPr>
        <w:tc>
          <w:tcPr>
            <w:tcW w:w="6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6120" w:type="dxa"/>
            <w:vAlign w:val="bottom"/>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980" w:type="dxa"/>
            <w:vAlign w:val="bottom"/>
            <w:gridSpan w:val="5"/>
          </w:tcPr>
          <w:p>
            <w:pPr>
              <w:jc w:val="right"/>
              <w:ind w:right="320"/>
              <w:spacing w:after="0" w:line="189" w:lineRule="exact"/>
              <w:rPr>
                <w:sz w:val="20"/>
                <w:szCs w:val="20"/>
                <w:color w:val="auto"/>
              </w:rPr>
            </w:pPr>
            <w:r>
              <w:rPr>
                <w:rFonts w:ascii="Arial" w:cs="Arial" w:eastAsia="Arial" w:hAnsi="Arial"/>
                <w:sz w:val="17"/>
                <w:szCs w:val="17"/>
                <w:color w:val="auto"/>
              </w:rPr>
              <w:t>(114,052)</w:t>
            </w:r>
          </w:p>
        </w:tc>
        <w:tc>
          <w:tcPr>
            <w:tcW w:w="1380" w:type="dxa"/>
            <w:vAlign w:val="bottom"/>
            <w:gridSpan w:val="6"/>
          </w:tcPr>
          <w:p>
            <w:pPr>
              <w:jc w:val="right"/>
              <w:ind w:right="320"/>
              <w:spacing w:after="0" w:line="189" w:lineRule="exact"/>
              <w:rPr>
                <w:sz w:val="20"/>
                <w:szCs w:val="20"/>
                <w:color w:val="auto"/>
              </w:rPr>
            </w:pPr>
            <w:r>
              <w:rPr>
                <w:rFonts w:ascii="Arial" w:cs="Arial" w:eastAsia="Arial" w:hAnsi="Arial"/>
                <w:sz w:val="17"/>
                <w:szCs w:val="17"/>
                <w:color w:val="auto"/>
              </w:rPr>
              <w:t>(73,370)</w:t>
            </w:r>
          </w:p>
        </w:tc>
        <w:tc>
          <w:tcPr>
            <w:tcW w:w="104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(85,621)</w:t>
            </w:r>
          </w:p>
        </w:tc>
      </w:tr>
      <w:tr>
        <w:trPr>
          <w:trHeight w:val="255"/>
        </w:trPr>
        <w:tc>
          <w:tcPr>
            <w:tcW w:w="6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36"/>
        </w:trPr>
        <w:tc>
          <w:tcPr>
            <w:tcW w:w="61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Financing Activities</w:t>
            </w:r>
          </w:p>
        </w:tc>
        <w:tc>
          <w:tcPr>
            <w:tcW w:w="200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60" w:type="dxa"/>
            <w:vAlign w:val="bottom"/>
            <w:tcBorders>
              <w:right w:val="single" w:sz="8" w:color="C0C0C0"/>
            </w:tcBorders>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380" w:type="dxa"/>
            <w:vAlign w:val="bottom"/>
            <w:tcBorders>
              <w:left w:val="single" w:sz="8" w:color="C0C0C0"/>
            </w:tcBorders>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140" w:type="dxa"/>
            <w:vAlign w:val="bottom"/>
            <w:tcBorders>
              <w:right w:val="single" w:sz="8" w:color="C0C0C0"/>
            </w:tcBorders>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480" w:type="dxa"/>
            <w:vAlign w:val="bottom"/>
            <w:tcBorders>
              <w:right w:val="single" w:sz="8" w:color="C0C0C0"/>
            </w:tcBorders>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40" w:type="dxa"/>
            <w:vAlign w:val="bottom"/>
            <w:tcBorders>
              <w:left w:val="single" w:sz="8" w:color="C0C0C0"/>
            </w:tcBorders>
            <w:shd w:val="clear" w:color="auto" w:fill="C0C0C0"/>
          </w:tcPr>
          <w:p>
            <w:pPr>
              <w:spacing w:after="0"/>
              <w:rPr>
                <w:sz w:val="20"/>
                <w:szCs w:val="20"/>
                <w:color w:val="auto"/>
              </w:rPr>
            </w:pPr>
          </w:p>
        </w:tc>
      </w:tr>
      <w:tr>
        <w:trPr>
          <w:trHeight w:val="201"/>
        </w:trPr>
        <w:tc>
          <w:tcPr>
            <w:tcW w:w="6120" w:type="dxa"/>
            <w:vAlign w:val="bottom"/>
          </w:tcPr>
          <w:p>
            <w:pPr>
              <w:spacing w:after="0"/>
              <w:rPr>
                <w:sz w:val="20"/>
                <w:szCs w:val="20"/>
                <w:color w:val="auto"/>
              </w:rPr>
            </w:pPr>
            <w:r>
              <w:rPr>
                <w:rFonts w:ascii="Arial" w:cs="Arial" w:eastAsia="Arial" w:hAnsi="Arial"/>
                <w:sz w:val="17"/>
                <w:szCs w:val="17"/>
                <w:color w:val="auto"/>
              </w:rPr>
              <w:t>Proceeds from issuance of short-term and long-term debt</w:t>
            </w:r>
          </w:p>
        </w:tc>
        <w:tc>
          <w:tcPr>
            <w:tcW w:w="2600" w:type="dxa"/>
            <w:vAlign w:val="bottom"/>
            <w:gridSpan w:val="4"/>
          </w:tcPr>
          <w:p>
            <w:pPr>
              <w:jc w:val="right"/>
              <w:spacing w:after="0"/>
              <w:rPr>
                <w:sz w:val="20"/>
                <w:szCs w:val="20"/>
                <w:color w:val="auto"/>
              </w:rPr>
            </w:pPr>
            <w:r>
              <w:rPr>
                <w:rFonts w:ascii="Arial" w:cs="Arial" w:eastAsia="Arial" w:hAnsi="Arial"/>
                <w:sz w:val="17"/>
                <w:szCs w:val="17"/>
                <w:color w:val="auto"/>
              </w:rPr>
              <w:t>165,672</w:t>
            </w:r>
          </w:p>
        </w:tc>
        <w:tc>
          <w:tcPr>
            <w:tcW w:w="380" w:type="dxa"/>
            <w:vAlign w:val="bottom"/>
          </w:tcPr>
          <w:p>
            <w:pPr>
              <w:spacing w:after="0"/>
              <w:rPr>
                <w:sz w:val="17"/>
                <w:szCs w:val="17"/>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39,694</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743</w:t>
            </w:r>
          </w:p>
        </w:tc>
        <w:tc>
          <w:tcPr>
            <w:tcW w:w="40" w:type="dxa"/>
            <w:vAlign w:val="bottom"/>
          </w:tcPr>
          <w:p>
            <w:pPr>
              <w:spacing w:after="0"/>
              <w:rPr>
                <w:sz w:val="17"/>
                <w:szCs w:val="17"/>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Repayment of short-term and long-term debt</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(114,346)</w:t>
            </w:r>
          </w:p>
        </w:tc>
        <w:tc>
          <w:tcPr>
            <w:tcW w:w="1380" w:type="dxa"/>
            <w:vAlign w:val="bottom"/>
            <w:gridSpan w:val="6"/>
          </w:tcPr>
          <w:p>
            <w:pPr>
              <w:jc w:val="right"/>
              <w:ind w:right="320"/>
              <w:spacing w:after="0"/>
              <w:rPr>
                <w:sz w:val="20"/>
                <w:szCs w:val="20"/>
                <w:color w:val="auto"/>
              </w:rPr>
            </w:pPr>
            <w:r>
              <w:rPr>
                <w:rFonts w:ascii="Arial" w:cs="Arial" w:eastAsia="Arial" w:hAnsi="Arial"/>
                <w:sz w:val="17"/>
                <w:szCs w:val="17"/>
                <w:color w:val="auto"/>
              </w:rPr>
              <w:t>(52,398)</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(14,380)</w:t>
            </w: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Purchase of common shares for treasury</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(43,048)</w:t>
            </w:r>
          </w:p>
        </w:tc>
        <w:tc>
          <w:tcPr>
            <w:tcW w:w="1380" w:type="dxa"/>
            <w:vAlign w:val="bottom"/>
            <w:gridSpan w:val="6"/>
          </w:tcPr>
          <w:p>
            <w:pPr>
              <w:jc w:val="right"/>
              <w:ind w:right="320"/>
              <w:spacing w:after="0"/>
              <w:rPr>
                <w:sz w:val="20"/>
                <w:szCs w:val="20"/>
                <w:color w:val="auto"/>
              </w:rPr>
            </w:pPr>
            <w:r>
              <w:rPr>
                <w:rFonts w:ascii="Arial" w:cs="Arial" w:eastAsia="Arial" w:hAnsi="Arial"/>
                <w:sz w:val="17"/>
                <w:szCs w:val="17"/>
                <w:color w:val="auto"/>
              </w:rPr>
              <w:t>(50,884)</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(42,550)</w:t>
            </w: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Cash dividends paid</w:t>
            </w:r>
          </w:p>
        </w:tc>
        <w:tc>
          <w:tcPr>
            <w:tcW w:w="2980" w:type="dxa"/>
            <w:vAlign w:val="bottom"/>
            <w:gridSpan w:val="5"/>
          </w:tcPr>
          <w:p>
            <w:pPr>
              <w:jc w:val="right"/>
              <w:ind w:right="320"/>
              <w:spacing w:after="0"/>
              <w:rPr>
                <w:sz w:val="20"/>
                <w:szCs w:val="20"/>
                <w:color w:val="auto"/>
              </w:rPr>
            </w:pPr>
            <w:r>
              <w:rPr>
                <w:rFonts w:ascii="Arial" w:cs="Arial" w:eastAsia="Arial" w:hAnsi="Arial"/>
                <w:sz w:val="17"/>
                <w:szCs w:val="17"/>
                <w:color w:val="auto"/>
              </w:rPr>
              <w:t>(2,049)</w:t>
            </w:r>
          </w:p>
        </w:tc>
        <w:tc>
          <w:tcPr>
            <w:tcW w:w="1380" w:type="dxa"/>
            <w:vAlign w:val="bottom"/>
            <w:gridSpan w:val="6"/>
          </w:tcPr>
          <w:p>
            <w:pPr>
              <w:jc w:val="right"/>
              <w:ind w:right="320"/>
              <w:spacing w:after="0"/>
              <w:rPr>
                <w:sz w:val="20"/>
                <w:szCs w:val="20"/>
                <w:color w:val="auto"/>
              </w:rPr>
            </w:pPr>
            <w:r>
              <w:rPr>
                <w:rFonts w:ascii="Arial" w:cs="Arial" w:eastAsia="Arial" w:hAnsi="Arial"/>
                <w:sz w:val="17"/>
                <w:szCs w:val="17"/>
                <w:color w:val="auto"/>
              </w:rPr>
              <w:t>(2,138)</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(2,231)</w:t>
            </w: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Proceeds from issuance of stock under option plan</w:t>
            </w:r>
          </w:p>
        </w:tc>
        <w:tc>
          <w:tcPr>
            <w:tcW w:w="2600" w:type="dxa"/>
            <w:vAlign w:val="bottom"/>
            <w:gridSpan w:val="4"/>
          </w:tcPr>
          <w:p>
            <w:pPr>
              <w:jc w:val="right"/>
              <w:spacing w:after="0"/>
              <w:rPr>
                <w:sz w:val="20"/>
                <w:szCs w:val="20"/>
                <w:color w:val="auto"/>
              </w:rPr>
            </w:pPr>
            <w:r>
              <w:rPr>
                <w:rFonts w:ascii="Arial" w:cs="Arial" w:eastAsia="Arial" w:hAnsi="Arial"/>
                <w:sz w:val="17"/>
                <w:szCs w:val="17"/>
                <w:color w:val="auto"/>
              </w:rPr>
              <w:t>4,044</w:t>
            </w:r>
          </w:p>
        </w:tc>
        <w:tc>
          <w:tcPr>
            <w:tcW w:w="380" w:type="dxa"/>
            <w:vAlign w:val="bottom"/>
          </w:tcPr>
          <w:p>
            <w:pPr>
              <w:spacing w:after="0"/>
              <w:rPr>
                <w:sz w:val="18"/>
                <w:szCs w:val="18"/>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6,245</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4,091</w:t>
            </w:r>
          </w:p>
        </w:tc>
        <w:tc>
          <w:tcPr>
            <w:tcW w:w="40" w:type="dxa"/>
            <w:vAlign w:val="bottom"/>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Equity and debt proceeds from minority interests</w:t>
            </w:r>
          </w:p>
        </w:tc>
        <w:tc>
          <w:tcPr>
            <w:tcW w:w="26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1,900</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2,405</w:t>
            </w:r>
          </w:p>
        </w:tc>
        <w:tc>
          <w:tcPr>
            <w:tcW w:w="40" w:type="dxa"/>
            <w:vAlign w:val="bottom"/>
          </w:tcPr>
          <w:p>
            <w:pPr>
              <w:spacing w:after="0"/>
              <w:rPr>
                <w:sz w:val="18"/>
                <w:szCs w:val="18"/>
                <w:color w:val="auto"/>
              </w:rPr>
            </w:pPr>
          </w:p>
        </w:tc>
      </w:tr>
      <w:tr>
        <w:trPr>
          <w:trHeight w:val="179"/>
        </w:trPr>
        <w:tc>
          <w:tcPr>
            <w:tcW w:w="6120" w:type="dxa"/>
            <w:vAlign w:val="bottom"/>
          </w:tcPr>
          <w:p>
            <w:pPr>
              <w:spacing w:after="0" w:line="179" w:lineRule="exact"/>
              <w:rPr>
                <w:sz w:val="20"/>
                <w:szCs w:val="20"/>
                <w:color w:val="auto"/>
              </w:rPr>
            </w:pPr>
            <w:r>
              <w:rPr>
                <w:rFonts w:ascii="Arial" w:cs="Arial" w:eastAsia="Arial" w:hAnsi="Arial"/>
                <w:sz w:val="17"/>
                <w:szCs w:val="17"/>
                <w:color w:val="auto"/>
              </w:rPr>
              <w:t>Other financing activities</w:t>
            </w:r>
          </w:p>
        </w:tc>
        <w:tc>
          <w:tcPr>
            <w:tcW w:w="2080" w:type="dxa"/>
            <w:vAlign w:val="bottom"/>
            <w:gridSpan w:val="3"/>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5"/>
                <w:szCs w:val="15"/>
                <w:color w:val="auto"/>
              </w:rPr>
            </w:pPr>
          </w:p>
        </w:tc>
        <w:tc>
          <w:tcPr>
            <w:tcW w:w="620" w:type="dxa"/>
            <w:vAlign w:val="bottom"/>
            <w:gridSpan w:val="3"/>
          </w:tcPr>
          <w:p>
            <w:pPr>
              <w:spacing w:after="0"/>
              <w:rPr>
                <w:sz w:val="15"/>
                <w:szCs w:val="15"/>
                <w:color w:val="auto"/>
              </w:rPr>
            </w:pPr>
          </w:p>
        </w:tc>
        <w:tc>
          <w:tcPr>
            <w:tcW w:w="760" w:type="dxa"/>
            <w:vAlign w:val="bottom"/>
            <w:gridSpan w:val="3"/>
          </w:tcPr>
          <w:p>
            <w:pPr>
              <w:jc w:val="right"/>
              <w:ind w:right="320"/>
              <w:spacing w:after="0" w:line="179" w:lineRule="exact"/>
              <w:rPr>
                <w:sz w:val="20"/>
                <w:szCs w:val="20"/>
                <w:color w:val="auto"/>
              </w:rPr>
            </w:pPr>
            <w:r>
              <w:rPr>
                <w:rFonts w:ascii="Arial" w:cs="Arial" w:eastAsia="Arial" w:hAnsi="Arial"/>
                <w:sz w:val="17"/>
                <w:szCs w:val="17"/>
                <w:color w:val="auto"/>
              </w:rPr>
              <w:t>(213)</w:t>
            </w:r>
          </w:p>
        </w:tc>
        <w:tc>
          <w:tcPr>
            <w:tcW w:w="1000" w:type="dxa"/>
            <w:vAlign w:val="bottom"/>
            <w:gridSpan w:val="3"/>
          </w:tcPr>
          <w:p>
            <w:pPr>
              <w:jc w:val="right"/>
              <w:spacing w:after="0" w:line="17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r>
      <w:tr>
        <w:trPr>
          <w:trHeight w:val="20"/>
        </w:trPr>
        <w:tc>
          <w:tcPr>
            <w:tcW w:w="6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620" w:type="dxa"/>
            <w:vAlign w:val="bottom"/>
            <w:tcBorders>
              <w:right w:val="single" w:sz="8" w:color="auto"/>
            </w:tcBorders>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190"/>
        </w:trPr>
        <w:tc>
          <w:tcPr>
            <w:tcW w:w="6120" w:type="dxa"/>
            <w:vAlign w:val="bottom"/>
          </w:tcPr>
          <w:p>
            <w:pPr>
              <w:spacing w:after="0" w:line="189" w:lineRule="exact"/>
              <w:rPr>
                <w:sz w:val="20"/>
                <w:szCs w:val="20"/>
                <w:color w:val="auto"/>
              </w:rPr>
            </w:pPr>
            <w:r>
              <w:rPr>
                <w:rFonts w:ascii="Arial" w:cs="Arial" w:eastAsia="Arial" w:hAnsi="Arial"/>
                <w:sz w:val="17"/>
                <w:szCs w:val="17"/>
                <w:color w:val="auto"/>
              </w:rPr>
              <w:t>Net cash provided by (used in) financing activities</w:t>
            </w:r>
          </w:p>
        </w:tc>
        <w:tc>
          <w:tcPr>
            <w:tcW w:w="20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w w:val="99"/>
              </w:rPr>
              <w:t>10,273</w:t>
            </w:r>
          </w:p>
        </w:tc>
        <w:tc>
          <w:tcPr>
            <w:tcW w:w="380" w:type="dxa"/>
            <w:vAlign w:val="bottom"/>
          </w:tcPr>
          <w:p>
            <w:pPr>
              <w:spacing w:after="0"/>
              <w:rPr>
                <w:sz w:val="16"/>
                <w:szCs w:val="16"/>
                <w:color w:val="auto"/>
              </w:rPr>
            </w:pPr>
          </w:p>
        </w:tc>
        <w:tc>
          <w:tcPr>
            <w:tcW w:w="1380" w:type="dxa"/>
            <w:vAlign w:val="bottom"/>
            <w:gridSpan w:val="6"/>
          </w:tcPr>
          <w:p>
            <w:pPr>
              <w:jc w:val="right"/>
              <w:ind w:right="320"/>
              <w:spacing w:after="0" w:line="189" w:lineRule="exact"/>
              <w:rPr>
                <w:sz w:val="20"/>
                <w:szCs w:val="20"/>
                <w:color w:val="auto"/>
              </w:rPr>
            </w:pPr>
            <w:r>
              <w:rPr>
                <w:rFonts w:ascii="Arial" w:cs="Arial" w:eastAsia="Arial" w:hAnsi="Arial"/>
                <w:sz w:val="17"/>
                <w:szCs w:val="17"/>
                <w:color w:val="auto"/>
              </w:rPr>
              <w:t>(57,794)</w:t>
            </w:r>
          </w:p>
        </w:tc>
        <w:tc>
          <w:tcPr>
            <w:tcW w:w="104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(51,922)</w:t>
            </w:r>
          </w:p>
        </w:tc>
      </w:tr>
      <w:tr>
        <w:trPr>
          <w:trHeight w:val="20"/>
        </w:trPr>
        <w:tc>
          <w:tcPr>
            <w:tcW w:w="6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12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20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(1,020)</w:t>
            </w: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645</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(239)</w:t>
            </w:r>
          </w:p>
        </w:tc>
      </w:tr>
      <w:tr>
        <w:trPr>
          <w:trHeight w:val="20"/>
        </w:trPr>
        <w:tc>
          <w:tcPr>
            <w:tcW w:w="6120" w:type="dxa"/>
            <w:vAlign w:val="bottom"/>
          </w:tcPr>
          <w:p>
            <w:pPr>
              <w:spacing w:after="0" w:line="20" w:lineRule="exact"/>
              <w:rPr>
                <w:sz w:val="1"/>
                <w:szCs w:val="1"/>
                <w:color w:val="auto"/>
              </w:rPr>
            </w:pPr>
          </w:p>
        </w:tc>
        <w:tc>
          <w:tcPr>
            <w:tcW w:w="2080" w:type="dxa"/>
            <w:vAlign w:val="bottom"/>
            <w:tcBorders>
              <w:right w:val="single" w:sz="8" w:color="auto"/>
            </w:tcBorders>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6"/>
        </w:trPr>
        <w:tc>
          <w:tcPr>
            <w:tcW w:w="6120" w:type="dxa"/>
            <w:vAlign w:val="bottom"/>
          </w:tcPr>
          <w:p>
            <w:pPr>
              <w:spacing w:after="0"/>
              <w:rPr>
                <w:sz w:val="20"/>
                <w:szCs w:val="20"/>
                <w:color w:val="auto"/>
              </w:rPr>
            </w:pPr>
            <w:r>
              <w:rPr>
                <w:rFonts w:ascii="Arial" w:cs="Arial" w:eastAsia="Arial" w:hAnsi="Arial"/>
                <w:sz w:val="17"/>
                <w:szCs w:val="17"/>
                <w:color w:val="auto"/>
              </w:rPr>
              <w:t>Net decrease in cash and cash equivalents</w:t>
            </w:r>
          </w:p>
        </w:tc>
        <w:tc>
          <w:tcPr>
            <w:tcW w:w="2080" w:type="dxa"/>
            <w:vAlign w:val="bottom"/>
            <w:gridSpan w:val="3"/>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w w:val="88"/>
              </w:rPr>
              <w:t>(13,686)</w:t>
            </w:r>
          </w:p>
        </w:tc>
        <w:tc>
          <w:tcPr>
            <w:tcW w:w="1380" w:type="dxa"/>
            <w:vAlign w:val="bottom"/>
            <w:gridSpan w:val="6"/>
          </w:tcPr>
          <w:p>
            <w:pPr>
              <w:jc w:val="right"/>
              <w:ind w:right="320"/>
              <w:spacing w:after="0"/>
              <w:rPr>
                <w:sz w:val="20"/>
                <w:szCs w:val="20"/>
                <w:color w:val="auto"/>
              </w:rPr>
            </w:pPr>
            <w:r>
              <w:rPr>
                <w:rFonts w:ascii="Arial" w:cs="Arial" w:eastAsia="Arial" w:hAnsi="Arial"/>
                <w:sz w:val="17"/>
                <w:szCs w:val="17"/>
                <w:color w:val="auto"/>
              </w:rPr>
              <w:t>(319)</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(20,828)</w:t>
            </w:r>
          </w:p>
        </w:tc>
      </w:tr>
      <w:tr>
        <w:trPr>
          <w:trHeight w:val="179"/>
        </w:trPr>
        <w:tc>
          <w:tcPr>
            <w:tcW w:w="6120" w:type="dxa"/>
            <w:vAlign w:val="bottom"/>
          </w:tcPr>
          <w:p>
            <w:pPr>
              <w:spacing w:after="0" w:line="179" w:lineRule="exact"/>
              <w:rPr>
                <w:sz w:val="20"/>
                <w:szCs w:val="20"/>
                <w:color w:val="auto"/>
              </w:rPr>
            </w:pPr>
            <w:r>
              <w:rPr>
                <w:rFonts w:ascii="Arial" w:cs="Arial" w:eastAsia="Arial" w:hAnsi="Arial"/>
                <w:sz w:val="17"/>
                <w:szCs w:val="17"/>
                <w:color w:val="auto"/>
              </w:rPr>
              <w:t>Cash and cash equivalents at beginning of year</w:t>
            </w:r>
          </w:p>
        </w:tc>
        <w:tc>
          <w:tcPr>
            <w:tcW w:w="2020" w:type="dxa"/>
            <w:vAlign w:val="bottom"/>
            <w:gridSpan w:val="2"/>
          </w:tcPr>
          <w:p>
            <w:pPr>
              <w:spacing w:after="0"/>
              <w:rPr>
                <w:sz w:val="15"/>
                <w:szCs w:val="15"/>
                <w:color w:val="auto"/>
              </w:rPr>
            </w:pPr>
          </w:p>
        </w:tc>
        <w:tc>
          <w:tcPr>
            <w:tcW w:w="58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rPr>
              <w:t>20,378</w:t>
            </w: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Borders>
              <w:bottom w:val="single" w:sz="8" w:color="auto"/>
            </w:tcBorders>
            <w:gridSpan w:val="4"/>
          </w:tcPr>
          <w:p>
            <w:pPr>
              <w:jc w:val="right"/>
              <w:spacing w:after="0" w:line="179" w:lineRule="exact"/>
              <w:rPr>
                <w:sz w:val="20"/>
                <w:szCs w:val="20"/>
                <w:color w:val="auto"/>
              </w:rPr>
            </w:pPr>
            <w:r>
              <w:rPr>
                <w:rFonts w:ascii="Arial" w:cs="Arial" w:eastAsia="Arial" w:hAnsi="Arial"/>
                <w:sz w:val="17"/>
                <w:szCs w:val="17"/>
                <w:color w:val="auto"/>
              </w:rPr>
              <w:t>20,697</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96"/>
              </w:rPr>
              <w:t>41,525</w:t>
            </w:r>
          </w:p>
        </w:tc>
        <w:tc>
          <w:tcPr>
            <w:tcW w:w="40" w:type="dxa"/>
            <w:vAlign w:val="bottom"/>
          </w:tcPr>
          <w:p>
            <w:pPr>
              <w:spacing w:after="0"/>
              <w:rPr>
                <w:sz w:val="15"/>
                <w:szCs w:val="15"/>
                <w:color w:val="auto"/>
              </w:rPr>
            </w:pPr>
          </w:p>
        </w:tc>
      </w:tr>
      <w:tr>
        <w:trPr>
          <w:trHeight w:val="220"/>
        </w:trPr>
        <w:tc>
          <w:tcPr>
            <w:tcW w:w="6120" w:type="dxa"/>
            <w:vAlign w:val="bottom"/>
          </w:tcPr>
          <w:p>
            <w:pPr>
              <w:spacing w:after="0"/>
              <w:rPr>
                <w:sz w:val="20"/>
                <w:szCs w:val="20"/>
                <w:color w:val="auto"/>
              </w:rPr>
            </w:pPr>
            <w:r>
              <w:rPr>
                <w:rFonts w:ascii="Arial" w:cs="Arial" w:eastAsia="Arial" w:hAnsi="Arial"/>
                <w:sz w:val="17"/>
                <w:szCs w:val="17"/>
                <w:color w:val="auto"/>
              </w:rPr>
              <w:t>Cash and cash equivalents at end of year</w:t>
            </w:r>
          </w:p>
        </w:tc>
        <w:tc>
          <w:tcPr>
            <w:tcW w:w="2600" w:type="dxa"/>
            <w:vAlign w:val="bottom"/>
            <w:gridSpan w:val="4"/>
          </w:tcPr>
          <w:p>
            <w:pPr>
              <w:jc w:val="right"/>
              <w:spacing w:after="0"/>
              <w:rPr>
                <w:sz w:val="20"/>
                <w:szCs w:val="20"/>
                <w:color w:val="auto"/>
              </w:rPr>
            </w:pPr>
            <w:r>
              <w:rPr>
                <w:rFonts w:ascii="Arial" w:cs="Arial" w:eastAsia="Arial" w:hAnsi="Arial"/>
                <w:sz w:val="17"/>
                <w:szCs w:val="17"/>
                <w:color w:val="auto"/>
              </w:rPr>
              <w:t>$   6,692</w:t>
            </w:r>
          </w:p>
        </w:tc>
        <w:tc>
          <w:tcPr>
            <w:tcW w:w="380" w:type="dxa"/>
            <w:vAlign w:val="bottom"/>
          </w:tcPr>
          <w:p>
            <w:pPr>
              <w:spacing w:after="0"/>
              <w:rPr>
                <w:sz w:val="19"/>
                <w:szCs w:val="19"/>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$ 20,378</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$ 20,697</w:t>
            </w:r>
          </w:p>
        </w:tc>
        <w:tc>
          <w:tcPr>
            <w:tcW w:w="40" w:type="dxa"/>
            <w:vAlign w:val="bottom"/>
          </w:tcPr>
          <w:p>
            <w:pPr>
              <w:spacing w:after="0"/>
              <w:rPr>
                <w:sz w:val="19"/>
                <w:szCs w:val="19"/>
                <w:color w:val="auto"/>
              </w:rPr>
            </w:pPr>
          </w:p>
        </w:tc>
      </w:tr>
      <w:tr>
        <w:trPr>
          <w:trHeight w:val="216"/>
        </w:trPr>
        <w:tc>
          <w:tcPr>
            <w:tcW w:w="6120" w:type="dxa"/>
            <w:vAlign w:val="bottom"/>
          </w:tcPr>
          <w:p>
            <w:pPr>
              <w:spacing w:after="0"/>
              <w:rPr>
                <w:sz w:val="18"/>
                <w:szCs w:val="18"/>
                <w:color w:val="auto"/>
              </w:rPr>
            </w:pPr>
          </w:p>
        </w:tc>
        <w:tc>
          <w:tcPr>
            <w:tcW w:w="2980" w:type="dxa"/>
            <w:vAlign w:val="bottom"/>
            <w:gridSpan w:val="5"/>
          </w:tcPr>
          <w:p>
            <w:pPr>
              <w:jc w:val="right"/>
              <w:ind w:right="360"/>
              <w:spacing w:after="0"/>
              <w:rPr>
                <w:sz w:val="20"/>
                <w:szCs w:val="20"/>
                <w:color w:val="auto"/>
              </w:rPr>
            </w:pPr>
            <w:r>
              <w:rPr>
                <w:rFonts w:ascii="Arial" w:cs="Arial" w:eastAsia="Arial" w:hAnsi="Arial"/>
                <w:sz w:val="17"/>
                <w:szCs w:val="17"/>
                <w:color w:val="auto"/>
              </w:rPr>
              <w:t>=======</w:t>
            </w:r>
          </w:p>
        </w:tc>
        <w:tc>
          <w:tcPr>
            <w:tcW w:w="1380" w:type="dxa"/>
            <w:vAlign w:val="bottom"/>
            <w:gridSpan w:val="6"/>
          </w:tcPr>
          <w:p>
            <w:pPr>
              <w:jc w:val="right"/>
              <w:ind w:right="360"/>
              <w:spacing w:after="0"/>
              <w:rPr>
                <w:sz w:val="20"/>
                <w:szCs w:val="20"/>
                <w:color w:val="auto"/>
              </w:rPr>
            </w:pPr>
            <w:r>
              <w:rPr>
                <w:rFonts w:ascii="Arial" w:cs="Arial" w:eastAsia="Arial" w:hAnsi="Arial"/>
                <w:sz w:val="17"/>
                <w:szCs w:val="17"/>
                <w:color w:val="auto"/>
              </w:rPr>
              <w:t>=======</w:t>
            </w:r>
          </w:p>
        </w:tc>
        <w:tc>
          <w:tcPr>
            <w:tcW w:w="104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 which are an integral part of these statements.</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MINERALS TECHNOLOGIES INC. AND SUBSIDIARY COMPANIES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SHAREHOLDERS' EQUITY</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3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480" w:type="dxa"/>
            <w:vAlign w:val="bottom"/>
            <w:gridSpan w:val="9"/>
            <w:vMerge w:val="restart"/>
            <w:shd w:val="clear" w:color="auto" w:fill="C0C0C0"/>
          </w:tcPr>
          <w:p>
            <w:pPr>
              <w:jc w:val="right"/>
              <w:ind w:right="280"/>
              <w:spacing w:after="0"/>
              <w:rPr>
                <w:sz w:val="20"/>
                <w:szCs w:val="20"/>
                <w:color w:val="auto"/>
              </w:rPr>
            </w:pPr>
            <w:r>
              <w:rPr>
                <w:rFonts w:ascii="Arial" w:cs="Arial" w:eastAsia="Arial" w:hAnsi="Arial"/>
                <w:sz w:val="17"/>
                <w:szCs w:val="17"/>
                <w:b w:val="1"/>
                <w:bCs w:val="1"/>
                <w:color w:val="auto"/>
                <w:w w:val="94"/>
              </w:rPr>
              <w:t>Common Stock</w:t>
            </w:r>
          </w:p>
        </w:tc>
        <w:tc>
          <w:tcPr>
            <w:tcW w:w="3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40" w:type="dxa"/>
            <w:vAlign w:val="bottom"/>
            <w:tcBorders>
              <w:right w:val="single" w:sz="8" w:color="C0C0C0"/>
            </w:tcBorders>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140" w:type="dxa"/>
            <w:vAlign w:val="bottom"/>
            <w:tcBorders>
              <w:right w:val="single" w:sz="8" w:color="C0C0C0"/>
            </w:tcBorders>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480" w:type="dxa"/>
            <w:vAlign w:val="bottom"/>
            <w:gridSpan w:val="8"/>
            <w:shd w:val="clear" w:color="auto" w:fill="C0C0C0"/>
          </w:tcPr>
          <w:p>
            <w:pPr>
              <w:jc w:val="center"/>
              <w:ind w:right="480"/>
              <w:spacing w:after="0"/>
              <w:rPr>
                <w:sz w:val="20"/>
                <w:szCs w:val="20"/>
                <w:color w:val="auto"/>
              </w:rPr>
            </w:pPr>
            <w:r>
              <w:rPr>
                <w:rFonts w:ascii="Arial" w:cs="Arial" w:eastAsia="Arial" w:hAnsi="Arial"/>
                <w:sz w:val="17"/>
                <w:szCs w:val="17"/>
                <w:b w:val="1"/>
                <w:bCs w:val="1"/>
                <w:color w:val="auto"/>
                <w:w w:val="89"/>
              </w:rPr>
              <w:t>Accumulated</w:t>
            </w:r>
          </w:p>
        </w:tc>
        <w:tc>
          <w:tcPr>
            <w:tcW w:w="10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640" w:type="dxa"/>
            <w:vAlign w:val="bottom"/>
            <w:gridSpan w:val="14"/>
            <w:vMerge w:val="restart"/>
            <w:shd w:val="clear" w:color="auto" w:fill="C0C0C0"/>
          </w:tcPr>
          <w:p>
            <w:pPr>
              <w:jc w:val="right"/>
              <w:ind w:right="520"/>
              <w:spacing w:after="0"/>
              <w:rPr>
                <w:sz w:val="20"/>
                <w:szCs w:val="20"/>
                <w:color w:val="auto"/>
              </w:rPr>
            </w:pPr>
            <w:r>
              <w:rPr>
                <w:rFonts w:ascii="Arial" w:cs="Arial" w:eastAsia="Arial" w:hAnsi="Arial"/>
                <w:sz w:val="17"/>
                <w:szCs w:val="17"/>
                <w:b w:val="1"/>
                <w:bCs w:val="1"/>
                <w:color w:val="auto"/>
                <w:w w:val="89"/>
              </w:rPr>
              <w:t>Treasury Stock</w:t>
            </w:r>
          </w:p>
        </w:tc>
        <w:tc>
          <w:tcPr>
            <w:tcW w:w="24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200" w:type="dxa"/>
            <w:vAlign w:val="bottom"/>
            <w:tcBorders>
              <w:right w:val="single" w:sz="8" w:color="C0C0C0"/>
            </w:tcBorders>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3340" w:type="dxa"/>
            <w:vAlign w:val="bottom"/>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1480" w:type="dxa"/>
            <w:vAlign w:val="bottom"/>
            <w:gridSpan w:val="9"/>
            <w:vMerge w:val="continue"/>
            <w:shd w:val="clear" w:color="auto" w:fill="C0C0C0"/>
          </w:tcPr>
          <w:p>
            <w:pPr>
              <w:spacing w:after="0"/>
              <w:rPr>
                <w:sz w:val="10"/>
                <w:szCs w:val="10"/>
                <w:color w:val="auto"/>
              </w:rPr>
            </w:pPr>
          </w:p>
        </w:tc>
        <w:tc>
          <w:tcPr>
            <w:tcW w:w="1340" w:type="dxa"/>
            <w:vAlign w:val="bottom"/>
            <w:gridSpan w:val="7"/>
            <w:vMerge w:val="restart"/>
            <w:shd w:val="clear" w:color="auto" w:fill="C0C0C0"/>
          </w:tcPr>
          <w:p>
            <w:pPr>
              <w:jc w:val="center"/>
              <w:ind w:right="100"/>
              <w:spacing w:after="0"/>
              <w:rPr>
                <w:sz w:val="20"/>
                <w:szCs w:val="20"/>
                <w:color w:val="auto"/>
              </w:rPr>
            </w:pPr>
            <w:r>
              <w:rPr>
                <w:rFonts w:ascii="Arial" w:cs="Arial" w:eastAsia="Arial" w:hAnsi="Arial"/>
                <w:sz w:val="17"/>
                <w:szCs w:val="17"/>
                <w:b w:val="1"/>
                <w:bCs w:val="1"/>
                <w:color w:val="auto"/>
                <w:w w:val="91"/>
              </w:rPr>
              <w:t>Additional</w:t>
            </w:r>
          </w:p>
        </w:tc>
        <w:tc>
          <w:tcPr>
            <w:tcW w:w="100" w:type="dxa"/>
            <w:vAlign w:val="bottom"/>
            <w:shd w:val="clear" w:color="auto" w:fill="C0C0C0"/>
          </w:tcPr>
          <w:p>
            <w:pPr>
              <w:spacing w:after="0"/>
              <w:rPr>
                <w:sz w:val="10"/>
                <w:szCs w:val="10"/>
                <w:color w:val="auto"/>
              </w:rPr>
            </w:pPr>
          </w:p>
        </w:tc>
        <w:tc>
          <w:tcPr>
            <w:tcW w:w="60" w:type="dxa"/>
            <w:vAlign w:val="bottom"/>
            <w:shd w:val="clear" w:color="auto" w:fill="C0C0C0"/>
          </w:tcPr>
          <w:p>
            <w:pPr>
              <w:spacing w:after="0"/>
              <w:rPr>
                <w:sz w:val="10"/>
                <w:szCs w:val="10"/>
                <w:color w:val="auto"/>
              </w:rPr>
            </w:pPr>
          </w:p>
        </w:tc>
        <w:tc>
          <w:tcPr>
            <w:tcW w:w="140" w:type="dxa"/>
            <w:vAlign w:val="bottom"/>
            <w:tcBorders>
              <w:right w:val="single" w:sz="8" w:color="C0C0C0"/>
            </w:tcBorders>
            <w:shd w:val="clear" w:color="auto" w:fill="C0C0C0"/>
          </w:tcPr>
          <w:p>
            <w:pPr>
              <w:spacing w:after="0"/>
              <w:rPr>
                <w:sz w:val="10"/>
                <w:szCs w:val="10"/>
                <w:color w:val="auto"/>
              </w:rPr>
            </w:pPr>
          </w:p>
        </w:tc>
        <w:tc>
          <w:tcPr>
            <w:tcW w:w="360" w:type="dxa"/>
            <w:vAlign w:val="bottom"/>
            <w:shd w:val="clear" w:color="auto" w:fill="C0C0C0"/>
          </w:tcPr>
          <w:p>
            <w:pPr>
              <w:spacing w:after="0"/>
              <w:rPr>
                <w:sz w:val="10"/>
                <w:szCs w:val="10"/>
                <w:color w:val="auto"/>
              </w:rPr>
            </w:pPr>
          </w:p>
        </w:tc>
        <w:tc>
          <w:tcPr>
            <w:tcW w:w="20" w:type="dxa"/>
            <w:vAlign w:val="bottom"/>
            <w:shd w:val="clear" w:color="auto" w:fill="C0C0C0"/>
          </w:tcPr>
          <w:p>
            <w:pPr>
              <w:spacing w:after="0"/>
              <w:rPr>
                <w:sz w:val="10"/>
                <w:szCs w:val="10"/>
                <w:color w:val="auto"/>
              </w:rPr>
            </w:pPr>
          </w:p>
        </w:tc>
        <w:tc>
          <w:tcPr>
            <w:tcW w:w="20" w:type="dxa"/>
            <w:vAlign w:val="bottom"/>
            <w:shd w:val="clear" w:color="auto" w:fill="C0C0C0"/>
          </w:tcPr>
          <w:p>
            <w:pPr>
              <w:spacing w:after="0"/>
              <w:rPr>
                <w:sz w:val="10"/>
                <w:szCs w:val="10"/>
                <w:color w:val="auto"/>
              </w:rPr>
            </w:pPr>
          </w:p>
        </w:tc>
        <w:tc>
          <w:tcPr>
            <w:tcW w:w="80" w:type="dxa"/>
            <w:vAlign w:val="bottom"/>
            <w:shd w:val="clear" w:color="auto" w:fill="C0C0C0"/>
          </w:tcPr>
          <w:p>
            <w:pPr>
              <w:spacing w:after="0"/>
              <w:rPr>
                <w:sz w:val="10"/>
                <w:szCs w:val="10"/>
                <w:color w:val="auto"/>
              </w:rPr>
            </w:pPr>
          </w:p>
        </w:tc>
        <w:tc>
          <w:tcPr>
            <w:tcW w:w="160" w:type="dxa"/>
            <w:vAlign w:val="bottom"/>
            <w:shd w:val="clear" w:color="auto" w:fill="C0C0C0"/>
          </w:tcPr>
          <w:p>
            <w:pPr>
              <w:spacing w:after="0"/>
              <w:rPr>
                <w:sz w:val="10"/>
                <w:szCs w:val="10"/>
                <w:color w:val="auto"/>
              </w:rPr>
            </w:pPr>
          </w:p>
        </w:tc>
        <w:tc>
          <w:tcPr>
            <w:tcW w:w="1480" w:type="dxa"/>
            <w:vAlign w:val="bottom"/>
            <w:gridSpan w:val="8"/>
            <w:vMerge w:val="restart"/>
            <w:shd w:val="clear" w:color="auto" w:fill="C0C0C0"/>
          </w:tcPr>
          <w:p>
            <w:pPr>
              <w:jc w:val="center"/>
              <w:ind w:right="520"/>
              <w:spacing w:after="0"/>
              <w:rPr>
                <w:sz w:val="20"/>
                <w:szCs w:val="20"/>
                <w:color w:val="auto"/>
              </w:rPr>
            </w:pPr>
            <w:r>
              <w:rPr>
                <w:rFonts w:ascii="Arial" w:cs="Arial" w:eastAsia="Arial" w:hAnsi="Arial"/>
                <w:sz w:val="17"/>
                <w:szCs w:val="17"/>
                <w:b w:val="1"/>
                <w:bCs w:val="1"/>
                <w:color w:val="auto"/>
                <w:w w:val="96"/>
              </w:rPr>
              <w:t>Other</w:t>
            </w:r>
          </w:p>
        </w:tc>
        <w:tc>
          <w:tcPr>
            <w:tcW w:w="100" w:type="dxa"/>
            <w:vAlign w:val="bottom"/>
            <w:shd w:val="clear" w:color="auto" w:fill="C0C0C0"/>
          </w:tcPr>
          <w:p>
            <w:pPr>
              <w:spacing w:after="0"/>
              <w:rPr>
                <w:sz w:val="10"/>
                <w:szCs w:val="10"/>
                <w:color w:val="auto"/>
              </w:rPr>
            </w:pPr>
          </w:p>
        </w:tc>
        <w:tc>
          <w:tcPr>
            <w:tcW w:w="40" w:type="dxa"/>
            <w:vAlign w:val="bottom"/>
            <w:shd w:val="clear" w:color="auto" w:fill="C0C0C0"/>
          </w:tcPr>
          <w:p>
            <w:pPr>
              <w:spacing w:after="0"/>
              <w:rPr>
                <w:sz w:val="10"/>
                <w:szCs w:val="10"/>
                <w:color w:val="auto"/>
              </w:rPr>
            </w:pPr>
          </w:p>
        </w:tc>
        <w:tc>
          <w:tcPr>
            <w:tcW w:w="20" w:type="dxa"/>
            <w:vAlign w:val="bottom"/>
            <w:shd w:val="clear" w:color="auto" w:fill="C0C0C0"/>
          </w:tcPr>
          <w:p>
            <w:pPr>
              <w:spacing w:after="0"/>
              <w:rPr>
                <w:sz w:val="10"/>
                <w:szCs w:val="10"/>
                <w:color w:val="auto"/>
              </w:rPr>
            </w:pPr>
          </w:p>
        </w:tc>
        <w:tc>
          <w:tcPr>
            <w:tcW w:w="1640" w:type="dxa"/>
            <w:vAlign w:val="bottom"/>
            <w:gridSpan w:val="14"/>
            <w:vMerge w:val="continue"/>
            <w:shd w:val="clear" w:color="auto" w:fill="C0C0C0"/>
          </w:tcPr>
          <w:p>
            <w:pPr>
              <w:spacing w:after="0"/>
              <w:rPr>
                <w:sz w:val="10"/>
                <w:szCs w:val="10"/>
                <w:color w:val="auto"/>
              </w:rPr>
            </w:pPr>
          </w:p>
        </w:tc>
        <w:tc>
          <w:tcPr>
            <w:tcW w:w="240" w:type="dxa"/>
            <w:vAlign w:val="bottom"/>
            <w:shd w:val="clear" w:color="auto" w:fill="C0C0C0"/>
          </w:tcPr>
          <w:p>
            <w:pPr>
              <w:spacing w:after="0"/>
              <w:rPr>
                <w:sz w:val="10"/>
                <w:szCs w:val="10"/>
                <w:color w:val="auto"/>
              </w:rPr>
            </w:pPr>
          </w:p>
        </w:tc>
        <w:tc>
          <w:tcPr>
            <w:tcW w:w="20" w:type="dxa"/>
            <w:vAlign w:val="bottom"/>
            <w:shd w:val="clear" w:color="auto" w:fill="C0C0C0"/>
          </w:tcPr>
          <w:p>
            <w:pPr>
              <w:spacing w:after="0"/>
              <w:rPr>
                <w:sz w:val="10"/>
                <w:szCs w:val="10"/>
                <w:color w:val="auto"/>
              </w:rPr>
            </w:pPr>
          </w:p>
        </w:tc>
        <w:tc>
          <w:tcPr>
            <w:tcW w:w="20" w:type="dxa"/>
            <w:vAlign w:val="bottom"/>
            <w:shd w:val="clear" w:color="auto" w:fill="C0C0C0"/>
          </w:tcPr>
          <w:p>
            <w:pPr>
              <w:spacing w:after="0"/>
              <w:rPr>
                <w:sz w:val="10"/>
                <w:szCs w:val="10"/>
                <w:color w:val="auto"/>
              </w:rPr>
            </w:pPr>
          </w:p>
        </w:tc>
        <w:tc>
          <w:tcPr>
            <w:tcW w:w="20" w:type="dxa"/>
            <w:vAlign w:val="bottom"/>
            <w:shd w:val="clear" w:color="auto" w:fill="C0C0C0"/>
          </w:tcPr>
          <w:p>
            <w:pPr>
              <w:spacing w:after="0"/>
              <w:rPr>
                <w:sz w:val="10"/>
                <w:szCs w:val="10"/>
                <w:color w:val="auto"/>
              </w:rPr>
            </w:pPr>
          </w:p>
        </w:tc>
        <w:tc>
          <w:tcPr>
            <w:tcW w:w="60" w:type="dxa"/>
            <w:vAlign w:val="bottom"/>
            <w:shd w:val="clear" w:color="auto" w:fill="C0C0C0"/>
          </w:tcPr>
          <w:p>
            <w:pPr>
              <w:spacing w:after="0"/>
              <w:rPr>
                <w:sz w:val="10"/>
                <w:szCs w:val="10"/>
                <w:color w:val="auto"/>
              </w:rPr>
            </w:pPr>
          </w:p>
        </w:tc>
        <w:tc>
          <w:tcPr>
            <w:tcW w:w="300" w:type="dxa"/>
            <w:vAlign w:val="bottom"/>
            <w:shd w:val="clear" w:color="auto" w:fill="C0C0C0"/>
          </w:tcPr>
          <w:p>
            <w:pPr>
              <w:spacing w:after="0"/>
              <w:rPr>
                <w:sz w:val="10"/>
                <w:szCs w:val="10"/>
                <w:color w:val="auto"/>
              </w:rPr>
            </w:pPr>
          </w:p>
        </w:tc>
        <w:tc>
          <w:tcPr>
            <w:tcW w:w="200" w:type="dxa"/>
            <w:vAlign w:val="bottom"/>
            <w:tcBorders>
              <w:right w:val="single" w:sz="8" w:color="C0C0C0"/>
            </w:tcBorders>
            <w:shd w:val="clear" w:color="auto" w:fill="C0C0C0"/>
          </w:tcPr>
          <w:p>
            <w:pPr>
              <w:spacing w:after="0"/>
              <w:rPr>
                <w:sz w:val="10"/>
                <w:szCs w:val="10"/>
                <w:color w:val="auto"/>
              </w:rPr>
            </w:pPr>
          </w:p>
        </w:tc>
        <w:tc>
          <w:tcPr>
            <w:tcW w:w="60" w:type="dxa"/>
            <w:vAlign w:val="bottom"/>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340" w:type="dxa"/>
            <w:vAlign w:val="bottom"/>
            <w:tcBorders>
              <w:top w:val="single" w:sz="8" w:color="C0C0C0"/>
            </w:tcBorders>
            <w:shd w:val="clear" w:color="auto" w:fill="C0C0C0"/>
          </w:tcPr>
          <w:p>
            <w:pPr>
              <w:spacing w:after="0"/>
              <w:rPr>
                <w:sz w:val="6"/>
                <w:szCs w:val="6"/>
                <w:color w:val="auto"/>
              </w:rPr>
            </w:pPr>
          </w:p>
        </w:tc>
        <w:tc>
          <w:tcPr>
            <w:tcW w:w="120" w:type="dxa"/>
            <w:vAlign w:val="bottom"/>
            <w:tcBorders>
              <w:top w:val="single" w:sz="8" w:color="C0C0C0"/>
            </w:tcBorders>
            <w:shd w:val="clear" w:color="auto" w:fill="C0C0C0"/>
          </w:tcPr>
          <w:p>
            <w:pPr>
              <w:spacing w:after="0"/>
              <w:rPr>
                <w:sz w:val="6"/>
                <w:szCs w:val="6"/>
                <w:color w:val="auto"/>
              </w:rPr>
            </w:pPr>
          </w:p>
        </w:tc>
        <w:tc>
          <w:tcPr>
            <w:tcW w:w="8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auto"/>
            </w:tcBorders>
            <w:shd w:val="clear" w:color="auto" w:fill="C0C0C0"/>
          </w:tcPr>
          <w:p>
            <w:pPr>
              <w:spacing w:after="0"/>
              <w:rPr>
                <w:sz w:val="6"/>
                <w:szCs w:val="6"/>
                <w:color w:val="auto"/>
              </w:rPr>
            </w:pPr>
          </w:p>
        </w:tc>
        <w:tc>
          <w:tcPr>
            <w:tcW w:w="260" w:type="dxa"/>
            <w:vAlign w:val="bottom"/>
            <w:tcBorders>
              <w:top w:val="single" w:sz="8" w:color="auto"/>
            </w:tcBorders>
            <w:shd w:val="clear" w:color="auto" w:fill="C0C0C0"/>
          </w:tcPr>
          <w:p>
            <w:pPr>
              <w:spacing w:after="0"/>
              <w:rPr>
                <w:sz w:val="6"/>
                <w:szCs w:val="6"/>
                <w:color w:val="auto"/>
              </w:rPr>
            </w:pPr>
          </w:p>
        </w:tc>
        <w:tc>
          <w:tcPr>
            <w:tcW w:w="100" w:type="dxa"/>
            <w:vAlign w:val="bottom"/>
            <w:tcBorders>
              <w:top w:val="single" w:sz="8" w:color="auto"/>
            </w:tcBorders>
            <w:shd w:val="clear" w:color="auto" w:fill="C0C0C0"/>
          </w:tcPr>
          <w:p>
            <w:pPr>
              <w:spacing w:after="0"/>
              <w:rPr>
                <w:sz w:val="6"/>
                <w:szCs w:val="6"/>
                <w:color w:val="auto"/>
              </w:rPr>
            </w:pPr>
          </w:p>
        </w:tc>
        <w:tc>
          <w:tcPr>
            <w:tcW w:w="240" w:type="dxa"/>
            <w:vAlign w:val="bottom"/>
            <w:tcBorders>
              <w:top w:val="single" w:sz="8" w:color="auto"/>
            </w:tcBorders>
            <w:shd w:val="clear" w:color="auto" w:fill="C0C0C0"/>
          </w:tcPr>
          <w:p>
            <w:pPr>
              <w:spacing w:after="0"/>
              <w:rPr>
                <w:sz w:val="6"/>
                <w:szCs w:val="6"/>
                <w:color w:val="auto"/>
              </w:rPr>
            </w:pPr>
          </w:p>
        </w:tc>
        <w:tc>
          <w:tcPr>
            <w:tcW w:w="400" w:type="dxa"/>
            <w:vAlign w:val="bottom"/>
            <w:tcBorders>
              <w:top w:val="single" w:sz="8" w:color="auto"/>
            </w:tcBorders>
            <w:shd w:val="clear" w:color="auto" w:fill="C0C0C0"/>
          </w:tcPr>
          <w:p>
            <w:pPr>
              <w:spacing w:after="0"/>
              <w:rPr>
                <w:sz w:val="6"/>
                <w:szCs w:val="6"/>
                <w:color w:val="auto"/>
              </w:rPr>
            </w:pPr>
          </w:p>
        </w:tc>
        <w:tc>
          <w:tcPr>
            <w:tcW w:w="100" w:type="dxa"/>
            <w:vAlign w:val="bottom"/>
            <w:tcBorders>
              <w:top w:val="single" w:sz="8" w:color="auto"/>
            </w:tcBorders>
            <w:shd w:val="clear" w:color="auto" w:fill="C0C0C0"/>
          </w:tcPr>
          <w:p>
            <w:pPr>
              <w:spacing w:after="0"/>
              <w:rPr>
                <w:sz w:val="6"/>
                <w:szCs w:val="6"/>
                <w:color w:val="auto"/>
              </w:rPr>
            </w:pPr>
          </w:p>
        </w:tc>
        <w:tc>
          <w:tcPr>
            <w:tcW w:w="220" w:type="dxa"/>
            <w:vAlign w:val="bottom"/>
            <w:tcBorders>
              <w:top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c>
          <w:tcPr>
            <w:tcW w:w="1340" w:type="dxa"/>
            <w:vAlign w:val="bottom"/>
            <w:tcBorders>
              <w:top w:val="single" w:sz="8" w:color="C0C0C0"/>
            </w:tcBorders>
            <w:gridSpan w:val="7"/>
            <w:vMerge w:val="continue"/>
            <w:shd w:val="clear" w:color="auto" w:fill="C0C0C0"/>
          </w:tcPr>
          <w:p>
            <w:pPr>
              <w:spacing w:after="0"/>
              <w:rPr>
                <w:sz w:val="6"/>
                <w:szCs w:val="6"/>
                <w:color w:val="auto"/>
              </w:rPr>
            </w:pPr>
          </w:p>
        </w:tc>
        <w:tc>
          <w:tcPr>
            <w:tcW w:w="100" w:type="dxa"/>
            <w:vAlign w:val="bottom"/>
            <w:tcBorders>
              <w:top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c>
          <w:tcPr>
            <w:tcW w:w="140" w:type="dxa"/>
            <w:vAlign w:val="bottom"/>
            <w:tcBorders>
              <w:top w:val="single" w:sz="8" w:color="C0C0C0"/>
              <w:right w:val="single" w:sz="8" w:color="C0C0C0"/>
            </w:tcBorders>
            <w:shd w:val="clear" w:color="auto" w:fill="C0C0C0"/>
          </w:tcPr>
          <w:p>
            <w:pPr>
              <w:spacing w:after="0"/>
              <w:rPr>
                <w:sz w:val="6"/>
                <w:szCs w:val="6"/>
                <w:color w:val="auto"/>
              </w:rPr>
            </w:pPr>
          </w:p>
        </w:tc>
        <w:tc>
          <w:tcPr>
            <w:tcW w:w="36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80" w:type="dxa"/>
            <w:vAlign w:val="bottom"/>
            <w:tcBorders>
              <w:top w:val="single" w:sz="8" w:color="C0C0C0"/>
            </w:tcBorders>
            <w:shd w:val="clear" w:color="auto" w:fill="C0C0C0"/>
          </w:tcPr>
          <w:p>
            <w:pPr>
              <w:spacing w:after="0"/>
              <w:rPr>
                <w:sz w:val="6"/>
                <w:szCs w:val="6"/>
                <w:color w:val="auto"/>
              </w:rPr>
            </w:pPr>
          </w:p>
        </w:tc>
        <w:tc>
          <w:tcPr>
            <w:tcW w:w="160" w:type="dxa"/>
            <w:vAlign w:val="bottom"/>
            <w:tcBorders>
              <w:top w:val="single" w:sz="8" w:color="C0C0C0"/>
            </w:tcBorders>
            <w:shd w:val="clear" w:color="auto" w:fill="C0C0C0"/>
          </w:tcPr>
          <w:p>
            <w:pPr>
              <w:spacing w:after="0"/>
              <w:rPr>
                <w:sz w:val="6"/>
                <w:szCs w:val="6"/>
                <w:color w:val="auto"/>
              </w:rPr>
            </w:pPr>
          </w:p>
        </w:tc>
        <w:tc>
          <w:tcPr>
            <w:tcW w:w="1480" w:type="dxa"/>
            <w:vAlign w:val="bottom"/>
            <w:tcBorders>
              <w:top w:val="single" w:sz="8" w:color="C0C0C0"/>
            </w:tcBorders>
            <w:gridSpan w:val="8"/>
            <w:vMerge w:val="continue"/>
            <w:shd w:val="clear" w:color="auto" w:fill="C0C0C0"/>
          </w:tcPr>
          <w:p>
            <w:pPr>
              <w:spacing w:after="0"/>
              <w:rPr>
                <w:sz w:val="6"/>
                <w:szCs w:val="6"/>
                <w:color w:val="auto"/>
              </w:rPr>
            </w:pPr>
          </w:p>
        </w:tc>
        <w:tc>
          <w:tcPr>
            <w:tcW w:w="10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120" w:type="dxa"/>
            <w:vAlign w:val="bottom"/>
            <w:tcBorders>
              <w:top w:val="single" w:sz="8" w:color="auto"/>
            </w:tcBorders>
            <w:shd w:val="clear" w:color="auto" w:fill="C0C0C0"/>
          </w:tcPr>
          <w:p>
            <w:pPr>
              <w:spacing w:after="0"/>
              <w:rPr>
                <w:sz w:val="6"/>
                <w:szCs w:val="6"/>
                <w:color w:val="auto"/>
              </w:rPr>
            </w:pPr>
          </w:p>
        </w:tc>
        <w:tc>
          <w:tcPr>
            <w:tcW w:w="200" w:type="dxa"/>
            <w:vAlign w:val="bottom"/>
            <w:tcBorders>
              <w:top w:val="single" w:sz="8" w:color="auto"/>
            </w:tcBorders>
            <w:shd w:val="clear" w:color="auto" w:fill="C0C0C0"/>
          </w:tcPr>
          <w:p>
            <w:pPr>
              <w:spacing w:after="0"/>
              <w:rPr>
                <w:sz w:val="6"/>
                <w:szCs w:val="6"/>
                <w:color w:val="auto"/>
              </w:rPr>
            </w:pPr>
          </w:p>
        </w:tc>
        <w:tc>
          <w:tcPr>
            <w:tcW w:w="80" w:type="dxa"/>
            <w:vAlign w:val="bottom"/>
            <w:tcBorders>
              <w:top w:val="single" w:sz="8" w:color="auto"/>
              <w:right w:val="single" w:sz="8" w:color="C0C0C0"/>
            </w:tcBorders>
            <w:shd w:val="clear" w:color="auto" w:fill="C0C0C0"/>
          </w:tcPr>
          <w:p>
            <w:pPr>
              <w:spacing w:after="0"/>
              <w:rPr>
                <w:sz w:val="6"/>
                <w:szCs w:val="6"/>
                <w:color w:val="auto"/>
              </w:rPr>
            </w:pPr>
          </w:p>
        </w:tc>
        <w:tc>
          <w:tcPr>
            <w:tcW w:w="220" w:type="dxa"/>
            <w:vAlign w:val="bottom"/>
            <w:tcBorders>
              <w:top w:val="single" w:sz="8" w:color="auto"/>
            </w:tcBorders>
            <w:shd w:val="clear" w:color="auto" w:fill="C0C0C0"/>
          </w:tcPr>
          <w:p>
            <w:pPr>
              <w:spacing w:after="0"/>
              <w:rPr>
                <w:sz w:val="6"/>
                <w:szCs w:val="6"/>
                <w:color w:val="auto"/>
              </w:rPr>
            </w:pPr>
          </w:p>
        </w:tc>
        <w:tc>
          <w:tcPr>
            <w:tcW w:w="180" w:type="dxa"/>
            <w:vAlign w:val="bottom"/>
            <w:tcBorders>
              <w:top w:val="single" w:sz="8" w:color="auto"/>
            </w:tcBorders>
            <w:shd w:val="clear" w:color="auto" w:fill="C0C0C0"/>
          </w:tcPr>
          <w:p>
            <w:pPr>
              <w:spacing w:after="0"/>
              <w:rPr>
                <w:sz w:val="6"/>
                <w:szCs w:val="6"/>
                <w:color w:val="auto"/>
              </w:rPr>
            </w:pPr>
          </w:p>
        </w:tc>
        <w:tc>
          <w:tcPr>
            <w:tcW w:w="60" w:type="dxa"/>
            <w:vAlign w:val="bottom"/>
            <w:tcBorders>
              <w:top w:val="single" w:sz="8" w:color="auto"/>
            </w:tcBorders>
            <w:shd w:val="clear" w:color="auto" w:fill="C0C0C0"/>
          </w:tcPr>
          <w:p>
            <w:pPr>
              <w:spacing w:after="0"/>
              <w:rPr>
                <w:sz w:val="6"/>
                <w:szCs w:val="6"/>
                <w:color w:val="auto"/>
              </w:rPr>
            </w:pPr>
          </w:p>
        </w:tc>
        <w:tc>
          <w:tcPr>
            <w:tcW w:w="80" w:type="dxa"/>
            <w:vAlign w:val="bottom"/>
            <w:tcBorders>
              <w:top w:val="single" w:sz="8" w:color="auto"/>
            </w:tcBorders>
            <w:shd w:val="clear" w:color="auto" w:fill="C0C0C0"/>
          </w:tcPr>
          <w:p>
            <w:pPr>
              <w:spacing w:after="0"/>
              <w:rPr>
                <w:sz w:val="6"/>
                <w:szCs w:val="6"/>
                <w:color w:val="auto"/>
              </w:rPr>
            </w:pPr>
          </w:p>
        </w:tc>
        <w:tc>
          <w:tcPr>
            <w:tcW w:w="80" w:type="dxa"/>
            <w:vAlign w:val="bottom"/>
            <w:tcBorders>
              <w:top w:val="single" w:sz="8" w:color="auto"/>
            </w:tcBorders>
            <w:shd w:val="clear" w:color="auto" w:fill="C0C0C0"/>
          </w:tcPr>
          <w:p>
            <w:pPr>
              <w:spacing w:after="0"/>
              <w:rPr>
                <w:sz w:val="6"/>
                <w:szCs w:val="6"/>
                <w:color w:val="auto"/>
              </w:rPr>
            </w:pPr>
          </w:p>
        </w:tc>
        <w:tc>
          <w:tcPr>
            <w:tcW w:w="20" w:type="dxa"/>
            <w:vAlign w:val="bottom"/>
            <w:tcBorders>
              <w:top w:val="single" w:sz="8" w:color="auto"/>
            </w:tcBorders>
            <w:shd w:val="clear" w:color="auto" w:fill="C0C0C0"/>
          </w:tcPr>
          <w:p>
            <w:pPr>
              <w:spacing w:after="0"/>
              <w:rPr>
                <w:sz w:val="6"/>
                <w:szCs w:val="6"/>
                <w:color w:val="auto"/>
              </w:rPr>
            </w:pPr>
          </w:p>
        </w:tc>
        <w:tc>
          <w:tcPr>
            <w:tcW w:w="80" w:type="dxa"/>
            <w:vAlign w:val="bottom"/>
            <w:tcBorders>
              <w:top w:val="single" w:sz="8" w:color="auto"/>
            </w:tcBorders>
            <w:shd w:val="clear" w:color="auto" w:fill="C0C0C0"/>
          </w:tcPr>
          <w:p>
            <w:pPr>
              <w:spacing w:after="0"/>
              <w:rPr>
                <w:sz w:val="6"/>
                <w:szCs w:val="6"/>
                <w:color w:val="auto"/>
              </w:rPr>
            </w:pPr>
          </w:p>
        </w:tc>
        <w:tc>
          <w:tcPr>
            <w:tcW w:w="220" w:type="dxa"/>
            <w:vAlign w:val="bottom"/>
            <w:tcBorders>
              <w:top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C0C0C0"/>
              <w:right w:val="single" w:sz="8" w:color="C0C0C0"/>
            </w:tcBorders>
            <w:shd w:val="clear" w:color="auto" w:fill="C0C0C0"/>
          </w:tcPr>
          <w:p>
            <w:pPr>
              <w:spacing w:after="0"/>
              <w:rPr>
                <w:sz w:val="6"/>
                <w:szCs w:val="6"/>
                <w:color w:val="auto"/>
              </w:rPr>
            </w:pPr>
          </w:p>
        </w:tc>
        <w:tc>
          <w:tcPr>
            <w:tcW w:w="200" w:type="dxa"/>
            <w:vAlign w:val="bottom"/>
            <w:tcBorders>
              <w:top w:val="single" w:sz="8" w:color="C0C0C0"/>
            </w:tcBorders>
            <w:shd w:val="clear" w:color="auto" w:fill="C0C0C0"/>
          </w:tcPr>
          <w:p>
            <w:pPr>
              <w:spacing w:after="0"/>
              <w:rPr>
                <w:sz w:val="6"/>
                <w:szCs w:val="6"/>
                <w:color w:val="auto"/>
              </w:rPr>
            </w:pPr>
          </w:p>
        </w:tc>
        <w:tc>
          <w:tcPr>
            <w:tcW w:w="24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c>
          <w:tcPr>
            <w:tcW w:w="300" w:type="dxa"/>
            <w:vAlign w:val="bottom"/>
            <w:tcBorders>
              <w:top w:val="single" w:sz="8" w:color="C0C0C0"/>
            </w:tcBorders>
            <w:shd w:val="clear" w:color="auto" w:fill="C0C0C0"/>
          </w:tcPr>
          <w:p>
            <w:pPr>
              <w:spacing w:after="0"/>
              <w:rPr>
                <w:sz w:val="6"/>
                <w:szCs w:val="6"/>
                <w:color w:val="auto"/>
              </w:rPr>
            </w:pPr>
          </w:p>
        </w:tc>
        <w:tc>
          <w:tcPr>
            <w:tcW w:w="200" w:type="dxa"/>
            <w:vAlign w:val="bottom"/>
            <w:tcBorders>
              <w:top w:val="single" w:sz="8" w:color="C0C0C0"/>
              <w:right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1340" w:type="dxa"/>
            <w:vAlign w:val="bottom"/>
            <w:gridSpan w:val="7"/>
            <w:shd w:val="clear" w:color="auto" w:fill="C0C0C0"/>
          </w:tcPr>
          <w:p>
            <w:pPr>
              <w:jc w:val="center"/>
              <w:ind w:right="140"/>
              <w:spacing w:after="0"/>
              <w:rPr>
                <w:sz w:val="20"/>
                <w:szCs w:val="20"/>
                <w:color w:val="auto"/>
              </w:rPr>
            </w:pPr>
            <w:r>
              <w:rPr>
                <w:rFonts w:ascii="Arial" w:cs="Arial" w:eastAsia="Arial" w:hAnsi="Arial"/>
                <w:sz w:val="17"/>
                <w:szCs w:val="17"/>
                <w:b w:val="1"/>
                <w:bCs w:val="1"/>
                <w:color w:val="auto"/>
                <w:w w:val="91"/>
              </w:rPr>
              <w:t>Paid-in</w:t>
            </w:r>
          </w:p>
        </w:tc>
        <w:tc>
          <w:tcPr>
            <w:tcW w:w="780" w:type="dxa"/>
            <w:vAlign w:val="bottom"/>
            <w:gridSpan w:val="7"/>
            <w:shd w:val="clear" w:color="auto" w:fill="C0C0C0"/>
          </w:tcPr>
          <w:p>
            <w:pPr>
              <w:jc w:val="right"/>
              <w:ind w:right="140"/>
              <w:spacing w:after="0"/>
              <w:rPr>
                <w:sz w:val="20"/>
                <w:szCs w:val="20"/>
                <w:color w:val="auto"/>
              </w:rPr>
            </w:pPr>
            <w:r>
              <w:rPr>
                <w:rFonts w:ascii="Arial" w:cs="Arial" w:eastAsia="Arial" w:hAnsi="Arial"/>
                <w:sz w:val="17"/>
                <w:szCs w:val="17"/>
                <w:b w:val="1"/>
                <w:bCs w:val="1"/>
                <w:color w:val="auto"/>
                <w:w w:val="86"/>
              </w:rPr>
              <w:t>Retained</w:t>
            </w:r>
          </w:p>
        </w:tc>
        <w:tc>
          <w:tcPr>
            <w:tcW w:w="1640" w:type="dxa"/>
            <w:vAlign w:val="bottom"/>
            <w:gridSpan w:val="9"/>
            <w:shd w:val="clear" w:color="auto" w:fill="C0C0C0"/>
          </w:tcPr>
          <w:p>
            <w:pPr>
              <w:ind w:left="60"/>
              <w:spacing w:after="0"/>
              <w:rPr>
                <w:sz w:val="20"/>
                <w:szCs w:val="20"/>
                <w:color w:val="auto"/>
              </w:rPr>
            </w:pPr>
            <w:r>
              <w:rPr>
                <w:rFonts w:ascii="Arial" w:cs="Arial" w:eastAsia="Arial" w:hAnsi="Arial"/>
                <w:sz w:val="17"/>
                <w:szCs w:val="17"/>
                <w:b w:val="1"/>
                <w:bCs w:val="1"/>
                <w:color w:val="auto"/>
              </w:rPr>
              <w:t>Comprehensive</w:t>
            </w:r>
          </w:p>
        </w:tc>
        <w:tc>
          <w:tcPr>
            <w:tcW w:w="10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0" w:type="dxa"/>
            <w:vAlign w:val="bottom"/>
            <w:tcBorders>
              <w:right w:val="single" w:sz="8" w:color="C0C0C0"/>
            </w:tcBorders>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40" w:type="dxa"/>
            <w:vAlign w:val="bottom"/>
            <w:tcBorders>
              <w:right w:val="single" w:sz="8" w:color="C0C0C0"/>
            </w:tcBorders>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200" w:type="dxa"/>
            <w:vAlign w:val="bottom"/>
            <w:tcBorders>
              <w:right w:val="single" w:sz="8" w:color="C0C0C0"/>
            </w:tcBorders>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0C0C0"/>
          </w:tcPr>
          <w:p>
            <w:pPr>
              <w:spacing w:after="0"/>
              <w:rPr>
                <w:sz w:val="15"/>
                <w:szCs w:val="15"/>
                <w:color w:val="auto"/>
              </w:rPr>
            </w:pPr>
          </w:p>
        </w:tc>
        <w:tc>
          <w:tcPr>
            <w:tcW w:w="580" w:type="dxa"/>
            <w:vAlign w:val="bottom"/>
            <w:gridSpan w:val="5"/>
            <w:shd w:val="clear" w:color="auto" w:fill="C0C0C0"/>
          </w:tcPr>
          <w:p>
            <w:pPr>
              <w:jc w:val="right"/>
              <w:ind w:right="100"/>
              <w:spacing w:after="0" w:line="183" w:lineRule="exact"/>
              <w:rPr>
                <w:sz w:val="20"/>
                <w:szCs w:val="20"/>
                <w:color w:val="auto"/>
              </w:rPr>
            </w:pPr>
            <w:r>
              <w:rPr>
                <w:rFonts w:ascii="Arial" w:cs="Arial" w:eastAsia="Arial" w:hAnsi="Arial"/>
                <w:sz w:val="17"/>
                <w:szCs w:val="17"/>
                <w:b w:val="1"/>
                <w:bCs w:val="1"/>
                <w:color w:val="auto"/>
                <w:w w:val="81"/>
              </w:rPr>
              <w:t>Shares</w:t>
            </w:r>
          </w:p>
        </w:tc>
        <w:tc>
          <w:tcPr>
            <w:tcW w:w="1020" w:type="dxa"/>
            <w:vAlign w:val="bottom"/>
            <w:gridSpan w:val="5"/>
            <w:shd w:val="clear" w:color="auto" w:fill="C0C0C0"/>
          </w:tcPr>
          <w:p>
            <w:pPr>
              <w:jc w:val="right"/>
              <w:ind w:right="60"/>
              <w:spacing w:after="0" w:line="183" w:lineRule="exact"/>
              <w:rPr>
                <w:sz w:val="20"/>
                <w:szCs w:val="20"/>
                <w:color w:val="auto"/>
              </w:rPr>
            </w:pPr>
            <w:r>
              <w:rPr>
                <w:rFonts w:ascii="Arial" w:cs="Arial" w:eastAsia="Arial" w:hAnsi="Arial"/>
                <w:sz w:val="17"/>
                <w:szCs w:val="17"/>
                <w:b w:val="1"/>
                <w:bCs w:val="1"/>
                <w:color w:val="auto"/>
              </w:rPr>
              <w:t>Par Value</w:t>
            </w:r>
          </w:p>
        </w:tc>
        <w:tc>
          <w:tcPr>
            <w:tcW w:w="1340" w:type="dxa"/>
            <w:vAlign w:val="bottom"/>
            <w:gridSpan w:val="7"/>
            <w:shd w:val="clear" w:color="auto" w:fill="C0C0C0"/>
          </w:tcPr>
          <w:p>
            <w:pPr>
              <w:jc w:val="center"/>
              <w:ind w:right="100"/>
              <w:spacing w:after="0" w:line="183" w:lineRule="exact"/>
              <w:rPr>
                <w:sz w:val="20"/>
                <w:szCs w:val="20"/>
                <w:color w:val="auto"/>
              </w:rPr>
            </w:pPr>
            <w:r>
              <w:rPr>
                <w:rFonts w:ascii="Arial" w:cs="Arial" w:eastAsia="Arial" w:hAnsi="Arial"/>
                <w:sz w:val="17"/>
                <w:szCs w:val="17"/>
                <w:b w:val="1"/>
                <w:bCs w:val="1"/>
                <w:color w:val="auto"/>
                <w:w w:val="91"/>
              </w:rPr>
              <w:t>Capital</w:t>
            </w:r>
          </w:p>
        </w:tc>
        <w:tc>
          <w:tcPr>
            <w:tcW w:w="780" w:type="dxa"/>
            <w:vAlign w:val="bottom"/>
            <w:gridSpan w:val="7"/>
            <w:shd w:val="clear" w:color="auto" w:fill="C0C0C0"/>
          </w:tcPr>
          <w:p>
            <w:pPr>
              <w:jc w:val="right"/>
              <w:ind w:right="120"/>
              <w:spacing w:after="0" w:line="183" w:lineRule="exact"/>
              <w:rPr>
                <w:sz w:val="20"/>
                <w:szCs w:val="20"/>
                <w:color w:val="auto"/>
              </w:rPr>
            </w:pPr>
            <w:r>
              <w:rPr>
                <w:rFonts w:ascii="Arial" w:cs="Arial" w:eastAsia="Arial" w:hAnsi="Arial"/>
                <w:sz w:val="17"/>
                <w:szCs w:val="17"/>
                <w:b w:val="1"/>
                <w:bCs w:val="1"/>
                <w:color w:val="auto"/>
                <w:w w:val="87"/>
              </w:rPr>
              <w:t>Earnings</w:t>
            </w:r>
          </w:p>
        </w:tc>
        <w:tc>
          <w:tcPr>
            <w:tcW w:w="160" w:type="dxa"/>
            <w:vAlign w:val="bottom"/>
            <w:shd w:val="clear" w:color="auto" w:fill="C0C0C0"/>
          </w:tcPr>
          <w:p>
            <w:pPr>
              <w:spacing w:after="0"/>
              <w:rPr>
                <w:sz w:val="15"/>
                <w:szCs w:val="15"/>
                <w:color w:val="auto"/>
              </w:rPr>
            </w:pPr>
          </w:p>
        </w:tc>
        <w:tc>
          <w:tcPr>
            <w:tcW w:w="1480" w:type="dxa"/>
            <w:vAlign w:val="bottom"/>
            <w:gridSpan w:val="8"/>
            <w:shd w:val="clear" w:color="auto" w:fill="C0C0C0"/>
          </w:tcPr>
          <w:p>
            <w:pPr>
              <w:jc w:val="center"/>
              <w:ind w:right="460"/>
              <w:spacing w:after="0" w:line="183" w:lineRule="exact"/>
              <w:rPr>
                <w:sz w:val="20"/>
                <w:szCs w:val="20"/>
                <w:color w:val="auto"/>
              </w:rPr>
            </w:pPr>
            <w:r>
              <w:rPr>
                <w:rFonts w:ascii="Arial" w:cs="Arial" w:eastAsia="Arial" w:hAnsi="Arial"/>
                <w:sz w:val="17"/>
                <w:szCs w:val="17"/>
                <w:b w:val="1"/>
                <w:bCs w:val="1"/>
                <w:color w:val="auto"/>
                <w:w w:val="88"/>
              </w:rPr>
              <w:t>Income (Loss)</w:t>
            </w:r>
          </w:p>
        </w:tc>
        <w:tc>
          <w:tcPr>
            <w:tcW w:w="780" w:type="dxa"/>
            <w:vAlign w:val="bottom"/>
            <w:gridSpan w:val="7"/>
            <w:shd w:val="clear" w:color="auto" w:fill="C0C0C0"/>
          </w:tcPr>
          <w:p>
            <w:pPr>
              <w:jc w:val="right"/>
              <w:ind w:right="300"/>
              <w:spacing w:after="0" w:line="183" w:lineRule="exact"/>
              <w:rPr>
                <w:sz w:val="20"/>
                <w:szCs w:val="20"/>
                <w:color w:val="auto"/>
              </w:rPr>
            </w:pPr>
            <w:r>
              <w:rPr>
                <w:rFonts w:ascii="Arial" w:cs="Arial" w:eastAsia="Arial" w:hAnsi="Arial"/>
                <w:sz w:val="17"/>
                <w:szCs w:val="17"/>
                <w:b w:val="1"/>
                <w:bCs w:val="1"/>
                <w:color w:val="auto"/>
                <w:w w:val="81"/>
              </w:rPr>
              <w:t>Shares</w:t>
            </w:r>
          </w:p>
        </w:tc>
        <w:tc>
          <w:tcPr>
            <w:tcW w:w="18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700" w:type="dxa"/>
            <w:vAlign w:val="bottom"/>
            <w:gridSpan w:val="7"/>
            <w:shd w:val="clear" w:color="auto" w:fill="C0C0C0"/>
          </w:tcPr>
          <w:p>
            <w:pPr>
              <w:jc w:val="right"/>
              <w:ind w:right="300"/>
              <w:spacing w:after="0" w:line="183" w:lineRule="exact"/>
              <w:rPr>
                <w:sz w:val="20"/>
                <w:szCs w:val="20"/>
                <w:color w:val="auto"/>
              </w:rPr>
            </w:pPr>
            <w:r>
              <w:rPr>
                <w:rFonts w:ascii="Arial" w:cs="Arial" w:eastAsia="Arial" w:hAnsi="Arial"/>
                <w:sz w:val="17"/>
                <w:szCs w:val="17"/>
                <w:b w:val="1"/>
                <w:bCs w:val="1"/>
                <w:color w:val="auto"/>
              </w:rPr>
              <w:t>Cost</w:t>
            </w:r>
          </w:p>
        </w:tc>
        <w:tc>
          <w:tcPr>
            <w:tcW w:w="240" w:type="dxa"/>
            <w:vAlign w:val="bottom"/>
            <w:shd w:val="clear" w:color="auto" w:fill="C0C0C0"/>
          </w:tcPr>
          <w:p>
            <w:pPr>
              <w:spacing w:after="0"/>
              <w:rPr>
                <w:sz w:val="15"/>
                <w:szCs w:val="15"/>
                <w:color w:val="auto"/>
              </w:rPr>
            </w:pPr>
          </w:p>
        </w:tc>
        <w:tc>
          <w:tcPr>
            <w:tcW w:w="20" w:type="dxa"/>
            <w:vAlign w:val="bottom"/>
            <w:shd w:val="clear" w:color="auto" w:fill="C0C0C0"/>
          </w:tcPr>
          <w:p>
            <w:pPr>
              <w:spacing w:after="0"/>
              <w:rPr>
                <w:sz w:val="15"/>
                <w:szCs w:val="15"/>
                <w:color w:val="auto"/>
              </w:rPr>
            </w:pPr>
          </w:p>
        </w:tc>
        <w:tc>
          <w:tcPr>
            <w:tcW w:w="660" w:type="dxa"/>
            <w:vAlign w:val="bottom"/>
            <w:gridSpan w:val="6"/>
            <w:shd w:val="clear" w:color="auto" w:fill="C0C0C0"/>
          </w:tcPr>
          <w:p>
            <w:pPr>
              <w:ind w:left="20"/>
              <w:spacing w:after="0" w:line="183" w:lineRule="exact"/>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85"/>
        </w:trPr>
        <w:tc>
          <w:tcPr>
            <w:tcW w:w="3340" w:type="dxa"/>
            <w:vAlign w:val="bottom"/>
            <w:tcBorders>
              <w:top w:val="single" w:sz="8" w:color="C0C0C0"/>
            </w:tcBorders>
            <w:shd w:val="clear" w:color="auto" w:fill="C0C0C0"/>
          </w:tcPr>
          <w:p>
            <w:pPr>
              <w:spacing w:after="0"/>
              <w:rPr>
                <w:sz w:val="7"/>
                <w:szCs w:val="7"/>
                <w:color w:val="auto"/>
              </w:rPr>
            </w:pPr>
          </w:p>
        </w:tc>
        <w:tc>
          <w:tcPr>
            <w:tcW w:w="480" w:type="dxa"/>
            <w:vAlign w:val="bottom"/>
            <w:tcBorders>
              <w:top w:val="single" w:sz="8" w:color="auto"/>
            </w:tcBorders>
            <w:gridSpan w:val="4"/>
            <w:shd w:val="clear" w:color="auto" w:fill="C0C0C0"/>
          </w:tcPr>
          <w:p>
            <w:pPr>
              <w:spacing w:after="0"/>
              <w:rPr>
                <w:sz w:val="7"/>
                <w:szCs w:val="7"/>
                <w:color w:val="auto"/>
              </w:rPr>
            </w:pPr>
          </w:p>
        </w:tc>
        <w:tc>
          <w:tcPr>
            <w:tcW w:w="340" w:type="dxa"/>
            <w:vAlign w:val="bottom"/>
            <w:tcBorders>
              <w:top w:val="single" w:sz="8" w:color="C0C0C0"/>
            </w:tcBorders>
            <w:gridSpan w:val="2"/>
            <w:shd w:val="clear" w:color="auto" w:fill="C0C0C0"/>
          </w:tcPr>
          <w:p>
            <w:pPr>
              <w:spacing w:after="0"/>
              <w:rPr>
                <w:sz w:val="7"/>
                <w:szCs w:val="7"/>
                <w:color w:val="auto"/>
              </w:rPr>
            </w:pPr>
          </w:p>
        </w:tc>
        <w:tc>
          <w:tcPr>
            <w:tcW w:w="720" w:type="dxa"/>
            <w:vAlign w:val="bottom"/>
            <w:tcBorders>
              <w:top w:val="single" w:sz="8" w:color="auto"/>
            </w:tcBorders>
            <w:gridSpan w:val="3"/>
            <w:shd w:val="clear" w:color="auto" w:fill="C0C0C0"/>
          </w:tcPr>
          <w:p>
            <w:pPr>
              <w:spacing w:after="0"/>
              <w:rPr>
                <w:sz w:val="7"/>
                <w:szCs w:val="7"/>
                <w:color w:val="auto"/>
              </w:rPr>
            </w:pPr>
          </w:p>
        </w:tc>
        <w:tc>
          <w:tcPr>
            <w:tcW w:w="420" w:type="dxa"/>
            <w:vAlign w:val="bottom"/>
            <w:tcBorders>
              <w:top w:val="single" w:sz="8" w:color="C0C0C0"/>
            </w:tcBorders>
            <w:gridSpan w:val="2"/>
            <w:shd w:val="clear" w:color="auto" w:fill="C0C0C0"/>
          </w:tcPr>
          <w:p>
            <w:pPr>
              <w:spacing w:after="0"/>
              <w:rPr>
                <w:sz w:val="7"/>
                <w:szCs w:val="7"/>
                <w:color w:val="auto"/>
              </w:rPr>
            </w:pPr>
          </w:p>
        </w:tc>
        <w:tc>
          <w:tcPr>
            <w:tcW w:w="260" w:type="dxa"/>
            <w:vAlign w:val="bottom"/>
            <w:tcBorders>
              <w:top w:val="single" w:sz="8" w:color="auto"/>
              <w:right w:val="single" w:sz="8" w:color="C0C0C0"/>
            </w:tcBorders>
            <w:gridSpan w:val="3"/>
            <w:shd w:val="clear" w:color="auto" w:fill="C0C0C0"/>
          </w:tcPr>
          <w:p>
            <w:pPr>
              <w:spacing w:after="0"/>
              <w:rPr>
                <w:sz w:val="7"/>
                <w:szCs w:val="7"/>
                <w:color w:val="auto"/>
              </w:rPr>
            </w:pPr>
          </w:p>
        </w:tc>
        <w:tc>
          <w:tcPr>
            <w:tcW w:w="260" w:type="dxa"/>
            <w:vAlign w:val="bottom"/>
            <w:tcBorders>
              <w:top w:val="single" w:sz="8" w:color="auto"/>
            </w:tcBorders>
            <w:shd w:val="clear" w:color="auto" w:fill="C0C0C0"/>
          </w:tcPr>
          <w:p>
            <w:pPr>
              <w:spacing w:after="0"/>
              <w:rPr>
                <w:sz w:val="7"/>
                <w:szCs w:val="7"/>
                <w:color w:val="auto"/>
              </w:rPr>
            </w:pPr>
          </w:p>
        </w:tc>
        <w:tc>
          <w:tcPr>
            <w:tcW w:w="460" w:type="dxa"/>
            <w:vAlign w:val="bottom"/>
            <w:tcBorders>
              <w:top w:val="single" w:sz="8" w:color="C0C0C0"/>
            </w:tcBorders>
            <w:gridSpan w:val="2"/>
            <w:shd w:val="clear" w:color="auto" w:fill="C0C0C0"/>
          </w:tcPr>
          <w:p>
            <w:pPr>
              <w:spacing w:after="0"/>
              <w:rPr>
                <w:sz w:val="7"/>
                <w:szCs w:val="7"/>
                <w:color w:val="auto"/>
              </w:rPr>
            </w:pPr>
          </w:p>
        </w:tc>
        <w:tc>
          <w:tcPr>
            <w:tcW w:w="300" w:type="dxa"/>
            <w:vAlign w:val="bottom"/>
            <w:tcBorders>
              <w:top w:val="single" w:sz="8" w:color="auto"/>
              <w:right w:val="single" w:sz="8" w:color="C0C0C0"/>
            </w:tcBorders>
            <w:gridSpan w:val="3"/>
            <w:shd w:val="clear" w:color="auto" w:fill="C0C0C0"/>
          </w:tcPr>
          <w:p>
            <w:pPr>
              <w:spacing w:after="0"/>
              <w:rPr>
                <w:sz w:val="7"/>
                <w:szCs w:val="7"/>
                <w:color w:val="auto"/>
              </w:rPr>
            </w:pPr>
          </w:p>
        </w:tc>
        <w:tc>
          <w:tcPr>
            <w:tcW w:w="360" w:type="dxa"/>
            <w:vAlign w:val="bottom"/>
            <w:tcBorders>
              <w:top w:val="single" w:sz="8" w:color="auto"/>
            </w:tcBorders>
            <w:shd w:val="clear" w:color="auto" w:fill="C0C0C0"/>
          </w:tcPr>
          <w:p>
            <w:pPr>
              <w:spacing w:after="0"/>
              <w:rPr>
                <w:sz w:val="7"/>
                <w:szCs w:val="7"/>
                <w:color w:val="auto"/>
              </w:rPr>
            </w:pPr>
          </w:p>
        </w:tc>
        <w:tc>
          <w:tcPr>
            <w:tcW w:w="280" w:type="dxa"/>
            <w:vAlign w:val="bottom"/>
            <w:tcBorders>
              <w:top w:val="single" w:sz="8" w:color="C0C0C0"/>
            </w:tcBorders>
            <w:gridSpan w:val="4"/>
            <w:shd w:val="clear" w:color="auto" w:fill="C0C0C0"/>
          </w:tcPr>
          <w:p>
            <w:pPr>
              <w:spacing w:after="0"/>
              <w:rPr>
                <w:sz w:val="7"/>
                <w:szCs w:val="7"/>
                <w:color w:val="auto"/>
              </w:rPr>
            </w:pPr>
          </w:p>
        </w:tc>
        <w:tc>
          <w:tcPr>
            <w:tcW w:w="1040" w:type="dxa"/>
            <w:vAlign w:val="bottom"/>
            <w:tcBorders>
              <w:top w:val="single" w:sz="8" w:color="auto"/>
              <w:right w:val="single" w:sz="8" w:color="C0C0C0"/>
            </w:tcBorders>
            <w:gridSpan w:val="7"/>
            <w:shd w:val="clear" w:color="auto" w:fill="C0C0C0"/>
          </w:tcPr>
          <w:p>
            <w:pPr>
              <w:spacing w:after="0"/>
              <w:rPr>
                <w:sz w:val="7"/>
                <w:szCs w:val="7"/>
                <w:color w:val="auto"/>
              </w:rPr>
            </w:pPr>
          </w:p>
        </w:tc>
        <w:tc>
          <w:tcPr>
            <w:tcW w:w="440" w:type="dxa"/>
            <w:vAlign w:val="bottom"/>
            <w:tcBorders>
              <w:top w:val="single" w:sz="8" w:color="C0C0C0"/>
            </w:tcBorders>
            <w:shd w:val="clear" w:color="auto" w:fill="C0C0C0"/>
          </w:tcPr>
          <w:p>
            <w:pPr>
              <w:spacing w:after="0"/>
              <w:rPr>
                <w:sz w:val="7"/>
                <w:szCs w:val="7"/>
                <w:color w:val="auto"/>
              </w:rPr>
            </w:pPr>
          </w:p>
        </w:tc>
        <w:tc>
          <w:tcPr>
            <w:tcW w:w="480" w:type="dxa"/>
            <w:vAlign w:val="bottom"/>
            <w:tcBorders>
              <w:top w:val="single" w:sz="8" w:color="auto"/>
            </w:tcBorders>
            <w:gridSpan w:val="5"/>
            <w:shd w:val="clear" w:color="auto" w:fill="C0C0C0"/>
          </w:tcPr>
          <w:p>
            <w:pPr>
              <w:spacing w:after="0"/>
              <w:rPr>
                <w:sz w:val="7"/>
                <w:szCs w:val="7"/>
                <w:color w:val="auto"/>
              </w:rPr>
            </w:pPr>
          </w:p>
        </w:tc>
        <w:tc>
          <w:tcPr>
            <w:tcW w:w="80" w:type="dxa"/>
            <w:vAlign w:val="bottom"/>
            <w:tcBorders>
              <w:top w:val="single" w:sz="8" w:color="C0C0C0"/>
              <w:right w:val="single" w:sz="8" w:color="C0C0C0"/>
            </w:tcBorders>
            <w:shd w:val="clear" w:color="auto" w:fill="C0C0C0"/>
          </w:tcPr>
          <w:p>
            <w:pPr>
              <w:spacing w:after="0"/>
              <w:rPr>
                <w:sz w:val="7"/>
                <w:szCs w:val="7"/>
                <w:color w:val="auto"/>
              </w:rPr>
            </w:pPr>
          </w:p>
        </w:tc>
        <w:tc>
          <w:tcPr>
            <w:tcW w:w="620" w:type="dxa"/>
            <w:vAlign w:val="bottom"/>
            <w:tcBorders>
              <w:top w:val="single" w:sz="8" w:color="C0C0C0"/>
            </w:tcBorders>
            <w:gridSpan w:val="5"/>
            <w:shd w:val="clear" w:color="auto" w:fill="C0C0C0"/>
          </w:tcPr>
          <w:p>
            <w:pPr>
              <w:spacing w:after="0"/>
              <w:rPr>
                <w:sz w:val="7"/>
                <w:szCs w:val="7"/>
                <w:color w:val="auto"/>
              </w:rPr>
            </w:pPr>
          </w:p>
        </w:tc>
        <w:tc>
          <w:tcPr>
            <w:tcW w:w="320" w:type="dxa"/>
            <w:vAlign w:val="bottom"/>
            <w:tcBorders>
              <w:top w:val="single" w:sz="8" w:color="auto"/>
            </w:tcBorders>
            <w:gridSpan w:val="3"/>
            <w:shd w:val="clear" w:color="auto" w:fill="C0C0C0"/>
          </w:tcPr>
          <w:p>
            <w:pPr>
              <w:spacing w:after="0"/>
              <w:rPr>
                <w:sz w:val="7"/>
                <w:szCs w:val="7"/>
                <w:color w:val="auto"/>
              </w:rPr>
            </w:pPr>
          </w:p>
        </w:tc>
        <w:tc>
          <w:tcPr>
            <w:tcW w:w="100" w:type="dxa"/>
            <w:vAlign w:val="bottom"/>
            <w:tcBorders>
              <w:top w:val="single" w:sz="8" w:color="C0C0C0"/>
              <w:right w:val="single" w:sz="8" w:color="C0C0C0"/>
            </w:tcBorders>
            <w:gridSpan w:val="2"/>
            <w:shd w:val="clear" w:color="auto" w:fill="C0C0C0"/>
          </w:tcPr>
          <w:p>
            <w:pPr>
              <w:spacing w:after="0"/>
              <w:rPr>
                <w:sz w:val="7"/>
                <w:szCs w:val="7"/>
                <w:color w:val="auto"/>
              </w:rPr>
            </w:pPr>
          </w:p>
        </w:tc>
        <w:tc>
          <w:tcPr>
            <w:tcW w:w="480" w:type="dxa"/>
            <w:vAlign w:val="bottom"/>
            <w:tcBorders>
              <w:top w:val="single" w:sz="8" w:color="C0C0C0"/>
            </w:tcBorders>
            <w:gridSpan w:val="4"/>
            <w:shd w:val="clear" w:color="auto" w:fill="C0C0C0"/>
          </w:tcPr>
          <w:p>
            <w:pPr>
              <w:spacing w:after="0"/>
              <w:rPr>
                <w:sz w:val="7"/>
                <w:szCs w:val="7"/>
                <w:color w:val="auto"/>
              </w:rPr>
            </w:pPr>
          </w:p>
        </w:tc>
        <w:tc>
          <w:tcPr>
            <w:tcW w:w="380" w:type="dxa"/>
            <w:vAlign w:val="bottom"/>
            <w:tcBorders>
              <w:top w:val="single" w:sz="8" w:color="auto"/>
            </w:tcBorders>
            <w:gridSpan w:val="3"/>
            <w:shd w:val="clear" w:color="auto" w:fill="C0C0C0"/>
          </w:tcPr>
          <w:p>
            <w:pPr>
              <w:spacing w:after="0"/>
              <w:rPr>
                <w:sz w:val="7"/>
                <w:szCs w:val="7"/>
                <w:color w:val="auto"/>
              </w:rPr>
            </w:pPr>
          </w:p>
        </w:tc>
        <w:tc>
          <w:tcPr>
            <w:tcW w:w="200" w:type="dxa"/>
            <w:vAlign w:val="bottom"/>
            <w:tcBorders>
              <w:top w:val="single" w:sz="8" w:color="C0C0C0"/>
              <w:right w:val="single" w:sz="8" w:color="C0C0C0"/>
            </w:tcBorders>
            <w:shd w:val="clear" w:color="auto" w:fill="C0C0C0"/>
          </w:tcPr>
          <w:p>
            <w:pPr>
              <w:spacing w:after="0"/>
              <w:rPr>
                <w:sz w:val="7"/>
                <w:szCs w:val="7"/>
                <w:color w:val="auto"/>
              </w:rPr>
            </w:pPr>
          </w:p>
        </w:tc>
        <w:tc>
          <w:tcPr>
            <w:tcW w:w="60" w:type="dxa"/>
            <w:vAlign w:val="bottom"/>
            <w:tcBorders>
              <w:top w:val="single" w:sz="8" w:color="C0C0C0"/>
            </w:tcBorders>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1420" w:type="dxa"/>
            <w:vAlign w:val="bottom"/>
            <w:gridSpan w:val="59"/>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5560" w:type="dxa"/>
            <w:vAlign w:val="bottom"/>
            <w:tcBorders>
              <w:right w:val="single" w:sz="8" w:color="C0C0C0"/>
            </w:tcBorders>
            <w:gridSpan w:val="15"/>
            <w:shd w:val="clear" w:color="auto" w:fill="C0C0C0"/>
          </w:tcPr>
          <w:p>
            <w:pPr>
              <w:ind w:left="80"/>
              <w:spacing w:after="0"/>
              <w:rPr>
                <w:sz w:val="20"/>
                <w:szCs w:val="20"/>
                <w:color w:val="auto"/>
              </w:rPr>
            </w:pPr>
            <w:r>
              <w:rPr>
                <w:rFonts w:ascii="Arial" w:cs="Arial" w:eastAsia="Arial" w:hAnsi="Arial"/>
                <w:sz w:val="17"/>
                <w:szCs w:val="17"/>
                <w:b w:val="1"/>
                <w:bCs w:val="1"/>
                <w:color w:val="auto"/>
              </w:rPr>
              <w:t>Balance as of</w:t>
            </w:r>
          </w:p>
        </w:tc>
        <w:tc>
          <w:tcPr>
            <w:tcW w:w="1020" w:type="dxa"/>
            <w:vAlign w:val="bottom"/>
            <w:tcBorders>
              <w:right w:val="single" w:sz="8" w:color="C0C0C0"/>
            </w:tcBorders>
            <w:gridSpan w:val="6"/>
            <w:shd w:val="clear" w:color="auto" w:fill="C0C0C0"/>
          </w:tcPr>
          <w:p>
            <w:pPr>
              <w:spacing w:after="0"/>
              <w:rPr>
                <w:sz w:val="22"/>
                <w:szCs w:val="22"/>
                <w:color w:val="auto"/>
              </w:rPr>
            </w:pPr>
          </w:p>
        </w:tc>
        <w:tc>
          <w:tcPr>
            <w:tcW w:w="1680" w:type="dxa"/>
            <w:vAlign w:val="bottom"/>
            <w:tcBorders>
              <w:right w:val="single" w:sz="8" w:color="C0C0C0"/>
            </w:tcBorders>
            <w:gridSpan w:val="12"/>
            <w:shd w:val="clear" w:color="auto" w:fill="C0C0C0"/>
          </w:tcPr>
          <w:p>
            <w:pPr>
              <w:spacing w:after="0"/>
              <w:rPr>
                <w:sz w:val="22"/>
                <w:szCs w:val="22"/>
                <w:color w:val="auto"/>
              </w:rPr>
            </w:pPr>
          </w:p>
        </w:tc>
        <w:tc>
          <w:tcPr>
            <w:tcW w:w="1000" w:type="dxa"/>
            <w:vAlign w:val="bottom"/>
            <w:tcBorders>
              <w:right w:val="single" w:sz="8" w:color="C0C0C0"/>
            </w:tcBorders>
            <w:gridSpan w:val="7"/>
            <w:shd w:val="clear" w:color="auto" w:fill="C0C0C0"/>
          </w:tcPr>
          <w:p>
            <w:pPr>
              <w:spacing w:after="0"/>
              <w:rPr>
                <w:sz w:val="22"/>
                <w:szCs w:val="22"/>
                <w:color w:val="auto"/>
              </w:rPr>
            </w:pPr>
          </w:p>
        </w:tc>
        <w:tc>
          <w:tcPr>
            <w:tcW w:w="1040" w:type="dxa"/>
            <w:vAlign w:val="bottom"/>
            <w:tcBorders>
              <w:right w:val="single" w:sz="8" w:color="C0C0C0"/>
            </w:tcBorders>
            <w:gridSpan w:val="10"/>
            <w:shd w:val="clear" w:color="auto" w:fill="C0C0C0"/>
          </w:tcPr>
          <w:p>
            <w:pPr>
              <w:spacing w:after="0"/>
              <w:rPr>
                <w:sz w:val="22"/>
                <w:szCs w:val="22"/>
                <w:color w:val="auto"/>
              </w:rPr>
            </w:pPr>
          </w:p>
        </w:tc>
        <w:tc>
          <w:tcPr>
            <w:tcW w:w="1060" w:type="dxa"/>
            <w:vAlign w:val="bottom"/>
            <w:tcBorders>
              <w:right w:val="single" w:sz="8" w:color="C0C0C0"/>
            </w:tcBorders>
            <w:gridSpan w:val="8"/>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0C0C0"/>
          </w:tcPr>
          <w:p>
            <w:pPr>
              <w:ind w:left="200"/>
              <w:spacing w:after="0" w:line="183" w:lineRule="exact"/>
              <w:rPr>
                <w:sz w:val="20"/>
                <w:szCs w:val="20"/>
                <w:color w:val="auto"/>
              </w:rPr>
            </w:pPr>
            <w:r>
              <w:rPr>
                <w:rFonts w:ascii="Arial" w:cs="Arial" w:eastAsia="Arial" w:hAnsi="Arial"/>
                <w:sz w:val="17"/>
                <w:szCs w:val="17"/>
                <w:b w:val="1"/>
                <w:bCs w:val="1"/>
                <w:color w:val="auto"/>
              </w:rPr>
              <w:t>January 1, 1998</w:t>
            </w:r>
          </w:p>
        </w:tc>
        <w:tc>
          <w:tcPr>
            <w:tcW w:w="580" w:type="dxa"/>
            <w:vAlign w:val="bottom"/>
            <w:gridSpan w:val="5"/>
            <w:shd w:val="clear" w:color="auto" w:fill="C0C0C0"/>
          </w:tcPr>
          <w:p>
            <w:pPr>
              <w:jc w:val="right"/>
              <w:spacing w:after="0" w:line="183" w:lineRule="exact"/>
              <w:rPr>
                <w:sz w:val="20"/>
                <w:szCs w:val="20"/>
                <w:color w:val="auto"/>
              </w:rPr>
            </w:pPr>
            <w:r>
              <w:rPr>
                <w:rFonts w:ascii="Arial" w:cs="Arial" w:eastAsia="Arial" w:hAnsi="Arial"/>
                <w:sz w:val="17"/>
                <w:szCs w:val="17"/>
                <w:b w:val="1"/>
                <w:bCs w:val="1"/>
                <w:color w:val="auto"/>
              </w:rPr>
              <w:t>25,370</w:t>
            </w:r>
          </w:p>
        </w:tc>
        <w:tc>
          <w:tcPr>
            <w:tcW w:w="1020" w:type="dxa"/>
            <w:vAlign w:val="bottom"/>
            <w:gridSpan w:val="5"/>
            <w:shd w:val="clear" w:color="auto" w:fill="C0C0C0"/>
          </w:tcPr>
          <w:p>
            <w:pPr>
              <w:jc w:val="right"/>
              <w:spacing w:after="0" w:line="183" w:lineRule="exact"/>
              <w:rPr>
                <w:sz w:val="20"/>
                <w:szCs w:val="20"/>
                <w:color w:val="auto"/>
              </w:rPr>
            </w:pPr>
            <w:r>
              <w:rPr>
                <w:rFonts w:ascii="Arial" w:cs="Arial" w:eastAsia="Arial" w:hAnsi="Arial"/>
                <w:sz w:val="17"/>
                <w:szCs w:val="17"/>
                <w:b w:val="1"/>
                <w:bCs w:val="1"/>
                <w:color w:val="auto"/>
              </w:rPr>
              <w:t>$2,537</w:t>
            </w:r>
          </w:p>
        </w:tc>
        <w:tc>
          <w:tcPr>
            <w:tcW w:w="1340" w:type="dxa"/>
            <w:vAlign w:val="bottom"/>
            <w:gridSpan w:val="7"/>
            <w:shd w:val="clear" w:color="auto" w:fill="C0C0C0"/>
          </w:tcPr>
          <w:p>
            <w:pPr>
              <w:jc w:val="right"/>
              <w:ind w:right="320"/>
              <w:spacing w:after="0" w:line="183" w:lineRule="exact"/>
              <w:rPr>
                <w:sz w:val="20"/>
                <w:szCs w:val="20"/>
                <w:color w:val="auto"/>
              </w:rPr>
            </w:pPr>
            <w:r>
              <w:rPr>
                <w:rFonts w:ascii="Arial" w:cs="Arial" w:eastAsia="Arial" w:hAnsi="Arial"/>
                <w:sz w:val="17"/>
                <w:szCs w:val="17"/>
                <w:b w:val="1"/>
                <w:bCs w:val="1"/>
                <w:color w:val="auto"/>
              </w:rPr>
              <w:t>$139,113</w:t>
            </w:r>
          </w:p>
        </w:tc>
        <w:tc>
          <w:tcPr>
            <w:tcW w:w="780" w:type="dxa"/>
            <w:vAlign w:val="bottom"/>
            <w:gridSpan w:val="7"/>
            <w:shd w:val="clear" w:color="auto" w:fill="C0C0C0"/>
          </w:tcPr>
          <w:p>
            <w:pPr>
              <w:jc w:val="right"/>
              <w:ind w:right="80"/>
              <w:spacing w:after="0" w:line="183" w:lineRule="exact"/>
              <w:rPr>
                <w:sz w:val="20"/>
                <w:szCs w:val="20"/>
                <w:color w:val="auto"/>
              </w:rPr>
            </w:pPr>
            <w:r>
              <w:rPr>
                <w:rFonts w:ascii="Arial" w:cs="Arial" w:eastAsia="Arial" w:hAnsi="Arial"/>
                <w:sz w:val="17"/>
                <w:szCs w:val="17"/>
                <w:b w:val="1"/>
                <w:bCs w:val="1"/>
                <w:color w:val="auto"/>
                <w:w w:val="95"/>
              </w:rPr>
              <w:t>$412,264</w:t>
            </w:r>
          </w:p>
        </w:tc>
        <w:tc>
          <w:tcPr>
            <w:tcW w:w="1640" w:type="dxa"/>
            <w:vAlign w:val="bottom"/>
            <w:gridSpan w:val="9"/>
            <w:shd w:val="clear" w:color="auto" w:fill="C0C0C0"/>
          </w:tcPr>
          <w:p>
            <w:pPr>
              <w:jc w:val="right"/>
              <w:ind w:right="440"/>
              <w:spacing w:after="0" w:line="183" w:lineRule="exact"/>
              <w:rPr>
                <w:sz w:val="20"/>
                <w:szCs w:val="20"/>
                <w:color w:val="auto"/>
              </w:rPr>
            </w:pPr>
            <w:r>
              <w:rPr>
                <w:rFonts w:ascii="Arial" w:cs="Arial" w:eastAsia="Arial" w:hAnsi="Arial"/>
                <w:sz w:val="17"/>
                <w:szCs w:val="17"/>
                <w:b w:val="1"/>
                <w:bCs w:val="1"/>
                <w:color w:val="auto"/>
              </w:rPr>
              <w:t>$(14,344)</w:t>
            </w:r>
          </w:p>
        </w:tc>
        <w:tc>
          <w:tcPr>
            <w:tcW w:w="780" w:type="dxa"/>
            <w:vAlign w:val="bottom"/>
            <w:gridSpan w:val="7"/>
            <w:shd w:val="clear" w:color="auto" w:fill="C0C0C0"/>
          </w:tcPr>
          <w:p>
            <w:pPr>
              <w:jc w:val="right"/>
              <w:ind w:right="200"/>
              <w:spacing w:after="0" w:line="183" w:lineRule="exact"/>
              <w:rPr>
                <w:sz w:val="20"/>
                <w:szCs w:val="20"/>
                <w:color w:val="auto"/>
              </w:rPr>
            </w:pPr>
            <w:r>
              <w:rPr>
                <w:rFonts w:ascii="Arial" w:cs="Arial" w:eastAsia="Arial" w:hAnsi="Arial"/>
                <w:sz w:val="17"/>
                <w:szCs w:val="17"/>
                <w:b w:val="1"/>
                <w:bCs w:val="1"/>
                <w:color w:val="auto"/>
              </w:rPr>
              <w:t>(2,830)</w:t>
            </w:r>
          </w:p>
        </w:tc>
        <w:tc>
          <w:tcPr>
            <w:tcW w:w="1020" w:type="dxa"/>
            <w:vAlign w:val="bottom"/>
            <w:gridSpan w:val="10"/>
            <w:shd w:val="clear" w:color="auto" w:fill="C0C0C0"/>
          </w:tcPr>
          <w:p>
            <w:pPr>
              <w:jc w:val="right"/>
              <w:ind w:right="180"/>
              <w:spacing w:after="0" w:line="183" w:lineRule="exact"/>
              <w:rPr>
                <w:sz w:val="20"/>
                <w:szCs w:val="20"/>
                <w:color w:val="auto"/>
              </w:rPr>
            </w:pPr>
            <w:r>
              <w:rPr>
                <w:rFonts w:ascii="Arial" w:cs="Arial" w:eastAsia="Arial" w:hAnsi="Arial"/>
                <w:sz w:val="17"/>
                <w:szCs w:val="17"/>
                <w:b w:val="1"/>
                <w:bCs w:val="1"/>
                <w:color w:val="auto"/>
              </w:rPr>
              <w:t>$(72,573)</w:t>
            </w:r>
          </w:p>
        </w:tc>
        <w:tc>
          <w:tcPr>
            <w:tcW w:w="860" w:type="dxa"/>
            <w:vAlign w:val="bottom"/>
            <w:tcBorders>
              <w:right w:val="single" w:sz="8" w:color="C0C0C0"/>
            </w:tcBorders>
            <w:gridSpan w:val="7"/>
            <w:shd w:val="clear" w:color="auto" w:fill="C0C0C0"/>
          </w:tcPr>
          <w:p>
            <w:pPr>
              <w:jc w:val="right"/>
              <w:ind w:right="40"/>
              <w:spacing w:after="0" w:line="183" w:lineRule="exact"/>
              <w:rPr>
                <w:sz w:val="20"/>
                <w:szCs w:val="20"/>
                <w:color w:val="auto"/>
              </w:rPr>
            </w:pPr>
            <w:r>
              <w:rPr>
                <w:rFonts w:ascii="Arial" w:cs="Arial" w:eastAsia="Arial" w:hAnsi="Arial"/>
                <w:sz w:val="17"/>
                <w:szCs w:val="17"/>
                <w:b w:val="1"/>
                <w:bCs w:val="1"/>
                <w:color w:val="auto"/>
              </w:rPr>
              <w:t>$466,997</w:t>
            </w:r>
          </w:p>
        </w:tc>
        <w:tc>
          <w:tcPr>
            <w:tcW w:w="6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3460" w:type="dxa"/>
            <w:vAlign w:val="bottom"/>
            <w:tcBorders>
              <w:top w:val="single" w:sz="8" w:color="C0C0C0"/>
            </w:tcBorders>
            <w:gridSpan w:val="2"/>
            <w:shd w:val="clear" w:color="auto" w:fill="C0C0C0"/>
          </w:tcPr>
          <w:p>
            <w:pPr>
              <w:spacing w:after="0"/>
              <w:rPr>
                <w:sz w:val="7"/>
                <w:szCs w:val="7"/>
                <w:color w:val="auto"/>
              </w:rPr>
            </w:pPr>
          </w:p>
        </w:tc>
        <w:tc>
          <w:tcPr>
            <w:tcW w:w="460" w:type="dxa"/>
            <w:vAlign w:val="bottom"/>
            <w:tcBorders>
              <w:top w:val="single" w:sz="8" w:color="auto"/>
            </w:tcBorders>
            <w:gridSpan w:val="4"/>
            <w:shd w:val="clear" w:color="auto" w:fill="C0C0C0"/>
          </w:tcPr>
          <w:p>
            <w:pPr>
              <w:spacing w:after="0"/>
              <w:rPr>
                <w:sz w:val="7"/>
                <w:szCs w:val="7"/>
                <w:color w:val="auto"/>
              </w:rPr>
            </w:pPr>
          </w:p>
        </w:tc>
        <w:tc>
          <w:tcPr>
            <w:tcW w:w="640" w:type="dxa"/>
            <w:vAlign w:val="bottom"/>
            <w:tcBorders>
              <w:top w:val="single" w:sz="8" w:color="C0C0C0"/>
            </w:tcBorders>
            <w:gridSpan w:val="2"/>
            <w:shd w:val="clear" w:color="auto" w:fill="C0C0C0"/>
          </w:tcPr>
          <w:p>
            <w:pPr>
              <w:spacing w:after="0"/>
              <w:rPr>
                <w:sz w:val="7"/>
                <w:szCs w:val="7"/>
                <w:color w:val="auto"/>
              </w:rPr>
            </w:pPr>
          </w:p>
        </w:tc>
        <w:tc>
          <w:tcPr>
            <w:tcW w:w="380" w:type="dxa"/>
            <w:vAlign w:val="bottom"/>
            <w:tcBorders>
              <w:top w:val="single" w:sz="8" w:color="auto"/>
            </w:tcBorders>
            <w:gridSpan w:val="3"/>
            <w:shd w:val="clear" w:color="auto" w:fill="C0C0C0"/>
          </w:tcPr>
          <w:p>
            <w:pPr>
              <w:spacing w:after="0"/>
              <w:rPr>
                <w:sz w:val="7"/>
                <w:szCs w:val="7"/>
                <w:color w:val="auto"/>
              </w:rPr>
            </w:pPr>
          </w:p>
        </w:tc>
        <w:tc>
          <w:tcPr>
            <w:tcW w:w="480" w:type="dxa"/>
            <w:vAlign w:val="bottom"/>
            <w:tcBorders>
              <w:top w:val="single" w:sz="8" w:color="C0C0C0"/>
            </w:tcBorders>
            <w:gridSpan w:val="3"/>
            <w:shd w:val="clear" w:color="auto" w:fill="C0C0C0"/>
          </w:tcPr>
          <w:p>
            <w:pPr>
              <w:spacing w:after="0"/>
              <w:rPr>
                <w:sz w:val="7"/>
                <w:szCs w:val="7"/>
                <w:color w:val="auto"/>
              </w:rPr>
            </w:pPr>
          </w:p>
        </w:tc>
        <w:tc>
          <w:tcPr>
            <w:tcW w:w="140" w:type="dxa"/>
            <w:vAlign w:val="bottom"/>
            <w:tcBorders>
              <w:top w:val="single" w:sz="8" w:color="auto"/>
              <w:right w:val="single" w:sz="8" w:color="C0C0C0"/>
            </w:tcBorders>
            <w:shd w:val="clear" w:color="auto" w:fill="C0C0C0"/>
          </w:tcPr>
          <w:p>
            <w:pPr>
              <w:spacing w:after="0"/>
              <w:rPr>
                <w:sz w:val="7"/>
                <w:szCs w:val="7"/>
                <w:color w:val="auto"/>
              </w:rPr>
            </w:pPr>
          </w:p>
        </w:tc>
        <w:tc>
          <w:tcPr>
            <w:tcW w:w="400" w:type="dxa"/>
            <w:vAlign w:val="bottom"/>
            <w:tcBorders>
              <w:top w:val="single" w:sz="8" w:color="auto"/>
            </w:tcBorders>
            <w:gridSpan w:val="2"/>
            <w:shd w:val="clear" w:color="auto" w:fill="C0C0C0"/>
          </w:tcPr>
          <w:p>
            <w:pPr>
              <w:spacing w:after="0"/>
              <w:rPr>
                <w:sz w:val="7"/>
                <w:szCs w:val="7"/>
                <w:color w:val="auto"/>
              </w:rPr>
            </w:pPr>
          </w:p>
        </w:tc>
        <w:tc>
          <w:tcPr>
            <w:tcW w:w="480" w:type="dxa"/>
            <w:vAlign w:val="bottom"/>
            <w:tcBorders>
              <w:top w:val="single" w:sz="8" w:color="C0C0C0"/>
            </w:tcBorders>
            <w:gridSpan w:val="3"/>
            <w:shd w:val="clear" w:color="auto" w:fill="C0C0C0"/>
          </w:tcPr>
          <w:p>
            <w:pPr>
              <w:spacing w:after="0"/>
              <w:rPr>
                <w:sz w:val="7"/>
                <w:szCs w:val="7"/>
                <w:color w:val="auto"/>
              </w:rPr>
            </w:pPr>
          </w:p>
        </w:tc>
        <w:tc>
          <w:tcPr>
            <w:tcW w:w="140" w:type="dxa"/>
            <w:vAlign w:val="bottom"/>
            <w:tcBorders>
              <w:top w:val="single" w:sz="8" w:color="auto"/>
              <w:right w:val="single" w:sz="8" w:color="C0C0C0"/>
            </w:tcBorders>
            <w:shd w:val="clear" w:color="auto" w:fill="C0C0C0"/>
          </w:tcPr>
          <w:p>
            <w:pPr>
              <w:spacing w:after="0"/>
              <w:rPr>
                <w:sz w:val="7"/>
                <w:szCs w:val="7"/>
                <w:color w:val="auto"/>
              </w:rPr>
            </w:pPr>
          </w:p>
        </w:tc>
        <w:tc>
          <w:tcPr>
            <w:tcW w:w="400" w:type="dxa"/>
            <w:vAlign w:val="bottom"/>
            <w:tcBorders>
              <w:top w:val="single" w:sz="8" w:color="auto"/>
            </w:tcBorders>
            <w:gridSpan w:val="3"/>
            <w:shd w:val="clear" w:color="auto" w:fill="C0C0C0"/>
          </w:tcPr>
          <w:p>
            <w:pPr>
              <w:spacing w:after="0"/>
              <w:rPr>
                <w:sz w:val="7"/>
                <w:szCs w:val="7"/>
                <w:color w:val="auto"/>
              </w:rPr>
            </w:pPr>
          </w:p>
        </w:tc>
        <w:tc>
          <w:tcPr>
            <w:tcW w:w="700" w:type="dxa"/>
            <w:vAlign w:val="bottom"/>
            <w:tcBorders>
              <w:top w:val="single" w:sz="8" w:color="C0C0C0"/>
            </w:tcBorders>
            <w:gridSpan w:val="3"/>
            <w:shd w:val="clear" w:color="auto" w:fill="C0C0C0"/>
          </w:tcPr>
          <w:p>
            <w:pPr>
              <w:spacing w:after="0"/>
              <w:rPr>
                <w:sz w:val="7"/>
                <w:szCs w:val="7"/>
                <w:color w:val="auto"/>
              </w:rPr>
            </w:pPr>
          </w:p>
        </w:tc>
        <w:tc>
          <w:tcPr>
            <w:tcW w:w="520" w:type="dxa"/>
            <w:vAlign w:val="bottom"/>
            <w:tcBorders>
              <w:top w:val="single" w:sz="8" w:color="auto"/>
            </w:tcBorders>
            <w:gridSpan w:val="4"/>
            <w:shd w:val="clear" w:color="auto" w:fill="C0C0C0"/>
          </w:tcPr>
          <w:p>
            <w:pPr>
              <w:spacing w:after="0"/>
              <w:rPr>
                <w:sz w:val="7"/>
                <w:szCs w:val="7"/>
                <w:color w:val="auto"/>
              </w:rPr>
            </w:pPr>
          </w:p>
        </w:tc>
        <w:tc>
          <w:tcPr>
            <w:tcW w:w="60" w:type="dxa"/>
            <w:vAlign w:val="bottom"/>
            <w:tcBorders>
              <w:top w:val="single" w:sz="8" w:color="C0C0C0"/>
              <w:right w:val="single" w:sz="8" w:color="C0C0C0"/>
            </w:tcBorders>
            <w:gridSpan w:val="2"/>
            <w:shd w:val="clear" w:color="auto" w:fill="C0C0C0"/>
          </w:tcPr>
          <w:p>
            <w:pPr>
              <w:spacing w:after="0"/>
              <w:rPr>
                <w:sz w:val="7"/>
                <w:szCs w:val="7"/>
                <w:color w:val="auto"/>
              </w:rPr>
            </w:pPr>
          </w:p>
        </w:tc>
        <w:tc>
          <w:tcPr>
            <w:tcW w:w="540" w:type="dxa"/>
            <w:vAlign w:val="bottom"/>
            <w:tcBorders>
              <w:top w:val="single" w:sz="8" w:color="C0C0C0"/>
            </w:tcBorders>
            <w:gridSpan w:val="2"/>
            <w:shd w:val="clear" w:color="auto" w:fill="C0C0C0"/>
          </w:tcPr>
          <w:p>
            <w:pPr>
              <w:spacing w:after="0"/>
              <w:rPr>
                <w:sz w:val="7"/>
                <w:szCs w:val="7"/>
                <w:color w:val="auto"/>
              </w:rPr>
            </w:pPr>
          </w:p>
        </w:tc>
        <w:tc>
          <w:tcPr>
            <w:tcW w:w="460" w:type="dxa"/>
            <w:vAlign w:val="bottom"/>
            <w:tcBorders>
              <w:top w:val="single" w:sz="8" w:color="auto"/>
              <w:right w:val="single" w:sz="8" w:color="C0C0C0"/>
            </w:tcBorders>
            <w:gridSpan w:val="5"/>
            <w:shd w:val="clear" w:color="auto" w:fill="C0C0C0"/>
          </w:tcPr>
          <w:p>
            <w:pPr>
              <w:spacing w:after="0"/>
              <w:rPr>
                <w:sz w:val="7"/>
                <w:szCs w:val="7"/>
                <w:color w:val="auto"/>
              </w:rPr>
            </w:pPr>
          </w:p>
        </w:tc>
        <w:tc>
          <w:tcPr>
            <w:tcW w:w="540" w:type="dxa"/>
            <w:vAlign w:val="bottom"/>
            <w:tcBorders>
              <w:top w:val="single" w:sz="8" w:color="C0C0C0"/>
            </w:tcBorders>
            <w:gridSpan w:val="4"/>
            <w:shd w:val="clear" w:color="auto" w:fill="C0C0C0"/>
          </w:tcPr>
          <w:p>
            <w:pPr>
              <w:spacing w:after="0"/>
              <w:rPr>
                <w:sz w:val="7"/>
                <w:szCs w:val="7"/>
                <w:color w:val="auto"/>
              </w:rPr>
            </w:pPr>
          </w:p>
        </w:tc>
        <w:tc>
          <w:tcPr>
            <w:tcW w:w="460" w:type="dxa"/>
            <w:vAlign w:val="bottom"/>
            <w:tcBorders>
              <w:top w:val="single" w:sz="8" w:color="auto"/>
            </w:tcBorders>
            <w:gridSpan w:val="5"/>
            <w:shd w:val="clear" w:color="auto" w:fill="C0C0C0"/>
          </w:tcPr>
          <w:p>
            <w:pPr>
              <w:spacing w:after="0"/>
              <w:rPr>
                <w:sz w:val="7"/>
                <w:szCs w:val="7"/>
                <w:color w:val="auto"/>
              </w:rPr>
            </w:pPr>
          </w:p>
        </w:tc>
        <w:tc>
          <w:tcPr>
            <w:tcW w:w="40" w:type="dxa"/>
            <w:vAlign w:val="bottom"/>
            <w:tcBorders>
              <w:top w:val="single" w:sz="8" w:color="C0C0C0"/>
              <w:right w:val="single" w:sz="8" w:color="C0C0C0"/>
            </w:tcBorders>
            <w:shd w:val="clear" w:color="auto" w:fill="C0C0C0"/>
          </w:tcPr>
          <w:p>
            <w:pPr>
              <w:spacing w:after="0"/>
              <w:rPr>
                <w:sz w:val="7"/>
                <w:szCs w:val="7"/>
                <w:color w:val="auto"/>
              </w:rPr>
            </w:pPr>
          </w:p>
        </w:tc>
        <w:tc>
          <w:tcPr>
            <w:tcW w:w="460" w:type="dxa"/>
            <w:vAlign w:val="bottom"/>
            <w:tcBorders>
              <w:top w:val="single" w:sz="8" w:color="C0C0C0"/>
            </w:tcBorders>
            <w:gridSpan w:val="3"/>
            <w:shd w:val="clear" w:color="auto" w:fill="C0C0C0"/>
          </w:tcPr>
          <w:p>
            <w:pPr>
              <w:spacing w:after="0"/>
              <w:rPr>
                <w:sz w:val="7"/>
                <w:szCs w:val="7"/>
                <w:color w:val="auto"/>
              </w:rPr>
            </w:pPr>
          </w:p>
        </w:tc>
        <w:tc>
          <w:tcPr>
            <w:tcW w:w="600" w:type="dxa"/>
            <w:vAlign w:val="bottom"/>
            <w:tcBorders>
              <w:top w:val="single" w:sz="8" w:color="auto"/>
              <w:right w:val="single" w:sz="8" w:color="C0C0C0"/>
            </w:tcBorders>
            <w:gridSpan w:val="5"/>
            <w:shd w:val="clear" w:color="auto" w:fill="C0C0C0"/>
          </w:tcPr>
          <w:p>
            <w:pPr>
              <w:spacing w:after="0"/>
              <w:rPr>
                <w:sz w:val="7"/>
                <w:szCs w:val="7"/>
                <w:color w:val="auto"/>
              </w:rPr>
            </w:pPr>
          </w:p>
        </w:tc>
        <w:tc>
          <w:tcPr>
            <w:tcW w:w="60" w:type="dxa"/>
            <w:vAlign w:val="bottom"/>
            <w:tcBorders>
              <w:top w:val="single" w:sz="8" w:color="C0C0C0"/>
            </w:tcBorders>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1420" w:type="dxa"/>
            <w:vAlign w:val="bottom"/>
            <w:gridSpan w:val="59"/>
          </w:tcPr>
          <w:p>
            <w:pPr>
              <w:ind w:left="80"/>
              <w:spacing w:after="0"/>
              <w:rPr>
                <w:sz w:val="20"/>
                <w:szCs w:val="20"/>
                <w:color w:val="auto"/>
              </w:rPr>
            </w:pPr>
            <w:r>
              <w:rPr>
                <w:rFonts w:ascii="Arial" w:cs="Arial" w:eastAsia="Arial" w:hAnsi="Arial"/>
                <w:sz w:val="17"/>
                <w:szCs w:val="17"/>
                <w:color w:val="auto"/>
              </w:rPr>
              <w:t>Comprehensive income:</w:t>
            </w:r>
          </w:p>
        </w:tc>
        <w:tc>
          <w:tcPr>
            <w:tcW w:w="0" w:type="dxa"/>
            <w:vAlign w:val="bottom"/>
          </w:tcPr>
          <w:p>
            <w:pPr>
              <w:spacing w:after="0"/>
              <w:rPr>
                <w:sz w:val="1"/>
                <w:szCs w:val="1"/>
                <w:color w:val="auto"/>
              </w:rPr>
            </w:pPr>
          </w:p>
        </w:tc>
      </w:tr>
      <w:tr>
        <w:trPr>
          <w:trHeight w:val="340"/>
        </w:trPr>
        <w:tc>
          <w:tcPr>
            <w:tcW w:w="3340" w:type="dxa"/>
            <w:vAlign w:val="bottom"/>
          </w:tcPr>
          <w:p>
            <w:pPr>
              <w:ind w:left="80"/>
              <w:spacing w:after="0"/>
              <w:rPr>
                <w:sz w:val="20"/>
                <w:szCs w:val="20"/>
                <w:color w:val="auto"/>
              </w:rPr>
            </w:pPr>
            <w:r>
              <w:rPr>
                <w:rFonts w:ascii="Arial" w:cs="Arial" w:eastAsia="Arial" w:hAnsi="Arial"/>
                <w:sz w:val="17"/>
                <w:szCs w:val="17"/>
                <w:color w:val="auto"/>
              </w:rPr>
              <w:t>Net income</w:t>
            </w:r>
          </w:p>
        </w:tc>
        <w:tc>
          <w:tcPr>
            <w:tcW w:w="5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7"/>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gridSpan w:val="5"/>
          </w:tcPr>
          <w:p>
            <w:pPr>
              <w:jc w:val="right"/>
              <w:ind w:right="20"/>
              <w:spacing w:after="0"/>
              <w:rPr>
                <w:sz w:val="20"/>
                <w:szCs w:val="20"/>
                <w:color w:val="auto"/>
              </w:rPr>
            </w:pPr>
            <w:r>
              <w:rPr>
                <w:rFonts w:ascii="Arial" w:cs="Arial" w:eastAsia="Arial" w:hAnsi="Arial"/>
                <w:sz w:val="17"/>
                <w:szCs w:val="17"/>
                <w:color w:val="auto"/>
              </w:rPr>
              <w:t>57,224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7"/>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20" w:type="dxa"/>
            <w:vAlign w:val="bottom"/>
            <w:gridSpan w:val="9"/>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860" w:type="dxa"/>
            <w:vAlign w:val="bottom"/>
            <w:gridSpan w:val="7"/>
          </w:tcPr>
          <w:p>
            <w:pPr>
              <w:jc w:val="right"/>
              <w:ind w:right="40"/>
              <w:spacing w:after="0"/>
              <w:rPr>
                <w:sz w:val="20"/>
                <w:szCs w:val="20"/>
                <w:color w:val="auto"/>
              </w:rPr>
            </w:pPr>
            <w:r>
              <w:rPr>
                <w:rFonts w:ascii="Arial" w:cs="Arial" w:eastAsia="Arial" w:hAnsi="Arial"/>
                <w:sz w:val="17"/>
                <w:szCs w:val="17"/>
                <w:color w:val="auto"/>
              </w:rPr>
              <w:t>57,224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40" w:type="dxa"/>
            <w:vAlign w:val="bottom"/>
          </w:tcPr>
          <w:p>
            <w:pPr>
              <w:ind w:left="80"/>
              <w:spacing w:after="0"/>
              <w:rPr>
                <w:sz w:val="20"/>
                <w:szCs w:val="20"/>
                <w:color w:val="auto"/>
              </w:rPr>
            </w:pPr>
            <w:r>
              <w:rPr>
                <w:rFonts w:ascii="Arial" w:cs="Arial" w:eastAsia="Arial" w:hAnsi="Arial"/>
                <w:sz w:val="17"/>
                <w:szCs w:val="17"/>
                <w:color w:val="auto"/>
              </w:rPr>
              <w:t>Currency translation adjustment</w:t>
            </w:r>
          </w:p>
        </w:tc>
        <w:tc>
          <w:tcPr>
            <w:tcW w:w="5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7"/>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7"/>
          </w:tcPr>
          <w:p>
            <w:pPr>
              <w:jc w:val="right"/>
              <w:spacing w:after="0"/>
              <w:rPr>
                <w:sz w:val="20"/>
                <w:szCs w:val="20"/>
                <w:color w:val="auto"/>
              </w:rPr>
            </w:pPr>
            <w:r>
              <w:rPr>
                <w:rFonts w:ascii="Arial" w:cs="Arial" w:eastAsia="Arial" w:hAnsi="Arial"/>
                <w:sz w:val="17"/>
                <w:szCs w:val="17"/>
                <w:color w:val="auto"/>
              </w:rPr>
              <w:t>4,759</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20" w:type="dxa"/>
            <w:vAlign w:val="bottom"/>
            <w:gridSpan w:val="9"/>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860" w:type="dxa"/>
            <w:vAlign w:val="bottom"/>
            <w:gridSpan w:val="7"/>
          </w:tcPr>
          <w:p>
            <w:pPr>
              <w:jc w:val="right"/>
              <w:ind w:right="40"/>
              <w:spacing w:after="0"/>
              <w:rPr>
                <w:sz w:val="20"/>
                <w:szCs w:val="20"/>
                <w:color w:val="auto"/>
              </w:rPr>
            </w:pPr>
            <w:r>
              <w:rPr>
                <w:rFonts w:ascii="Arial" w:cs="Arial" w:eastAsia="Arial" w:hAnsi="Arial"/>
                <w:sz w:val="17"/>
                <w:szCs w:val="17"/>
                <w:color w:val="auto"/>
              </w:rPr>
              <w:t>4,759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1420" w:type="dxa"/>
            <w:vAlign w:val="bottom"/>
            <w:gridSpan w:val="59"/>
          </w:tcPr>
          <w:p>
            <w:pPr>
              <w:ind w:left="80"/>
              <w:spacing w:after="0"/>
              <w:rPr>
                <w:sz w:val="20"/>
                <w:szCs w:val="20"/>
                <w:color w:val="auto"/>
              </w:rPr>
            </w:pPr>
            <w:r>
              <w:rPr>
                <w:rFonts w:ascii="Arial" w:cs="Arial" w:eastAsia="Arial" w:hAnsi="Arial"/>
                <w:sz w:val="17"/>
                <w:szCs w:val="17"/>
                <w:color w:val="auto"/>
              </w:rPr>
              <w:t>Unrealized holding losses,</w:t>
            </w:r>
          </w:p>
        </w:tc>
        <w:tc>
          <w:tcPr>
            <w:tcW w:w="0" w:type="dxa"/>
            <w:vAlign w:val="bottom"/>
          </w:tcPr>
          <w:p>
            <w:pPr>
              <w:spacing w:after="0"/>
              <w:rPr>
                <w:sz w:val="1"/>
                <w:szCs w:val="1"/>
                <w:color w:val="auto"/>
              </w:rPr>
            </w:pPr>
          </w:p>
        </w:tc>
      </w:tr>
      <w:tr>
        <w:trPr>
          <w:trHeight w:val="179"/>
        </w:trPr>
        <w:tc>
          <w:tcPr>
            <w:tcW w:w="3340" w:type="dxa"/>
            <w:vAlign w:val="bottom"/>
          </w:tcPr>
          <w:p>
            <w:pPr>
              <w:ind w:left="80"/>
              <w:spacing w:after="0" w:line="179" w:lineRule="exact"/>
              <w:rPr>
                <w:sz w:val="20"/>
                <w:szCs w:val="20"/>
                <w:color w:val="auto"/>
              </w:rPr>
            </w:pPr>
            <w:r>
              <w:rPr>
                <w:rFonts w:ascii="Arial" w:cs="Arial" w:eastAsia="Arial" w:hAnsi="Arial"/>
                <w:sz w:val="17"/>
                <w:szCs w:val="17"/>
                <w:color w:val="auto"/>
              </w:rPr>
              <w:t>net of tax</w:t>
            </w:r>
          </w:p>
        </w:tc>
        <w:tc>
          <w:tcPr>
            <w:tcW w:w="220" w:type="dxa"/>
            <w:vAlign w:val="bottom"/>
            <w:gridSpan w:val="3"/>
          </w:tcPr>
          <w:p>
            <w:pPr>
              <w:spacing w:after="0"/>
              <w:rPr>
                <w:sz w:val="15"/>
                <w:szCs w:val="15"/>
                <w:color w:val="auto"/>
              </w:rPr>
            </w:pPr>
          </w:p>
        </w:tc>
        <w:tc>
          <w:tcPr>
            <w:tcW w:w="36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740" w:type="dxa"/>
            <w:vAlign w:val="bottom"/>
            <w:gridSpan w:val="3"/>
          </w:tcPr>
          <w:p>
            <w:pPr>
              <w:spacing w:after="0"/>
              <w:rPr>
                <w:sz w:val="15"/>
                <w:szCs w:val="15"/>
                <w:color w:val="auto"/>
              </w:rPr>
            </w:pPr>
          </w:p>
        </w:tc>
        <w:tc>
          <w:tcPr>
            <w:tcW w:w="28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w:t>
            </w:r>
          </w:p>
        </w:tc>
        <w:tc>
          <w:tcPr>
            <w:tcW w:w="620" w:type="dxa"/>
            <w:vAlign w:val="bottom"/>
            <w:gridSpan w:val="4"/>
          </w:tcPr>
          <w:p>
            <w:pPr>
              <w:spacing w:after="0"/>
              <w:rPr>
                <w:sz w:val="15"/>
                <w:szCs w:val="15"/>
                <w:color w:val="auto"/>
              </w:rPr>
            </w:pPr>
          </w:p>
        </w:tc>
        <w:tc>
          <w:tcPr>
            <w:tcW w:w="720" w:type="dxa"/>
            <w:vAlign w:val="bottom"/>
            <w:gridSpan w:val="3"/>
          </w:tcPr>
          <w:p>
            <w:pPr>
              <w:jc w:val="right"/>
              <w:ind w:right="320"/>
              <w:spacing w:after="0" w:line="179" w:lineRule="exact"/>
              <w:rPr>
                <w:sz w:val="20"/>
                <w:szCs w:val="20"/>
                <w:color w:val="auto"/>
              </w:rPr>
            </w:pPr>
            <w:r>
              <w:rPr>
                <w:rFonts w:ascii="Arial" w:cs="Arial" w:eastAsia="Arial" w:hAnsi="Arial"/>
                <w:sz w:val="17"/>
                <w:szCs w:val="17"/>
                <w:color w:val="auto"/>
              </w:rPr>
              <w:t>--</w:t>
            </w:r>
          </w:p>
        </w:tc>
        <w:tc>
          <w:tcPr>
            <w:tcW w:w="680" w:type="dxa"/>
            <w:vAlign w:val="bottom"/>
            <w:gridSpan w:val="5"/>
          </w:tcPr>
          <w:p>
            <w:pPr>
              <w:jc w:val="right"/>
              <w:spacing w:after="0" w:line="17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9"/>
          </w:tcPr>
          <w:p>
            <w:pPr>
              <w:jc w:val="right"/>
              <w:ind w:right="440"/>
              <w:spacing w:after="0" w:line="179" w:lineRule="exact"/>
              <w:rPr>
                <w:sz w:val="20"/>
                <w:szCs w:val="20"/>
                <w:color w:val="auto"/>
              </w:rPr>
            </w:pPr>
            <w:r>
              <w:rPr>
                <w:rFonts w:ascii="Arial" w:cs="Arial" w:eastAsia="Arial" w:hAnsi="Arial"/>
                <w:sz w:val="17"/>
                <w:szCs w:val="17"/>
                <w:color w:val="auto"/>
              </w:rPr>
              <w:t>(27)</w:t>
            </w:r>
          </w:p>
        </w:tc>
        <w:tc>
          <w:tcPr>
            <w:tcW w:w="780" w:type="dxa"/>
            <w:vAlign w:val="bottom"/>
            <w:gridSpan w:val="7"/>
          </w:tcPr>
          <w:p>
            <w:pPr>
              <w:jc w:val="right"/>
              <w:ind w:right="220"/>
              <w:spacing w:after="0" w:line="179" w:lineRule="exact"/>
              <w:rPr>
                <w:sz w:val="20"/>
                <w:szCs w:val="20"/>
                <w:color w:val="auto"/>
              </w:rPr>
            </w:pPr>
            <w:r>
              <w:rPr>
                <w:rFonts w:ascii="Arial" w:cs="Arial" w:eastAsia="Arial" w:hAnsi="Arial"/>
                <w:sz w:val="17"/>
                <w:szCs w:val="17"/>
                <w:color w:val="auto"/>
              </w:rPr>
              <w:t>--</w:t>
            </w:r>
          </w:p>
        </w:tc>
        <w:tc>
          <w:tcPr>
            <w:tcW w:w="1020" w:type="dxa"/>
            <w:vAlign w:val="bottom"/>
            <w:gridSpan w:val="10"/>
          </w:tcPr>
          <w:p>
            <w:pPr>
              <w:jc w:val="right"/>
              <w:ind w:right="200"/>
              <w:spacing w:after="0" w:line="179" w:lineRule="exact"/>
              <w:rPr>
                <w:sz w:val="20"/>
                <w:szCs w:val="20"/>
                <w:color w:val="auto"/>
              </w:rPr>
            </w:pPr>
            <w:r>
              <w:rPr>
                <w:rFonts w:ascii="Arial" w:cs="Arial" w:eastAsia="Arial" w:hAnsi="Arial"/>
                <w:sz w:val="17"/>
                <w:szCs w:val="17"/>
                <w:color w:val="auto"/>
              </w:rPr>
              <w:t>--</w:t>
            </w:r>
          </w:p>
        </w:tc>
        <w:tc>
          <w:tcPr>
            <w:tcW w:w="920" w:type="dxa"/>
            <w:vAlign w:val="bottom"/>
            <w:gridSpan w:val="8"/>
          </w:tcPr>
          <w:p>
            <w:pPr>
              <w:jc w:val="right"/>
              <w:ind w:right="60"/>
              <w:spacing w:after="0" w:line="17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340" w:type="dxa"/>
            <w:vAlign w:val="bottom"/>
          </w:tcPr>
          <w:p>
            <w:pPr>
              <w:ind w:left="200"/>
              <w:spacing w:after="0"/>
              <w:rPr>
                <w:sz w:val="20"/>
                <w:szCs w:val="20"/>
                <w:color w:val="auto"/>
              </w:rPr>
            </w:pPr>
            <w:r>
              <w:rPr>
                <w:rFonts w:ascii="Arial" w:cs="Arial" w:eastAsia="Arial" w:hAnsi="Arial"/>
                <w:sz w:val="17"/>
                <w:szCs w:val="17"/>
                <w:color w:val="auto"/>
              </w:rPr>
              <w:t>Total comprehensive income</w:t>
            </w:r>
          </w:p>
        </w:tc>
        <w:tc>
          <w:tcPr>
            <w:tcW w:w="220" w:type="dxa"/>
            <w:vAlign w:val="bottom"/>
            <w:gridSpan w:val="3"/>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4"/>
          </w:tcPr>
          <w:p>
            <w:pPr>
              <w:spacing w:after="0"/>
              <w:rPr>
                <w:sz w:val="24"/>
                <w:szCs w:val="24"/>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gridSpan w:val="5"/>
          </w:tcPr>
          <w:p>
            <w:pPr>
              <w:jc w:val="right"/>
              <w:ind w:right="20"/>
              <w:spacing w:after="0"/>
              <w:rPr>
                <w:sz w:val="20"/>
                <w:szCs w:val="20"/>
                <w:color w:val="auto"/>
              </w:rPr>
            </w:pPr>
            <w:r>
              <w:rPr>
                <w:rFonts w:ascii="Arial" w:cs="Arial" w:eastAsia="Arial" w:hAnsi="Arial"/>
                <w:sz w:val="17"/>
                <w:szCs w:val="17"/>
                <w:color w:val="auto"/>
              </w:rPr>
              <w:t>57,224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7"/>
          </w:tcPr>
          <w:p>
            <w:pPr>
              <w:jc w:val="right"/>
              <w:spacing w:after="0"/>
              <w:rPr>
                <w:sz w:val="20"/>
                <w:szCs w:val="20"/>
                <w:color w:val="auto"/>
              </w:rPr>
            </w:pPr>
            <w:r>
              <w:rPr>
                <w:rFonts w:ascii="Arial" w:cs="Arial" w:eastAsia="Arial" w:hAnsi="Arial"/>
                <w:sz w:val="17"/>
                <w:szCs w:val="17"/>
                <w:color w:val="auto"/>
              </w:rPr>
              <w:t>4,732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7"/>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gridSpan w:val="10"/>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7"/>
          </w:tcPr>
          <w:p>
            <w:pPr>
              <w:jc w:val="right"/>
              <w:ind w:right="40"/>
              <w:spacing w:after="0"/>
              <w:rPr>
                <w:sz w:val="20"/>
                <w:szCs w:val="20"/>
                <w:color w:val="auto"/>
              </w:rPr>
            </w:pPr>
            <w:r>
              <w:rPr>
                <w:rFonts w:ascii="Arial" w:cs="Arial" w:eastAsia="Arial" w:hAnsi="Arial"/>
                <w:sz w:val="17"/>
                <w:szCs w:val="17"/>
                <w:color w:val="auto"/>
              </w:rPr>
              <w:t>61,956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340" w:type="dxa"/>
            <w:vAlign w:val="bottom"/>
          </w:tcPr>
          <w:p>
            <w:pPr>
              <w:ind w:left="80"/>
              <w:spacing w:after="0"/>
              <w:rPr>
                <w:sz w:val="20"/>
                <w:szCs w:val="20"/>
                <w:color w:val="auto"/>
              </w:rPr>
            </w:pPr>
            <w:r>
              <w:rPr>
                <w:rFonts w:ascii="Arial" w:cs="Arial" w:eastAsia="Arial" w:hAnsi="Arial"/>
                <w:sz w:val="17"/>
                <w:szCs w:val="17"/>
                <w:color w:val="auto"/>
              </w:rPr>
              <w:t>Dividends declared</w:t>
            </w:r>
          </w:p>
        </w:tc>
        <w:tc>
          <w:tcPr>
            <w:tcW w:w="220" w:type="dxa"/>
            <w:vAlign w:val="bottom"/>
            <w:gridSpan w:val="3"/>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4"/>
          </w:tcPr>
          <w:p>
            <w:pPr>
              <w:spacing w:after="0"/>
              <w:rPr>
                <w:sz w:val="24"/>
                <w:szCs w:val="24"/>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780" w:type="dxa"/>
            <w:vAlign w:val="bottom"/>
            <w:gridSpan w:val="7"/>
          </w:tcPr>
          <w:p>
            <w:pPr>
              <w:jc w:val="right"/>
              <w:ind w:right="80"/>
              <w:spacing w:after="0"/>
              <w:rPr>
                <w:sz w:val="20"/>
                <w:szCs w:val="20"/>
                <w:color w:val="auto"/>
              </w:rPr>
            </w:pPr>
            <w:r>
              <w:rPr>
                <w:rFonts w:ascii="Arial" w:cs="Arial" w:eastAsia="Arial" w:hAnsi="Arial"/>
                <w:sz w:val="17"/>
                <w:szCs w:val="17"/>
                <w:color w:val="auto"/>
              </w:rPr>
              <w:t>(2,231)</w:t>
            </w:r>
          </w:p>
        </w:tc>
        <w:tc>
          <w:tcPr>
            <w:tcW w:w="1160" w:type="dxa"/>
            <w:vAlign w:val="bottom"/>
            <w:gridSpan w:val="7"/>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20" w:type="dxa"/>
            <w:vAlign w:val="bottom"/>
            <w:gridSpan w:val="9"/>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7"/>
                <w:szCs w:val="17"/>
                <w:color w:val="auto"/>
              </w:rPr>
              <w:t>(2,231)</w:t>
            </w:r>
          </w:p>
        </w:tc>
        <w:tc>
          <w:tcPr>
            <w:tcW w:w="0" w:type="dxa"/>
            <w:vAlign w:val="bottom"/>
          </w:tcPr>
          <w:p>
            <w:pPr>
              <w:spacing w:after="0"/>
              <w:rPr>
                <w:sz w:val="1"/>
                <w:szCs w:val="1"/>
                <w:color w:val="auto"/>
              </w:rPr>
            </w:pPr>
          </w:p>
        </w:tc>
      </w:tr>
      <w:tr>
        <w:trPr>
          <w:trHeight w:val="340"/>
        </w:trPr>
        <w:tc>
          <w:tcPr>
            <w:tcW w:w="3340" w:type="dxa"/>
            <w:vAlign w:val="bottom"/>
          </w:tcPr>
          <w:p>
            <w:pPr>
              <w:ind w:left="80"/>
              <w:spacing w:after="0"/>
              <w:rPr>
                <w:sz w:val="20"/>
                <w:szCs w:val="20"/>
                <w:color w:val="auto"/>
              </w:rPr>
            </w:pPr>
            <w:r>
              <w:rPr>
                <w:rFonts w:ascii="Arial" w:cs="Arial" w:eastAsia="Arial" w:hAnsi="Arial"/>
                <w:sz w:val="17"/>
                <w:szCs w:val="17"/>
                <w:color w:val="auto"/>
              </w:rPr>
              <w:t>Employee benefit transactions</w:t>
            </w:r>
          </w:p>
        </w:tc>
        <w:tc>
          <w:tcPr>
            <w:tcW w:w="580" w:type="dxa"/>
            <w:vAlign w:val="bottom"/>
            <w:gridSpan w:val="5"/>
          </w:tcPr>
          <w:p>
            <w:pPr>
              <w:jc w:val="right"/>
              <w:spacing w:after="0"/>
              <w:rPr>
                <w:sz w:val="20"/>
                <w:szCs w:val="20"/>
                <w:color w:val="auto"/>
              </w:rPr>
            </w:pPr>
            <w:r>
              <w:rPr>
                <w:rFonts w:ascii="Arial" w:cs="Arial" w:eastAsia="Arial" w:hAnsi="Arial"/>
                <w:sz w:val="17"/>
                <w:szCs w:val="17"/>
                <w:color w:val="auto"/>
              </w:rPr>
              <w:t>164</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16</w:t>
            </w:r>
          </w:p>
        </w:tc>
        <w:tc>
          <w:tcPr>
            <w:tcW w:w="1340" w:type="dxa"/>
            <w:vAlign w:val="bottom"/>
            <w:gridSpan w:val="7"/>
          </w:tcPr>
          <w:p>
            <w:pPr>
              <w:jc w:val="right"/>
              <w:ind w:right="320"/>
              <w:spacing w:after="0"/>
              <w:rPr>
                <w:sz w:val="20"/>
                <w:szCs w:val="20"/>
                <w:color w:val="auto"/>
              </w:rPr>
            </w:pPr>
            <w:r>
              <w:rPr>
                <w:rFonts w:ascii="Arial" w:cs="Arial" w:eastAsia="Arial" w:hAnsi="Arial"/>
                <w:sz w:val="17"/>
                <w:szCs w:val="17"/>
                <w:color w:val="auto"/>
              </w:rPr>
              <w:t>4,075</w:t>
            </w:r>
          </w:p>
        </w:tc>
        <w:tc>
          <w:tcPr>
            <w:tcW w:w="68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7"/>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20" w:type="dxa"/>
            <w:vAlign w:val="bottom"/>
            <w:gridSpan w:val="9"/>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860" w:type="dxa"/>
            <w:vAlign w:val="bottom"/>
            <w:gridSpan w:val="7"/>
          </w:tcPr>
          <w:p>
            <w:pPr>
              <w:jc w:val="right"/>
              <w:ind w:right="40"/>
              <w:spacing w:after="0"/>
              <w:rPr>
                <w:sz w:val="20"/>
                <w:szCs w:val="20"/>
                <w:color w:val="auto"/>
              </w:rPr>
            </w:pPr>
            <w:r>
              <w:rPr>
                <w:rFonts w:ascii="Arial" w:cs="Arial" w:eastAsia="Arial" w:hAnsi="Arial"/>
                <w:sz w:val="17"/>
                <w:szCs w:val="17"/>
                <w:color w:val="auto"/>
              </w:rPr>
              <w:t>4,091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1420" w:type="dxa"/>
            <w:vAlign w:val="bottom"/>
            <w:gridSpan w:val="59"/>
          </w:tcPr>
          <w:p>
            <w:pPr>
              <w:ind w:left="80"/>
              <w:spacing w:after="0"/>
              <w:rPr>
                <w:sz w:val="20"/>
                <w:szCs w:val="20"/>
                <w:color w:val="auto"/>
              </w:rPr>
            </w:pPr>
            <w:r>
              <w:rPr>
                <w:rFonts w:ascii="Arial" w:cs="Arial" w:eastAsia="Arial" w:hAnsi="Arial"/>
                <w:sz w:val="17"/>
                <w:szCs w:val="17"/>
                <w:color w:val="auto"/>
              </w:rPr>
              <w:t>Income tax benefit arising from</w:t>
            </w:r>
          </w:p>
        </w:tc>
        <w:tc>
          <w:tcPr>
            <w:tcW w:w="0" w:type="dxa"/>
            <w:vAlign w:val="bottom"/>
          </w:tcPr>
          <w:p>
            <w:pPr>
              <w:spacing w:after="0"/>
              <w:rPr>
                <w:sz w:val="1"/>
                <w:szCs w:val="1"/>
                <w:color w:val="auto"/>
              </w:rPr>
            </w:pPr>
          </w:p>
        </w:tc>
      </w:tr>
      <w:tr>
        <w:trPr>
          <w:trHeight w:val="216"/>
        </w:trPr>
        <w:tc>
          <w:tcPr>
            <w:tcW w:w="3340" w:type="dxa"/>
            <w:vAlign w:val="bottom"/>
          </w:tcPr>
          <w:p>
            <w:pPr>
              <w:ind w:left="80"/>
              <w:spacing w:after="0"/>
              <w:rPr>
                <w:sz w:val="20"/>
                <w:szCs w:val="20"/>
                <w:color w:val="auto"/>
              </w:rPr>
            </w:pPr>
            <w:r>
              <w:rPr>
                <w:rFonts w:ascii="Arial" w:cs="Arial" w:eastAsia="Arial" w:hAnsi="Arial"/>
                <w:sz w:val="17"/>
                <w:szCs w:val="17"/>
                <w:color w:val="auto"/>
              </w:rPr>
              <w:t>employee stock option plans</w:t>
            </w:r>
          </w:p>
        </w:tc>
        <w:tc>
          <w:tcPr>
            <w:tcW w:w="5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7"/>
          </w:tcPr>
          <w:p>
            <w:pPr>
              <w:jc w:val="right"/>
              <w:ind w:right="320"/>
              <w:spacing w:after="0"/>
              <w:rPr>
                <w:sz w:val="20"/>
                <w:szCs w:val="20"/>
                <w:color w:val="auto"/>
              </w:rPr>
            </w:pPr>
            <w:r>
              <w:rPr>
                <w:rFonts w:ascii="Arial" w:cs="Arial" w:eastAsia="Arial" w:hAnsi="Arial"/>
                <w:sz w:val="17"/>
                <w:szCs w:val="17"/>
                <w:color w:val="auto"/>
              </w:rPr>
              <w:t>900</w:t>
            </w:r>
          </w:p>
        </w:tc>
        <w:tc>
          <w:tcPr>
            <w:tcW w:w="68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7"/>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gridSpan w:val="9"/>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60" w:type="dxa"/>
            <w:vAlign w:val="bottom"/>
            <w:gridSpan w:val="7"/>
          </w:tcPr>
          <w:p>
            <w:pPr>
              <w:jc w:val="right"/>
              <w:ind w:right="40"/>
              <w:spacing w:after="0"/>
              <w:rPr>
                <w:sz w:val="20"/>
                <w:szCs w:val="20"/>
                <w:color w:val="auto"/>
              </w:rPr>
            </w:pPr>
            <w:r>
              <w:rPr>
                <w:rFonts w:ascii="Arial" w:cs="Arial" w:eastAsia="Arial" w:hAnsi="Arial"/>
                <w:sz w:val="17"/>
                <w:szCs w:val="17"/>
                <w:color w:val="auto"/>
              </w:rPr>
              <w:t>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340" w:type="dxa"/>
            <w:vAlign w:val="bottom"/>
          </w:tcPr>
          <w:p>
            <w:pPr>
              <w:ind w:left="80"/>
              <w:spacing w:after="0"/>
              <w:rPr>
                <w:sz w:val="20"/>
                <w:szCs w:val="20"/>
                <w:color w:val="auto"/>
              </w:rPr>
            </w:pPr>
            <w:r>
              <w:rPr>
                <w:rFonts w:ascii="Arial" w:cs="Arial" w:eastAsia="Arial" w:hAnsi="Arial"/>
                <w:sz w:val="17"/>
                <w:szCs w:val="17"/>
                <w:color w:val="auto"/>
              </w:rPr>
              <w:t>Purchase of common stock</w:t>
            </w:r>
          </w:p>
        </w:tc>
        <w:tc>
          <w:tcPr>
            <w:tcW w:w="5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7"/>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7"/>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7"/>
          </w:tcPr>
          <w:p>
            <w:pPr>
              <w:jc w:val="right"/>
              <w:ind w:right="200"/>
              <w:spacing w:after="0"/>
              <w:rPr>
                <w:sz w:val="20"/>
                <w:szCs w:val="20"/>
                <w:color w:val="auto"/>
              </w:rPr>
            </w:pPr>
            <w:r>
              <w:rPr>
                <w:rFonts w:ascii="Arial" w:cs="Arial" w:eastAsia="Arial" w:hAnsi="Arial"/>
                <w:sz w:val="17"/>
                <w:szCs w:val="17"/>
                <w:color w:val="auto"/>
              </w:rPr>
              <w:t>(891</w:t>
            </w:r>
            <w:r>
              <w:rPr>
                <w:rFonts w:ascii="Arial" w:cs="Arial" w:eastAsia="Arial" w:hAnsi="Arial"/>
                <w:sz w:val="13"/>
                <w:szCs w:val="13"/>
                <w:color w:val="auto"/>
              </w:rPr>
              <w:t>)</w:t>
            </w:r>
          </w:p>
        </w:tc>
        <w:tc>
          <w:tcPr>
            <w:tcW w:w="1020" w:type="dxa"/>
            <w:vAlign w:val="bottom"/>
            <w:gridSpan w:val="10"/>
          </w:tcPr>
          <w:p>
            <w:pPr>
              <w:jc w:val="right"/>
              <w:ind w:right="180"/>
              <w:spacing w:after="0"/>
              <w:rPr>
                <w:sz w:val="20"/>
                <w:szCs w:val="20"/>
                <w:color w:val="auto"/>
              </w:rPr>
            </w:pPr>
            <w:r>
              <w:rPr>
                <w:rFonts w:ascii="Arial" w:cs="Arial" w:eastAsia="Arial" w:hAnsi="Arial"/>
                <w:sz w:val="17"/>
                <w:szCs w:val="17"/>
                <w:color w:val="auto"/>
              </w:rPr>
              <w:t>(42,550</w:t>
            </w:r>
            <w:r>
              <w:rPr>
                <w:rFonts w:ascii="Arial" w:cs="Arial" w:eastAsia="Arial" w:hAnsi="Arial"/>
                <w:sz w:val="13"/>
                <w:szCs w:val="13"/>
                <w:color w:val="auto"/>
              </w:rPr>
              <w:t>)</w:t>
            </w:r>
          </w:p>
        </w:tc>
        <w:tc>
          <w:tcPr>
            <w:tcW w:w="920" w:type="dxa"/>
            <w:vAlign w:val="bottom"/>
            <w:gridSpan w:val="8"/>
          </w:tcPr>
          <w:p>
            <w:pPr>
              <w:jc w:val="right"/>
              <w:ind w:right="60"/>
              <w:spacing w:after="0"/>
              <w:rPr>
                <w:sz w:val="20"/>
                <w:szCs w:val="20"/>
                <w:color w:val="auto"/>
              </w:rPr>
            </w:pPr>
            <w:r>
              <w:rPr>
                <w:rFonts w:ascii="Arial" w:cs="Arial" w:eastAsia="Arial" w:hAnsi="Arial"/>
                <w:sz w:val="17"/>
                <w:szCs w:val="17"/>
                <w:color w:val="auto"/>
              </w:rPr>
              <w:t>(42,550</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3560" w:type="dxa"/>
            <w:vAlign w:val="bottom"/>
            <w:gridSpan w:val="4"/>
          </w:tcPr>
          <w:p>
            <w:pPr>
              <w:spacing w:after="0"/>
              <w:rPr>
                <w:sz w:val="7"/>
                <w:szCs w:val="7"/>
                <w:color w:val="auto"/>
              </w:rPr>
            </w:pPr>
          </w:p>
        </w:tc>
        <w:tc>
          <w:tcPr>
            <w:tcW w:w="360" w:type="dxa"/>
            <w:vAlign w:val="bottom"/>
            <w:tcBorders>
              <w:top w:val="single" w:sz="8" w:color="auto"/>
            </w:tcBorders>
            <w:gridSpan w:val="2"/>
          </w:tcPr>
          <w:p>
            <w:pPr>
              <w:spacing w:after="0"/>
              <w:rPr>
                <w:sz w:val="7"/>
                <w:szCs w:val="7"/>
                <w:color w:val="auto"/>
              </w:rPr>
            </w:pPr>
          </w:p>
        </w:tc>
        <w:tc>
          <w:tcPr>
            <w:tcW w:w="740" w:type="dxa"/>
            <w:vAlign w:val="bottom"/>
            <w:gridSpan w:val="3"/>
          </w:tcPr>
          <w:p>
            <w:pPr>
              <w:spacing w:after="0"/>
              <w:rPr>
                <w:sz w:val="7"/>
                <w:szCs w:val="7"/>
                <w:color w:val="auto"/>
              </w:rPr>
            </w:pPr>
          </w:p>
        </w:tc>
        <w:tc>
          <w:tcPr>
            <w:tcW w:w="280" w:type="dxa"/>
            <w:vAlign w:val="bottom"/>
            <w:tcBorders>
              <w:top w:val="single" w:sz="8" w:color="auto"/>
            </w:tcBorders>
            <w:gridSpan w:val="2"/>
          </w:tcPr>
          <w:p>
            <w:pPr>
              <w:spacing w:after="0"/>
              <w:rPr>
                <w:sz w:val="7"/>
                <w:szCs w:val="7"/>
                <w:color w:val="auto"/>
              </w:rPr>
            </w:pPr>
          </w:p>
        </w:tc>
        <w:tc>
          <w:tcPr>
            <w:tcW w:w="620" w:type="dxa"/>
            <w:vAlign w:val="bottom"/>
            <w:gridSpan w:val="4"/>
          </w:tcPr>
          <w:p>
            <w:pPr>
              <w:spacing w:after="0"/>
              <w:rPr>
                <w:sz w:val="7"/>
                <w:szCs w:val="7"/>
                <w:color w:val="auto"/>
              </w:rPr>
            </w:pPr>
          </w:p>
        </w:tc>
        <w:tc>
          <w:tcPr>
            <w:tcW w:w="400" w:type="dxa"/>
            <w:vAlign w:val="bottom"/>
            <w:tcBorders>
              <w:top w:val="single" w:sz="8" w:color="auto"/>
            </w:tcBorders>
            <w:gridSpan w:val="2"/>
          </w:tcPr>
          <w:p>
            <w:pPr>
              <w:spacing w:after="0"/>
              <w:rPr>
                <w:sz w:val="7"/>
                <w:szCs w:val="7"/>
                <w:color w:val="auto"/>
              </w:rPr>
            </w:pPr>
          </w:p>
        </w:tc>
        <w:tc>
          <w:tcPr>
            <w:tcW w:w="620" w:type="dxa"/>
            <w:vAlign w:val="bottom"/>
            <w:gridSpan w:val="4"/>
          </w:tcPr>
          <w:p>
            <w:pPr>
              <w:spacing w:after="0"/>
              <w:rPr>
                <w:sz w:val="7"/>
                <w:szCs w:val="7"/>
                <w:color w:val="auto"/>
              </w:rPr>
            </w:pPr>
          </w:p>
        </w:tc>
        <w:tc>
          <w:tcPr>
            <w:tcW w:w="380" w:type="dxa"/>
            <w:vAlign w:val="bottom"/>
            <w:tcBorders>
              <w:top w:val="single" w:sz="8" w:color="auto"/>
            </w:tcBorders>
            <w:gridSpan w:val="2"/>
          </w:tcPr>
          <w:p>
            <w:pPr>
              <w:spacing w:after="0"/>
              <w:rPr>
                <w:sz w:val="7"/>
                <w:szCs w:val="7"/>
                <w:color w:val="auto"/>
              </w:rPr>
            </w:pPr>
          </w:p>
        </w:tc>
        <w:tc>
          <w:tcPr>
            <w:tcW w:w="860" w:type="dxa"/>
            <w:vAlign w:val="bottom"/>
            <w:gridSpan w:val="7"/>
          </w:tcPr>
          <w:p>
            <w:pPr>
              <w:spacing w:after="0"/>
              <w:rPr>
                <w:sz w:val="7"/>
                <w:szCs w:val="7"/>
                <w:color w:val="auto"/>
              </w:rPr>
            </w:pPr>
          </w:p>
        </w:tc>
        <w:tc>
          <w:tcPr>
            <w:tcW w:w="400" w:type="dxa"/>
            <w:vAlign w:val="bottom"/>
            <w:tcBorders>
              <w:top w:val="single" w:sz="8" w:color="auto"/>
            </w:tcBorders>
            <w:gridSpan w:val="2"/>
          </w:tcPr>
          <w:p>
            <w:pPr>
              <w:spacing w:after="0"/>
              <w:rPr>
                <w:sz w:val="7"/>
                <w:szCs w:val="7"/>
                <w:color w:val="auto"/>
              </w:rPr>
            </w:pPr>
          </w:p>
        </w:tc>
        <w:tc>
          <w:tcPr>
            <w:tcW w:w="620" w:type="dxa"/>
            <w:vAlign w:val="bottom"/>
            <w:gridSpan w:val="4"/>
          </w:tcPr>
          <w:p>
            <w:pPr>
              <w:spacing w:after="0"/>
              <w:rPr>
                <w:sz w:val="7"/>
                <w:szCs w:val="7"/>
                <w:color w:val="auto"/>
              </w:rPr>
            </w:pPr>
          </w:p>
        </w:tc>
        <w:tc>
          <w:tcPr>
            <w:tcW w:w="420" w:type="dxa"/>
            <w:vAlign w:val="bottom"/>
            <w:tcBorders>
              <w:top w:val="single" w:sz="8" w:color="auto"/>
            </w:tcBorders>
            <w:gridSpan w:val="4"/>
          </w:tcPr>
          <w:p>
            <w:pPr>
              <w:spacing w:after="0"/>
              <w:rPr>
                <w:sz w:val="7"/>
                <w:szCs w:val="7"/>
                <w:color w:val="auto"/>
              </w:rPr>
            </w:pPr>
          </w:p>
        </w:tc>
        <w:tc>
          <w:tcPr>
            <w:tcW w:w="460" w:type="dxa"/>
            <w:vAlign w:val="bottom"/>
            <w:gridSpan w:val="3"/>
          </w:tcPr>
          <w:p>
            <w:pPr>
              <w:spacing w:after="0"/>
              <w:rPr>
                <w:sz w:val="7"/>
                <w:szCs w:val="7"/>
                <w:color w:val="auto"/>
              </w:rPr>
            </w:pPr>
          </w:p>
        </w:tc>
        <w:tc>
          <w:tcPr>
            <w:tcW w:w="580" w:type="dxa"/>
            <w:vAlign w:val="bottom"/>
            <w:tcBorders>
              <w:top w:val="single" w:sz="8" w:color="auto"/>
            </w:tcBorders>
            <w:gridSpan w:val="7"/>
          </w:tcPr>
          <w:p>
            <w:pPr>
              <w:spacing w:after="0"/>
              <w:rPr>
                <w:sz w:val="7"/>
                <w:szCs w:val="7"/>
                <w:color w:val="auto"/>
              </w:rPr>
            </w:pPr>
          </w:p>
        </w:tc>
        <w:tc>
          <w:tcPr>
            <w:tcW w:w="440" w:type="dxa"/>
            <w:vAlign w:val="bottom"/>
            <w:gridSpan w:val="2"/>
          </w:tcPr>
          <w:p>
            <w:pPr>
              <w:spacing w:after="0"/>
              <w:rPr>
                <w:sz w:val="7"/>
                <w:szCs w:val="7"/>
                <w:color w:val="auto"/>
              </w:rPr>
            </w:pPr>
          </w:p>
        </w:tc>
        <w:tc>
          <w:tcPr>
            <w:tcW w:w="620" w:type="dxa"/>
            <w:vAlign w:val="bottom"/>
            <w:tcBorders>
              <w:top w:val="single" w:sz="8" w:color="auto"/>
            </w:tcBorders>
            <w:gridSpan w:val="6"/>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560" w:type="dxa"/>
            <w:vAlign w:val="bottom"/>
            <w:tcBorders>
              <w:right w:val="single" w:sz="8" w:color="C0C0C0"/>
            </w:tcBorders>
            <w:gridSpan w:val="15"/>
            <w:shd w:val="clear" w:color="auto" w:fill="C0C0C0"/>
          </w:tcPr>
          <w:p>
            <w:pPr>
              <w:ind w:left="80"/>
              <w:spacing w:after="0"/>
              <w:rPr>
                <w:sz w:val="20"/>
                <w:szCs w:val="20"/>
                <w:color w:val="auto"/>
              </w:rPr>
            </w:pPr>
            <w:r>
              <w:rPr>
                <w:rFonts w:ascii="Arial" w:cs="Arial" w:eastAsia="Arial" w:hAnsi="Arial"/>
                <w:sz w:val="17"/>
                <w:szCs w:val="17"/>
                <w:b w:val="1"/>
                <w:bCs w:val="1"/>
                <w:color w:val="auto"/>
              </w:rPr>
              <w:t>Balance as of</w:t>
            </w:r>
          </w:p>
        </w:tc>
        <w:tc>
          <w:tcPr>
            <w:tcW w:w="1020" w:type="dxa"/>
            <w:vAlign w:val="bottom"/>
            <w:tcBorders>
              <w:right w:val="single" w:sz="8" w:color="C0C0C0"/>
            </w:tcBorders>
            <w:gridSpan w:val="6"/>
            <w:shd w:val="clear" w:color="auto" w:fill="C0C0C0"/>
          </w:tcPr>
          <w:p>
            <w:pPr>
              <w:spacing w:after="0"/>
              <w:rPr>
                <w:sz w:val="22"/>
                <w:szCs w:val="22"/>
                <w:color w:val="auto"/>
              </w:rPr>
            </w:pPr>
          </w:p>
        </w:tc>
        <w:tc>
          <w:tcPr>
            <w:tcW w:w="1680" w:type="dxa"/>
            <w:vAlign w:val="bottom"/>
            <w:tcBorders>
              <w:right w:val="single" w:sz="8" w:color="C0C0C0"/>
            </w:tcBorders>
            <w:gridSpan w:val="12"/>
            <w:shd w:val="clear" w:color="auto" w:fill="C0C0C0"/>
          </w:tcPr>
          <w:p>
            <w:pPr>
              <w:spacing w:after="0"/>
              <w:rPr>
                <w:sz w:val="22"/>
                <w:szCs w:val="22"/>
                <w:color w:val="auto"/>
              </w:rPr>
            </w:pPr>
          </w:p>
        </w:tc>
        <w:tc>
          <w:tcPr>
            <w:tcW w:w="1000" w:type="dxa"/>
            <w:vAlign w:val="bottom"/>
            <w:tcBorders>
              <w:right w:val="single" w:sz="8" w:color="C0C0C0"/>
            </w:tcBorders>
            <w:gridSpan w:val="7"/>
            <w:shd w:val="clear" w:color="auto" w:fill="C0C0C0"/>
          </w:tcPr>
          <w:p>
            <w:pPr>
              <w:spacing w:after="0"/>
              <w:rPr>
                <w:sz w:val="22"/>
                <w:szCs w:val="22"/>
                <w:color w:val="auto"/>
              </w:rPr>
            </w:pPr>
          </w:p>
        </w:tc>
        <w:tc>
          <w:tcPr>
            <w:tcW w:w="1040" w:type="dxa"/>
            <w:vAlign w:val="bottom"/>
            <w:tcBorders>
              <w:right w:val="single" w:sz="8" w:color="C0C0C0"/>
            </w:tcBorders>
            <w:gridSpan w:val="10"/>
            <w:shd w:val="clear" w:color="auto" w:fill="C0C0C0"/>
          </w:tcPr>
          <w:p>
            <w:pPr>
              <w:spacing w:after="0"/>
              <w:rPr>
                <w:sz w:val="22"/>
                <w:szCs w:val="22"/>
                <w:color w:val="auto"/>
              </w:rPr>
            </w:pPr>
          </w:p>
        </w:tc>
        <w:tc>
          <w:tcPr>
            <w:tcW w:w="1060" w:type="dxa"/>
            <w:vAlign w:val="bottom"/>
            <w:tcBorders>
              <w:right w:val="single" w:sz="8" w:color="C0C0C0"/>
            </w:tcBorders>
            <w:gridSpan w:val="8"/>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0C0C0"/>
          </w:tcPr>
          <w:p>
            <w:pPr>
              <w:ind w:left="200"/>
              <w:spacing w:after="0" w:line="183" w:lineRule="exact"/>
              <w:rPr>
                <w:sz w:val="20"/>
                <w:szCs w:val="20"/>
                <w:color w:val="auto"/>
              </w:rPr>
            </w:pPr>
            <w:r>
              <w:rPr>
                <w:rFonts w:ascii="Arial" w:cs="Arial" w:eastAsia="Arial" w:hAnsi="Arial"/>
                <w:sz w:val="17"/>
                <w:szCs w:val="17"/>
                <w:b w:val="1"/>
                <w:bCs w:val="1"/>
                <w:color w:val="auto"/>
              </w:rPr>
              <w:t>December 31, 1998</w:t>
            </w:r>
          </w:p>
        </w:tc>
        <w:tc>
          <w:tcPr>
            <w:tcW w:w="580" w:type="dxa"/>
            <w:vAlign w:val="bottom"/>
            <w:gridSpan w:val="5"/>
            <w:shd w:val="clear" w:color="auto" w:fill="C0C0C0"/>
          </w:tcPr>
          <w:p>
            <w:pPr>
              <w:jc w:val="right"/>
              <w:spacing w:after="0" w:line="183" w:lineRule="exact"/>
              <w:rPr>
                <w:sz w:val="20"/>
                <w:szCs w:val="20"/>
                <w:color w:val="auto"/>
              </w:rPr>
            </w:pPr>
            <w:r>
              <w:rPr>
                <w:rFonts w:ascii="Arial" w:cs="Arial" w:eastAsia="Arial" w:hAnsi="Arial"/>
                <w:sz w:val="17"/>
                <w:szCs w:val="17"/>
                <w:b w:val="1"/>
                <w:bCs w:val="1"/>
                <w:color w:val="auto"/>
              </w:rPr>
              <w:t>25,534</w:t>
            </w:r>
          </w:p>
        </w:tc>
        <w:tc>
          <w:tcPr>
            <w:tcW w:w="1020" w:type="dxa"/>
            <w:vAlign w:val="bottom"/>
            <w:gridSpan w:val="5"/>
            <w:shd w:val="clear" w:color="auto" w:fill="C0C0C0"/>
          </w:tcPr>
          <w:p>
            <w:pPr>
              <w:jc w:val="right"/>
              <w:spacing w:after="0" w:line="183" w:lineRule="exact"/>
              <w:rPr>
                <w:sz w:val="20"/>
                <w:szCs w:val="20"/>
                <w:color w:val="auto"/>
              </w:rPr>
            </w:pPr>
            <w:r>
              <w:rPr>
                <w:rFonts w:ascii="Arial" w:cs="Arial" w:eastAsia="Arial" w:hAnsi="Arial"/>
                <w:sz w:val="17"/>
                <w:szCs w:val="17"/>
                <w:b w:val="1"/>
                <w:bCs w:val="1"/>
                <w:color w:val="auto"/>
              </w:rPr>
              <w:t>2,553</w:t>
            </w:r>
          </w:p>
        </w:tc>
        <w:tc>
          <w:tcPr>
            <w:tcW w:w="1340" w:type="dxa"/>
            <w:vAlign w:val="bottom"/>
            <w:gridSpan w:val="7"/>
            <w:shd w:val="clear" w:color="auto" w:fill="C0C0C0"/>
          </w:tcPr>
          <w:p>
            <w:pPr>
              <w:jc w:val="right"/>
              <w:ind w:right="320"/>
              <w:spacing w:after="0" w:line="183" w:lineRule="exact"/>
              <w:rPr>
                <w:sz w:val="20"/>
                <w:szCs w:val="20"/>
                <w:color w:val="auto"/>
              </w:rPr>
            </w:pPr>
            <w:r>
              <w:rPr>
                <w:rFonts w:ascii="Arial" w:cs="Arial" w:eastAsia="Arial" w:hAnsi="Arial"/>
                <w:sz w:val="17"/>
                <w:szCs w:val="17"/>
                <w:b w:val="1"/>
                <w:bCs w:val="1"/>
                <w:color w:val="auto"/>
              </w:rPr>
              <w:t>144,088</w:t>
            </w:r>
          </w:p>
        </w:tc>
        <w:tc>
          <w:tcPr>
            <w:tcW w:w="680" w:type="dxa"/>
            <w:vAlign w:val="bottom"/>
            <w:gridSpan w:val="5"/>
            <w:shd w:val="clear" w:color="auto" w:fill="C0C0C0"/>
          </w:tcPr>
          <w:p>
            <w:pPr>
              <w:jc w:val="right"/>
              <w:ind w:right="20"/>
              <w:spacing w:after="0" w:line="183" w:lineRule="exact"/>
              <w:rPr>
                <w:sz w:val="20"/>
                <w:szCs w:val="20"/>
                <w:color w:val="auto"/>
              </w:rPr>
            </w:pPr>
            <w:r>
              <w:rPr>
                <w:rFonts w:ascii="Arial" w:cs="Arial" w:eastAsia="Arial" w:hAnsi="Arial"/>
                <w:sz w:val="17"/>
                <w:szCs w:val="17"/>
                <w:b w:val="1"/>
                <w:bCs w:val="1"/>
                <w:color w:val="auto"/>
              </w:rPr>
              <w:t>467,257</w:t>
            </w:r>
          </w:p>
        </w:tc>
        <w:tc>
          <w:tcPr>
            <w:tcW w:w="2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1640" w:type="dxa"/>
            <w:vAlign w:val="bottom"/>
            <w:gridSpan w:val="9"/>
            <w:shd w:val="clear" w:color="auto" w:fill="C0C0C0"/>
          </w:tcPr>
          <w:p>
            <w:pPr>
              <w:jc w:val="right"/>
              <w:ind w:right="440"/>
              <w:spacing w:after="0" w:line="183" w:lineRule="exact"/>
              <w:rPr>
                <w:sz w:val="20"/>
                <w:szCs w:val="20"/>
                <w:color w:val="auto"/>
              </w:rPr>
            </w:pPr>
            <w:r>
              <w:rPr>
                <w:rFonts w:ascii="Arial" w:cs="Arial" w:eastAsia="Arial" w:hAnsi="Arial"/>
                <w:sz w:val="17"/>
                <w:szCs w:val="17"/>
                <w:b w:val="1"/>
                <w:bCs w:val="1"/>
                <w:color w:val="auto"/>
              </w:rPr>
              <w:t>(9,612)</w:t>
            </w:r>
          </w:p>
        </w:tc>
        <w:tc>
          <w:tcPr>
            <w:tcW w:w="780" w:type="dxa"/>
            <w:vAlign w:val="bottom"/>
            <w:gridSpan w:val="7"/>
            <w:shd w:val="clear" w:color="auto" w:fill="C0C0C0"/>
          </w:tcPr>
          <w:p>
            <w:pPr>
              <w:jc w:val="right"/>
              <w:ind w:right="200"/>
              <w:spacing w:after="0" w:line="183" w:lineRule="exact"/>
              <w:rPr>
                <w:sz w:val="20"/>
                <w:szCs w:val="20"/>
                <w:color w:val="auto"/>
              </w:rPr>
            </w:pPr>
            <w:r>
              <w:rPr>
                <w:rFonts w:ascii="Arial" w:cs="Arial" w:eastAsia="Arial" w:hAnsi="Arial"/>
                <w:sz w:val="17"/>
                <w:szCs w:val="17"/>
                <w:b w:val="1"/>
                <w:bCs w:val="1"/>
                <w:color w:val="auto"/>
              </w:rPr>
              <w:t>(3,721)</w:t>
            </w:r>
          </w:p>
        </w:tc>
        <w:tc>
          <w:tcPr>
            <w:tcW w:w="1020" w:type="dxa"/>
            <w:vAlign w:val="bottom"/>
            <w:gridSpan w:val="10"/>
            <w:shd w:val="clear" w:color="auto" w:fill="C0C0C0"/>
          </w:tcPr>
          <w:p>
            <w:pPr>
              <w:jc w:val="right"/>
              <w:ind w:right="180"/>
              <w:spacing w:after="0" w:line="183" w:lineRule="exact"/>
              <w:rPr>
                <w:sz w:val="20"/>
                <w:szCs w:val="20"/>
                <w:color w:val="auto"/>
              </w:rPr>
            </w:pPr>
            <w:r>
              <w:rPr>
                <w:rFonts w:ascii="Arial" w:cs="Arial" w:eastAsia="Arial" w:hAnsi="Arial"/>
                <w:sz w:val="17"/>
                <w:szCs w:val="17"/>
                <w:b w:val="1"/>
                <w:bCs w:val="1"/>
                <w:color w:val="auto"/>
              </w:rPr>
              <w:t>(115,123)</w:t>
            </w:r>
          </w:p>
        </w:tc>
        <w:tc>
          <w:tcPr>
            <w:tcW w:w="860" w:type="dxa"/>
            <w:vAlign w:val="bottom"/>
            <w:tcBorders>
              <w:right w:val="single" w:sz="8" w:color="C0C0C0"/>
            </w:tcBorders>
            <w:gridSpan w:val="7"/>
            <w:shd w:val="clear" w:color="auto" w:fill="C0C0C0"/>
          </w:tcPr>
          <w:p>
            <w:pPr>
              <w:jc w:val="right"/>
              <w:ind w:right="40"/>
              <w:spacing w:after="0" w:line="183" w:lineRule="exact"/>
              <w:rPr>
                <w:sz w:val="20"/>
                <w:szCs w:val="20"/>
                <w:color w:val="auto"/>
              </w:rPr>
            </w:pPr>
            <w:r>
              <w:rPr>
                <w:rFonts w:ascii="Arial" w:cs="Arial" w:eastAsia="Arial" w:hAnsi="Arial"/>
                <w:sz w:val="17"/>
                <w:szCs w:val="17"/>
                <w:b w:val="1"/>
                <w:bCs w:val="1"/>
                <w:color w:val="auto"/>
              </w:rPr>
              <w:t>489,163</w:t>
            </w:r>
          </w:p>
        </w:tc>
        <w:tc>
          <w:tcPr>
            <w:tcW w:w="6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3460" w:type="dxa"/>
            <w:vAlign w:val="bottom"/>
            <w:tcBorders>
              <w:top w:val="single" w:sz="8" w:color="C0C0C0"/>
            </w:tcBorders>
            <w:gridSpan w:val="2"/>
            <w:shd w:val="clear" w:color="auto" w:fill="C0C0C0"/>
          </w:tcPr>
          <w:p>
            <w:pPr>
              <w:spacing w:after="0"/>
              <w:rPr>
                <w:sz w:val="7"/>
                <w:szCs w:val="7"/>
                <w:color w:val="auto"/>
              </w:rPr>
            </w:pPr>
          </w:p>
        </w:tc>
        <w:tc>
          <w:tcPr>
            <w:tcW w:w="460" w:type="dxa"/>
            <w:vAlign w:val="bottom"/>
            <w:tcBorders>
              <w:top w:val="single" w:sz="8" w:color="auto"/>
            </w:tcBorders>
            <w:gridSpan w:val="4"/>
            <w:shd w:val="clear" w:color="auto" w:fill="C0C0C0"/>
          </w:tcPr>
          <w:p>
            <w:pPr>
              <w:spacing w:after="0"/>
              <w:rPr>
                <w:sz w:val="7"/>
                <w:szCs w:val="7"/>
                <w:color w:val="auto"/>
              </w:rPr>
            </w:pPr>
          </w:p>
        </w:tc>
        <w:tc>
          <w:tcPr>
            <w:tcW w:w="640" w:type="dxa"/>
            <w:vAlign w:val="bottom"/>
            <w:tcBorders>
              <w:top w:val="single" w:sz="8" w:color="C0C0C0"/>
            </w:tcBorders>
            <w:gridSpan w:val="2"/>
            <w:shd w:val="clear" w:color="auto" w:fill="C0C0C0"/>
          </w:tcPr>
          <w:p>
            <w:pPr>
              <w:spacing w:after="0"/>
              <w:rPr>
                <w:sz w:val="7"/>
                <w:szCs w:val="7"/>
                <w:color w:val="auto"/>
              </w:rPr>
            </w:pPr>
          </w:p>
        </w:tc>
        <w:tc>
          <w:tcPr>
            <w:tcW w:w="380" w:type="dxa"/>
            <w:vAlign w:val="bottom"/>
            <w:tcBorders>
              <w:top w:val="single" w:sz="8" w:color="auto"/>
            </w:tcBorders>
            <w:gridSpan w:val="3"/>
            <w:shd w:val="clear" w:color="auto" w:fill="C0C0C0"/>
          </w:tcPr>
          <w:p>
            <w:pPr>
              <w:spacing w:after="0"/>
              <w:rPr>
                <w:sz w:val="7"/>
                <w:szCs w:val="7"/>
                <w:color w:val="auto"/>
              </w:rPr>
            </w:pPr>
          </w:p>
        </w:tc>
        <w:tc>
          <w:tcPr>
            <w:tcW w:w="460" w:type="dxa"/>
            <w:vAlign w:val="bottom"/>
            <w:tcBorders>
              <w:top w:val="single" w:sz="8" w:color="C0C0C0"/>
            </w:tcBorders>
            <w:gridSpan w:val="2"/>
            <w:shd w:val="clear" w:color="auto" w:fill="C0C0C0"/>
          </w:tcPr>
          <w:p>
            <w:pPr>
              <w:spacing w:after="0"/>
              <w:rPr>
                <w:sz w:val="7"/>
                <w:szCs w:val="7"/>
                <w:color w:val="auto"/>
              </w:rPr>
            </w:pPr>
          </w:p>
        </w:tc>
        <w:tc>
          <w:tcPr>
            <w:tcW w:w="160" w:type="dxa"/>
            <w:vAlign w:val="bottom"/>
            <w:tcBorders>
              <w:top w:val="single" w:sz="8" w:color="auto"/>
              <w:right w:val="single" w:sz="8" w:color="C0C0C0"/>
            </w:tcBorders>
            <w:gridSpan w:val="2"/>
            <w:shd w:val="clear" w:color="auto" w:fill="C0C0C0"/>
          </w:tcPr>
          <w:p>
            <w:pPr>
              <w:spacing w:after="0"/>
              <w:rPr>
                <w:sz w:val="7"/>
                <w:szCs w:val="7"/>
                <w:color w:val="auto"/>
              </w:rPr>
            </w:pPr>
          </w:p>
        </w:tc>
        <w:tc>
          <w:tcPr>
            <w:tcW w:w="400" w:type="dxa"/>
            <w:vAlign w:val="bottom"/>
            <w:tcBorders>
              <w:top w:val="single" w:sz="8" w:color="auto"/>
            </w:tcBorders>
            <w:gridSpan w:val="2"/>
            <w:shd w:val="clear" w:color="auto" w:fill="C0C0C0"/>
          </w:tcPr>
          <w:p>
            <w:pPr>
              <w:spacing w:after="0"/>
              <w:rPr>
                <w:sz w:val="7"/>
                <w:szCs w:val="7"/>
                <w:color w:val="auto"/>
              </w:rPr>
            </w:pPr>
          </w:p>
        </w:tc>
        <w:tc>
          <w:tcPr>
            <w:tcW w:w="420" w:type="dxa"/>
            <w:vAlign w:val="bottom"/>
            <w:tcBorders>
              <w:top w:val="single" w:sz="8" w:color="C0C0C0"/>
            </w:tcBorders>
            <w:gridSpan w:val="2"/>
            <w:shd w:val="clear" w:color="auto" w:fill="C0C0C0"/>
          </w:tcPr>
          <w:p>
            <w:pPr>
              <w:spacing w:after="0"/>
              <w:rPr>
                <w:sz w:val="7"/>
                <w:szCs w:val="7"/>
                <w:color w:val="auto"/>
              </w:rPr>
            </w:pPr>
          </w:p>
        </w:tc>
        <w:tc>
          <w:tcPr>
            <w:tcW w:w="200" w:type="dxa"/>
            <w:vAlign w:val="bottom"/>
            <w:tcBorders>
              <w:top w:val="single" w:sz="8" w:color="auto"/>
              <w:right w:val="single" w:sz="8" w:color="C0C0C0"/>
            </w:tcBorders>
            <w:gridSpan w:val="2"/>
            <w:shd w:val="clear" w:color="auto" w:fill="C0C0C0"/>
          </w:tcPr>
          <w:p>
            <w:pPr>
              <w:spacing w:after="0"/>
              <w:rPr>
                <w:sz w:val="7"/>
                <w:szCs w:val="7"/>
                <w:color w:val="auto"/>
              </w:rPr>
            </w:pPr>
          </w:p>
        </w:tc>
        <w:tc>
          <w:tcPr>
            <w:tcW w:w="400" w:type="dxa"/>
            <w:vAlign w:val="bottom"/>
            <w:tcBorders>
              <w:top w:val="single" w:sz="8" w:color="auto"/>
            </w:tcBorders>
            <w:gridSpan w:val="3"/>
            <w:shd w:val="clear" w:color="auto" w:fill="C0C0C0"/>
          </w:tcPr>
          <w:p>
            <w:pPr>
              <w:spacing w:after="0"/>
              <w:rPr>
                <w:sz w:val="7"/>
                <w:szCs w:val="7"/>
                <w:color w:val="auto"/>
              </w:rPr>
            </w:pPr>
          </w:p>
        </w:tc>
        <w:tc>
          <w:tcPr>
            <w:tcW w:w="700" w:type="dxa"/>
            <w:vAlign w:val="bottom"/>
            <w:tcBorders>
              <w:top w:val="single" w:sz="8" w:color="C0C0C0"/>
            </w:tcBorders>
            <w:gridSpan w:val="3"/>
            <w:shd w:val="clear" w:color="auto" w:fill="C0C0C0"/>
          </w:tcPr>
          <w:p>
            <w:pPr>
              <w:spacing w:after="0"/>
              <w:rPr>
                <w:sz w:val="7"/>
                <w:szCs w:val="7"/>
                <w:color w:val="auto"/>
              </w:rPr>
            </w:pPr>
          </w:p>
        </w:tc>
        <w:tc>
          <w:tcPr>
            <w:tcW w:w="520" w:type="dxa"/>
            <w:vAlign w:val="bottom"/>
            <w:tcBorders>
              <w:top w:val="single" w:sz="8" w:color="auto"/>
            </w:tcBorders>
            <w:gridSpan w:val="4"/>
            <w:shd w:val="clear" w:color="auto" w:fill="C0C0C0"/>
          </w:tcPr>
          <w:p>
            <w:pPr>
              <w:spacing w:after="0"/>
              <w:rPr>
                <w:sz w:val="7"/>
                <w:szCs w:val="7"/>
                <w:color w:val="auto"/>
              </w:rPr>
            </w:pPr>
          </w:p>
        </w:tc>
        <w:tc>
          <w:tcPr>
            <w:tcW w:w="60" w:type="dxa"/>
            <w:vAlign w:val="bottom"/>
            <w:tcBorders>
              <w:top w:val="single" w:sz="8" w:color="C0C0C0"/>
              <w:right w:val="single" w:sz="8" w:color="C0C0C0"/>
            </w:tcBorders>
            <w:gridSpan w:val="2"/>
            <w:shd w:val="clear" w:color="auto" w:fill="C0C0C0"/>
          </w:tcPr>
          <w:p>
            <w:pPr>
              <w:spacing w:after="0"/>
              <w:rPr>
                <w:sz w:val="7"/>
                <w:szCs w:val="7"/>
                <w:color w:val="auto"/>
              </w:rPr>
            </w:pPr>
          </w:p>
        </w:tc>
        <w:tc>
          <w:tcPr>
            <w:tcW w:w="540" w:type="dxa"/>
            <w:vAlign w:val="bottom"/>
            <w:tcBorders>
              <w:top w:val="single" w:sz="8" w:color="C0C0C0"/>
            </w:tcBorders>
            <w:gridSpan w:val="2"/>
            <w:shd w:val="clear" w:color="auto" w:fill="C0C0C0"/>
          </w:tcPr>
          <w:p>
            <w:pPr>
              <w:spacing w:after="0"/>
              <w:rPr>
                <w:sz w:val="7"/>
                <w:szCs w:val="7"/>
                <w:color w:val="auto"/>
              </w:rPr>
            </w:pPr>
          </w:p>
        </w:tc>
        <w:tc>
          <w:tcPr>
            <w:tcW w:w="460" w:type="dxa"/>
            <w:vAlign w:val="bottom"/>
            <w:tcBorders>
              <w:top w:val="single" w:sz="8" w:color="auto"/>
              <w:right w:val="single" w:sz="8" w:color="C0C0C0"/>
            </w:tcBorders>
            <w:gridSpan w:val="5"/>
            <w:shd w:val="clear" w:color="auto" w:fill="C0C0C0"/>
          </w:tcPr>
          <w:p>
            <w:pPr>
              <w:spacing w:after="0"/>
              <w:rPr>
                <w:sz w:val="7"/>
                <w:szCs w:val="7"/>
                <w:color w:val="auto"/>
              </w:rPr>
            </w:pPr>
          </w:p>
        </w:tc>
        <w:tc>
          <w:tcPr>
            <w:tcW w:w="400" w:type="dxa"/>
            <w:vAlign w:val="bottom"/>
            <w:tcBorders>
              <w:top w:val="single" w:sz="8" w:color="C0C0C0"/>
            </w:tcBorders>
            <w:gridSpan w:val="2"/>
            <w:shd w:val="clear" w:color="auto" w:fill="C0C0C0"/>
          </w:tcPr>
          <w:p>
            <w:pPr>
              <w:spacing w:after="0"/>
              <w:rPr>
                <w:sz w:val="7"/>
                <w:szCs w:val="7"/>
                <w:color w:val="auto"/>
              </w:rPr>
            </w:pPr>
          </w:p>
        </w:tc>
        <w:tc>
          <w:tcPr>
            <w:tcW w:w="600" w:type="dxa"/>
            <w:vAlign w:val="bottom"/>
            <w:tcBorders>
              <w:top w:val="single" w:sz="8" w:color="auto"/>
            </w:tcBorders>
            <w:gridSpan w:val="7"/>
            <w:shd w:val="clear" w:color="auto" w:fill="C0C0C0"/>
          </w:tcPr>
          <w:p>
            <w:pPr>
              <w:spacing w:after="0"/>
              <w:rPr>
                <w:sz w:val="7"/>
                <w:szCs w:val="7"/>
                <w:color w:val="auto"/>
              </w:rPr>
            </w:pPr>
          </w:p>
        </w:tc>
        <w:tc>
          <w:tcPr>
            <w:tcW w:w="40" w:type="dxa"/>
            <w:vAlign w:val="bottom"/>
            <w:tcBorders>
              <w:top w:val="single" w:sz="8" w:color="C0C0C0"/>
              <w:right w:val="single" w:sz="8" w:color="C0C0C0"/>
            </w:tcBorders>
            <w:shd w:val="clear" w:color="auto" w:fill="C0C0C0"/>
          </w:tcPr>
          <w:p>
            <w:pPr>
              <w:spacing w:after="0"/>
              <w:rPr>
                <w:sz w:val="7"/>
                <w:szCs w:val="7"/>
                <w:color w:val="auto"/>
              </w:rPr>
            </w:pPr>
          </w:p>
        </w:tc>
        <w:tc>
          <w:tcPr>
            <w:tcW w:w="460" w:type="dxa"/>
            <w:vAlign w:val="bottom"/>
            <w:tcBorders>
              <w:top w:val="single" w:sz="8" w:color="C0C0C0"/>
            </w:tcBorders>
            <w:gridSpan w:val="3"/>
            <w:shd w:val="clear" w:color="auto" w:fill="C0C0C0"/>
          </w:tcPr>
          <w:p>
            <w:pPr>
              <w:spacing w:after="0"/>
              <w:rPr>
                <w:sz w:val="7"/>
                <w:szCs w:val="7"/>
                <w:color w:val="auto"/>
              </w:rPr>
            </w:pPr>
          </w:p>
        </w:tc>
        <w:tc>
          <w:tcPr>
            <w:tcW w:w="600" w:type="dxa"/>
            <w:vAlign w:val="bottom"/>
            <w:tcBorders>
              <w:top w:val="single" w:sz="8" w:color="auto"/>
              <w:right w:val="single" w:sz="8" w:color="C0C0C0"/>
            </w:tcBorders>
            <w:gridSpan w:val="5"/>
            <w:shd w:val="clear" w:color="auto" w:fill="C0C0C0"/>
          </w:tcPr>
          <w:p>
            <w:pPr>
              <w:spacing w:after="0"/>
              <w:rPr>
                <w:sz w:val="7"/>
                <w:szCs w:val="7"/>
                <w:color w:val="auto"/>
              </w:rPr>
            </w:pPr>
          </w:p>
        </w:tc>
        <w:tc>
          <w:tcPr>
            <w:tcW w:w="60" w:type="dxa"/>
            <w:vAlign w:val="bottom"/>
            <w:tcBorders>
              <w:top w:val="single" w:sz="8" w:color="C0C0C0"/>
            </w:tcBorders>
            <w:shd w:val="clear" w:color="auto" w:fill="C0C0C0"/>
          </w:tcPr>
          <w:p>
            <w:pPr>
              <w:spacing w:after="0"/>
              <w:rPr>
                <w:sz w:val="7"/>
                <w:szCs w:val="7"/>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Comprehensive income:</w:t>
      </w:r>
    </w:p>
    <w:p>
      <w:pPr>
        <w:sectPr>
          <w:pgSz w:w="11900" w:h="16838" w:orient="portrait"/>
          <w:cols w:equalWidth="0" w:num="1">
            <w:col w:w="11520"/>
          </w:cols>
          <w:pgMar w:left="240" w:top="91" w:right="13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3420" w:type="dxa"/>
            <w:vAlign w:val="bottom"/>
          </w:tcPr>
          <w:p>
            <w:pPr>
              <w:ind w:left="80"/>
              <w:spacing w:after="0"/>
              <w:rPr>
                <w:sz w:val="20"/>
                <w:szCs w:val="20"/>
                <w:color w:val="auto"/>
              </w:rPr>
            </w:pPr>
            <w:r>
              <w:rPr>
                <w:rFonts w:ascii="Arial" w:cs="Arial" w:eastAsia="Arial" w:hAnsi="Arial"/>
                <w:sz w:val="17"/>
                <w:szCs w:val="17"/>
                <w:color w:val="auto"/>
              </w:rPr>
              <w:t>Net income</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6"/>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7"/>
                <w:szCs w:val="17"/>
                <w:color w:val="auto"/>
              </w:rPr>
              <w:t>62,116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62,116</w:t>
            </w:r>
          </w:p>
        </w:tc>
        <w:tc>
          <w:tcPr>
            <w:tcW w:w="100" w:type="dxa"/>
            <w:vAlign w:val="bottom"/>
          </w:tcPr>
          <w:p>
            <w:pPr>
              <w:spacing w:after="0"/>
              <w:rPr>
                <w:sz w:val="18"/>
                <w:szCs w:val="18"/>
                <w:color w:val="auto"/>
              </w:rPr>
            </w:pPr>
          </w:p>
        </w:tc>
      </w:tr>
      <w:tr>
        <w:trPr>
          <w:trHeight w:val="340"/>
        </w:trPr>
        <w:tc>
          <w:tcPr>
            <w:tcW w:w="3420" w:type="dxa"/>
            <w:vAlign w:val="bottom"/>
          </w:tcPr>
          <w:p>
            <w:pPr>
              <w:ind w:left="80"/>
              <w:spacing w:after="0"/>
              <w:rPr>
                <w:sz w:val="20"/>
                <w:szCs w:val="20"/>
                <w:color w:val="auto"/>
              </w:rPr>
            </w:pPr>
            <w:r>
              <w:rPr>
                <w:rFonts w:ascii="Arial" w:cs="Arial" w:eastAsia="Arial" w:hAnsi="Arial"/>
                <w:sz w:val="17"/>
                <w:szCs w:val="17"/>
                <w:color w:val="auto"/>
              </w:rPr>
              <w:t>Currency translation adjustment</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000" w:type="dxa"/>
            <w:vAlign w:val="bottom"/>
            <w:gridSpan w:val="6"/>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7"/>
                <w:szCs w:val="17"/>
                <w:color w:val="auto"/>
              </w:rPr>
              <w:t>(19,167)</w:t>
            </w: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7"/>
          </w:tcPr>
          <w:p>
            <w:pPr>
              <w:jc w:val="right"/>
              <w:ind w:right="60"/>
              <w:spacing w:after="0"/>
              <w:rPr>
                <w:sz w:val="20"/>
                <w:szCs w:val="20"/>
                <w:color w:val="auto"/>
              </w:rPr>
            </w:pPr>
            <w:r>
              <w:rPr>
                <w:rFonts w:ascii="Arial" w:cs="Arial" w:eastAsia="Arial" w:hAnsi="Arial"/>
                <w:sz w:val="17"/>
                <w:szCs w:val="17"/>
                <w:color w:val="auto"/>
              </w:rPr>
              <w:t>(19,167)</w:t>
            </w:r>
          </w:p>
        </w:tc>
      </w:tr>
      <w:tr>
        <w:trPr>
          <w:trHeight w:val="334"/>
        </w:trPr>
        <w:tc>
          <w:tcPr>
            <w:tcW w:w="3420" w:type="dxa"/>
            <w:vAlign w:val="bottom"/>
          </w:tcPr>
          <w:p>
            <w:pPr>
              <w:ind w:left="80"/>
              <w:spacing w:after="0"/>
              <w:rPr>
                <w:sz w:val="20"/>
                <w:szCs w:val="20"/>
                <w:color w:val="auto"/>
              </w:rPr>
            </w:pPr>
            <w:r>
              <w:rPr>
                <w:rFonts w:ascii="Arial" w:cs="Arial" w:eastAsia="Arial" w:hAnsi="Arial"/>
                <w:sz w:val="17"/>
                <w:szCs w:val="17"/>
                <w:color w:val="auto"/>
              </w:rPr>
              <w:t>Reclassification adjustment of unrealized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20" w:type="dxa"/>
            <w:vAlign w:val="bottom"/>
          </w:tcPr>
          <w:p>
            <w:pPr>
              <w:ind w:left="80"/>
              <w:spacing w:after="0"/>
              <w:rPr>
                <w:sz w:val="20"/>
                <w:szCs w:val="20"/>
                <w:color w:val="auto"/>
              </w:rPr>
            </w:pPr>
            <w:r>
              <w:rPr>
                <w:rFonts w:ascii="Arial" w:cs="Arial" w:eastAsia="Arial" w:hAnsi="Arial"/>
                <w:sz w:val="17"/>
                <w:szCs w:val="17"/>
                <w:color w:val="auto"/>
              </w:rPr>
              <w:t>holding gains,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9"/>
        </w:trPr>
        <w:tc>
          <w:tcPr>
            <w:tcW w:w="3420" w:type="dxa"/>
            <w:vAlign w:val="bottom"/>
          </w:tcPr>
          <w:p>
            <w:pPr>
              <w:ind w:left="80"/>
              <w:spacing w:after="0" w:line="179" w:lineRule="exact"/>
              <w:rPr>
                <w:sz w:val="20"/>
                <w:szCs w:val="20"/>
                <w:color w:val="auto"/>
              </w:rPr>
            </w:pPr>
            <w:r>
              <w:rPr>
                <w:rFonts w:ascii="Arial" w:cs="Arial" w:eastAsia="Arial" w:hAnsi="Arial"/>
                <w:sz w:val="17"/>
                <w:szCs w:val="17"/>
                <w:color w:val="auto"/>
              </w:rPr>
              <w:t>net of tax</w:t>
            </w:r>
          </w:p>
        </w:tc>
        <w:tc>
          <w:tcPr>
            <w:tcW w:w="140" w:type="dxa"/>
            <w:vAlign w:val="bottom"/>
            <w:gridSpan w:val="3"/>
          </w:tcPr>
          <w:p>
            <w:pPr>
              <w:spacing w:after="0"/>
              <w:rPr>
                <w:sz w:val="15"/>
                <w:szCs w:val="15"/>
                <w:color w:val="auto"/>
              </w:rPr>
            </w:pPr>
          </w:p>
        </w:tc>
        <w:tc>
          <w:tcPr>
            <w:tcW w:w="360" w:type="dxa"/>
            <w:vAlign w:val="bottom"/>
          </w:tcPr>
          <w:p>
            <w:pPr>
              <w:jc w:val="right"/>
              <w:spacing w:after="0" w:line="17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5"/>
                <w:szCs w:val="15"/>
                <w:color w:val="auto"/>
              </w:rPr>
            </w:pPr>
          </w:p>
        </w:tc>
        <w:tc>
          <w:tcPr>
            <w:tcW w:w="460" w:type="dxa"/>
            <w:vAlign w:val="bottom"/>
            <w:gridSpan w:val="4"/>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420" w:type="dxa"/>
            <w:vAlign w:val="bottom"/>
            <w:gridSpan w:val="4"/>
          </w:tcPr>
          <w:p>
            <w:pPr>
              <w:spacing w:after="0"/>
              <w:rPr>
                <w:sz w:val="15"/>
                <w:szCs w:val="15"/>
                <w:color w:val="auto"/>
              </w:rPr>
            </w:pPr>
          </w:p>
        </w:tc>
        <w:tc>
          <w:tcPr>
            <w:tcW w:w="580" w:type="dxa"/>
            <w:vAlign w:val="bottom"/>
            <w:gridSpan w:val="2"/>
          </w:tcPr>
          <w:p>
            <w:pPr>
              <w:jc w:val="right"/>
              <w:ind w:right="180"/>
              <w:spacing w:after="0" w:line="179" w:lineRule="exact"/>
              <w:rPr>
                <w:sz w:val="20"/>
                <w:szCs w:val="20"/>
                <w:color w:val="auto"/>
              </w:rPr>
            </w:pPr>
            <w:r>
              <w:rPr>
                <w:rFonts w:ascii="Arial" w:cs="Arial" w:eastAsia="Arial" w:hAnsi="Arial"/>
                <w:sz w:val="17"/>
                <w:szCs w:val="17"/>
                <w:color w:val="auto"/>
              </w:rPr>
              <w:t>--</w:t>
            </w:r>
          </w:p>
        </w:tc>
        <w:tc>
          <w:tcPr>
            <w:tcW w:w="82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4"/>
          </w:tcPr>
          <w:p>
            <w:pPr>
              <w:jc w:val="right"/>
              <w:ind w:right="240"/>
              <w:spacing w:after="0" w:line="179" w:lineRule="exact"/>
              <w:rPr>
                <w:sz w:val="20"/>
                <w:szCs w:val="20"/>
                <w:color w:val="auto"/>
              </w:rPr>
            </w:pPr>
            <w:r>
              <w:rPr>
                <w:rFonts w:ascii="Arial" w:cs="Arial" w:eastAsia="Arial" w:hAnsi="Arial"/>
                <w:sz w:val="17"/>
                <w:szCs w:val="17"/>
                <w:color w:val="auto"/>
              </w:rPr>
              <w:t>(86</w:t>
            </w:r>
            <w:r>
              <w:rPr>
                <w:rFonts w:ascii="Arial" w:cs="Arial" w:eastAsia="Arial" w:hAnsi="Arial"/>
                <w:sz w:val="13"/>
                <w:szCs w:val="13"/>
                <w:color w:val="auto"/>
              </w:rPr>
              <w:t>)</w:t>
            </w:r>
          </w:p>
        </w:tc>
        <w:tc>
          <w:tcPr>
            <w:tcW w:w="780" w:type="dxa"/>
            <w:vAlign w:val="bottom"/>
            <w:gridSpan w:val="5"/>
          </w:tcPr>
          <w:p>
            <w:pPr>
              <w:jc w:val="right"/>
              <w:ind w:right="20"/>
              <w:spacing w:after="0" w:line="179" w:lineRule="exact"/>
              <w:rPr>
                <w:sz w:val="20"/>
                <w:szCs w:val="20"/>
                <w:color w:val="auto"/>
              </w:rPr>
            </w:pPr>
            <w:r>
              <w:rPr>
                <w:rFonts w:ascii="Arial" w:cs="Arial" w:eastAsia="Arial" w:hAnsi="Arial"/>
                <w:sz w:val="17"/>
                <w:szCs w:val="17"/>
                <w:color w:val="auto"/>
              </w:rPr>
              <w:t>--</w:t>
            </w:r>
          </w:p>
        </w:tc>
        <w:tc>
          <w:tcPr>
            <w:tcW w:w="1040" w:type="dxa"/>
            <w:vAlign w:val="bottom"/>
            <w:gridSpan w:val="7"/>
          </w:tcPr>
          <w:p>
            <w:pPr>
              <w:jc w:val="right"/>
              <w:ind w:right="20"/>
              <w:spacing w:after="0" w:line="17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920" w:type="dxa"/>
            <w:vAlign w:val="bottom"/>
            <w:gridSpan w:val="7"/>
          </w:tcPr>
          <w:p>
            <w:pPr>
              <w:jc w:val="right"/>
              <w:ind w:right="60"/>
              <w:spacing w:after="0" w:line="179" w:lineRule="exact"/>
              <w:rPr>
                <w:sz w:val="20"/>
                <w:szCs w:val="20"/>
                <w:color w:val="auto"/>
              </w:rPr>
            </w:pPr>
            <w:r>
              <w:rPr>
                <w:rFonts w:ascii="Arial" w:cs="Arial" w:eastAsia="Arial" w:hAnsi="Arial"/>
                <w:sz w:val="17"/>
                <w:szCs w:val="17"/>
                <w:color w:val="auto"/>
              </w:rPr>
              <w:t>(86</w:t>
            </w:r>
            <w:r>
              <w:rPr>
                <w:rFonts w:ascii="Arial" w:cs="Arial" w:eastAsia="Arial" w:hAnsi="Arial"/>
                <w:sz w:val="13"/>
                <w:szCs w:val="13"/>
                <w:color w:val="auto"/>
              </w:rPr>
              <w:t>)</w:t>
            </w:r>
          </w:p>
        </w:tc>
      </w:tr>
      <w:tr>
        <w:trPr>
          <w:trHeight w:val="20"/>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3420" w:type="dxa"/>
            <w:vAlign w:val="bottom"/>
          </w:tcPr>
          <w:p>
            <w:pPr>
              <w:ind w:left="200"/>
              <w:spacing w:after="0"/>
              <w:rPr>
                <w:sz w:val="20"/>
                <w:szCs w:val="20"/>
                <w:color w:val="auto"/>
              </w:rPr>
            </w:pPr>
            <w:r>
              <w:rPr>
                <w:rFonts w:ascii="Arial" w:cs="Arial" w:eastAsia="Arial" w:hAnsi="Arial"/>
                <w:sz w:val="17"/>
                <w:szCs w:val="17"/>
                <w:color w:val="auto"/>
              </w:rPr>
              <w:t>Total comprehensive income</w:t>
            </w:r>
          </w:p>
        </w:tc>
        <w:tc>
          <w:tcPr>
            <w:tcW w:w="14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4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420" w:type="dxa"/>
            <w:vAlign w:val="bottom"/>
            <w:gridSpan w:val="4"/>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62,116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7"/>
                <w:szCs w:val="17"/>
                <w:color w:val="auto"/>
              </w:rPr>
              <w:t>(19,253</w:t>
            </w:r>
            <w:r>
              <w:rPr>
                <w:rFonts w:ascii="Arial" w:cs="Arial" w:eastAsia="Arial" w:hAnsi="Arial"/>
                <w:sz w:val="13"/>
                <w:szCs w:val="13"/>
                <w:color w:val="auto"/>
              </w:rPr>
              <w:t>)</w:t>
            </w:r>
          </w:p>
        </w:tc>
        <w:tc>
          <w:tcPr>
            <w:tcW w:w="78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7"/>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42,863</w:t>
            </w:r>
          </w:p>
        </w:tc>
        <w:tc>
          <w:tcPr>
            <w:tcW w:w="100" w:type="dxa"/>
            <w:vAlign w:val="bottom"/>
          </w:tcPr>
          <w:p>
            <w:pPr>
              <w:spacing w:after="0"/>
              <w:rPr>
                <w:sz w:val="24"/>
                <w:szCs w:val="24"/>
                <w:color w:val="auto"/>
              </w:rPr>
            </w:pPr>
          </w:p>
        </w:tc>
      </w:tr>
      <w:tr>
        <w:trPr>
          <w:trHeight w:val="20"/>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8"/>
        </w:trPr>
        <w:tc>
          <w:tcPr>
            <w:tcW w:w="3420" w:type="dxa"/>
            <w:vAlign w:val="bottom"/>
          </w:tcPr>
          <w:p>
            <w:pPr>
              <w:ind w:left="80"/>
              <w:spacing w:after="0"/>
              <w:rPr>
                <w:sz w:val="20"/>
                <w:szCs w:val="20"/>
                <w:color w:val="auto"/>
              </w:rPr>
            </w:pPr>
            <w:r>
              <w:rPr>
                <w:rFonts w:ascii="Arial" w:cs="Arial" w:eastAsia="Arial" w:hAnsi="Arial"/>
                <w:sz w:val="17"/>
                <w:szCs w:val="17"/>
                <w:color w:val="auto"/>
              </w:rPr>
              <w:t>Dividends declared</w:t>
            </w:r>
          </w:p>
        </w:tc>
        <w:tc>
          <w:tcPr>
            <w:tcW w:w="14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4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420" w:type="dxa"/>
            <w:vAlign w:val="bottom"/>
            <w:gridSpan w:val="4"/>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6"/>
          </w:tcPr>
          <w:p>
            <w:pPr>
              <w:jc w:val="right"/>
              <w:ind w:right="280"/>
              <w:spacing w:after="0"/>
              <w:rPr>
                <w:sz w:val="20"/>
                <w:szCs w:val="20"/>
                <w:color w:val="auto"/>
              </w:rPr>
            </w:pPr>
            <w:r>
              <w:rPr>
                <w:rFonts w:ascii="Arial" w:cs="Arial" w:eastAsia="Arial" w:hAnsi="Arial"/>
                <w:sz w:val="17"/>
                <w:szCs w:val="17"/>
                <w:color w:val="auto"/>
              </w:rPr>
              <w:t>(2,138)</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7"/>
          </w:tcPr>
          <w:p>
            <w:pPr>
              <w:jc w:val="right"/>
              <w:ind w:right="60"/>
              <w:spacing w:after="0"/>
              <w:rPr>
                <w:sz w:val="20"/>
                <w:szCs w:val="20"/>
                <w:color w:val="auto"/>
              </w:rPr>
            </w:pPr>
            <w:r>
              <w:rPr>
                <w:rFonts w:ascii="Arial" w:cs="Arial" w:eastAsia="Arial" w:hAnsi="Arial"/>
                <w:sz w:val="17"/>
                <w:szCs w:val="17"/>
                <w:color w:val="auto"/>
              </w:rPr>
              <w:t>(2,138)</w:t>
            </w:r>
          </w:p>
        </w:tc>
      </w:tr>
      <w:tr>
        <w:trPr>
          <w:trHeight w:val="340"/>
        </w:trPr>
        <w:tc>
          <w:tcPr>
            <w:tcW w:w="3420" w:type="dxa"/>
            <w:vAlign w:val="bottom"/>
          </w:tcPr>
          <w:p>
            <w:pPr>
              <w:ind w:left="80"/>
              <w:spacing w:after="0"/>
              <w:rPr>
                <w:sz w:val="20"/>
                <w:szCs w:val="20"/>
                <w:color w:val="auto"/>
              </w:rPr>
            </w:pPr>
            <w:r>
              <w:rPr>
                <w:rFonts w:ascii="Arial" w:cs="Arial" w:eastAsia="Arial" w:hAnsi="Arial"/>
                <w:sz w:val="17"/>
                <w:szCs w:val="17"/>
                <w:color w:val="auto"/>
              </w:rPr>
              <w:t>Redemption of stock rights</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000" w:type="dxa"/>
            <w:vAlign w:val="bottom"/>
            <w:gridSpan w:val="6"/>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6"/>
          </w:tcPr>
          <w:p>
            <w:pPr>
              <w:jc w:val="right"/>
              <w:ind w:right="280"/>
              <w:spacing w:after="0"/>
              <w:rPr>
                <w:sz w:val="20"/>
                <w:szCs w:val="20"/>
                <w:color w:val="auto"/>
              </w:rPr>
            </w:pPr>
            <w:r>
              <w:rPr>
                <w:rFonts w:ascii="Arial" w:cs="Arial" w:eastAsia="Arial" w:hAnsi="Arial"/>
                <w:sz w:val="17"/>
                <w:szCs w:val="17"/>
                <w:color w:val="auto"/>
              </w:rPr>
              <w:t>(213)</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7"/>
          </w:tcPr>
          <w:p>
            <w:pPr>
              <w:jc w:val="right"/>
              <w:ind w:right="60"/>
              <w:spacing w:after="0"/>
              <w:rPr>
                <w:sz w:val="20"/>
                <w:szCs w:val="20"/>
                <w:color w:val="auto"/>
              </w:rPr>
            </w:pPr>
            <w:r>
              <w:rPr>
                <w:rFonts w:ascii="Arial" w:cs="Arial" w:eastAsia="Arial" w:hAnsi="Arial"/>
                <w:sz w:val="17"/>
                <w:szCs w:val="17"/>
                <w:color w:val="auto"/>
              </w:rPr>
              <w:t>(213)</w:t>
            </w:r>
          </w:p>
        </w:tc>
      </w:tr>
      <w:tr>
        <w:trPr>
          <w:trHeight w:val="340"/>
        </w:trPr>
        <w:tc>
          <w:tcPr>
            <w:tcW w:w="3420" w:type="dxa"/>
            <w:vAlign w:val="bottom"/>
          </w:tcPr>
          <w:p>
            <w:pPr>
              <w:ind w:left="80"/>
              <w:spacing w:after="0"/>
              <w:rPr>
                <w:sz w:val="20"/>
                <w:szCs w:val="20"/>
                <w:color w:val="auto"/>
              </w:rPr>
            </w:pPr>
            <w:r>
              <w:rPr>
                <w:rFonts w:ascii="Arial" w:cs="Arial" w:eastAsia="Arial" w:hAnsi="Arial"/>
                <w:sz w:val="17"/>
                <w:szCs w:val="17"/>
                <w:color w:val="auto"/>
              </w:rPr>
              <w:t>Employee benefit transactions</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171</w:t>
            </w:r>
          </w:p>
        </w:tc>
        <w:tc>
          <w:tcPr>
            <w:tcW w:w="28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24"/>
                <w:szCs w:val="24"/>
                <w:color w:val="auto"/>
              </w:rPr>
            </w:pPr>
          </w:p>
        </w:tc>
        <w:tc>
          <w:tcPr>
            <w:tcW w:w="1000" w:type="dxa"/>
            <w:vAlign w:val="bottom"/>
            <w:gridSpan w:val="6"/>
          </w:tcPr>
          <w:p>
            <w:pPr>
              <w:jc w:val="right"/>
              <w:ind w:right="180"/>
              <w:spacing w:after="0"/>
              <w:rPr>
                <w:sz w:val="20"/>
                <w:szCs w:val="20"/>
                <w:color w:val="auto"/>
              </w:rPr>
            </w:pPr>
            <w:r>
              <w:rPr>
                <w:rFonts w:ascii="Arial" w:cs="Arial" w:eastAsia="Arial" w:hAnsi="Arial"/>
                <w:sz w:val="17"/>
                <w:szCs w:val="17"/>
                <w:color w:val="auto"/>
              </w:rPr>
              <w:t>5,232</w:t>
            </w:r>
          </w:p>
        </w:tc>
        <w:tc>
          <w:tcPr>
            <w:tcW w:w="8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5,250</w:t>
            </w:r>
          </w:p>
        </w:tc>
        <w:tc>
          <w:tcPr>
            <w:tcW w:w="100" w:type="dxa"/>
            <w:vAlign w:val="bottom"/>
          </w:tcPr>
          <w:p>
            <w:pPr>
              <w:spacing w:after="0"/>
              <w:rPr>
                <w:sz w:val="24"/>
                <w:szCs w:val="24"/>
                <w:color w:val="auto"/>
              </w:rPr>
            </w:pPr>
          </w:p>
        </w:tc>
      </w:tr>
      <w:tr>
        <w:trPr>
          <w:trHeight w:val="334"/>
        </w:trPr>
        <w:tc>
          <w:tcPr>
            <w:tcW w:w="3420" w:type="dxa"/>
            <w:vAlign w:val="bottom"/>
          </w:tcPr>
          <w:p>
            <w:pPr>
              <w:ind w:left="80"/>
              <w:spacing w:after="0"/>
              <w:rPr>
                <w:sz w:val="20"/>
                <w:szCs w:val="20"/>
                <w:color w:val="auto"/>
              </w:rPr>
            </w:pPr>
            <w:r>
              <w:rPr>
                <w:rFonts w:ascii="Arial" w:cs="Arial" w:eastAsia="Arial" w:hAnsi="Arial"/>
                <w:sz w:val="17"/>
                <w:szCs w:val="17"/>
                <w:color w:val="auto"/>
              </w:rPr>
              <w:t>Income tax benefit arising from</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20" w:type="dxa"/>
            <w:vAlign w:val="bottom"/>
          </w:tcPr>
          <w:p>
            <w:pPr>
              <w:ind w:left="80"/>
              <w:spacing w:after="0"/>
              <w:rPr>
                <w:sz w:val="20"/>
                <w:szCs w:val="20"/>
                <w:color w:val="auto"/>
              </w:rPr>
            </w:pPr>
            <w:r>
              <w:rPr>
                <w:rFonts w:ascii="Arial" w:cs="Arial" w:eastAsia="Arial" w:hAnsi="Arial"/>
                <w:sz w:val="17"/>
                <w:szCs w:val="17"/>
                <w:color w:val="auto"/>
              </w:rPr>
              <w:t>employee stock option plans</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6"/>
          </w:tcPr>
          <w:p>
            <w:pPr>
              <w:jc w:val="right"/>
              <w:ind w:right="180"/>
              <w:spacing w:after="0"/>
              <w:rPr>
                <w:sz w:val="20"/>
                <w:szCs w:val="20"/>
                <w:color w:val="auto"/>
              </w:rPr>
            </w:pPr>
            <w:r>
              <w:rPr>
                <w:rFonts w:ascii="Arial" w:cs="Arial" w:eastAsia="Arial" w:hAnsi="Arial"/>
                <w:sz w:val="17"/>
                <w:szCs w:val="17"/>
                <w:color w:val="auto"/>
              </w:rPr>
              <w:t>995</w:t>
            </w:r>
          </w:p>
        </w:tc>
        <w:tc>
          <w:tcPr>
            <w:tcW w:w="8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995</w:t>
            </w:r>
          </w:p>
        </w:tc>
        <w:tc>
          <w:tcPr>
            <w:tcW w:w="100" w:type="dxa"/>
            <w:vAlign w:val="bottom"/>
          </w:tcPr>
          <w:p>
            <w:pPr>
              <w:spacing w:after="0"/>
              <w:rPr>
                <w:sz w:val="18"/>
                <w:szCs w:val="18"/>
                <w:color w:val="auto"/>
              </w:rPr>
            </w:pPr>
          </w:p>
        </w:tc>
      </w:tr>
      <w:tr>
        <w:trPr>
          <w:trHeight w:val="304"/>
        </w:trPr>
        <w:tc>
          <w:tcPr>
            <w:tcW w:w="3420" w:type="dxa"/>
            <w:vAlign w:val="bottom"/>
          </w:tcPr>
          <w:p>
            <w:pPr>
              <w:ind w:left="80"/>
              <w:spacing w:after="0"/>
              <w:rPr>
                <w:sz w:val="20"/>
                <w:szCs w:val="20"/>
                <w:color w:val="auto"/>
              </w:rPr>
            </w:pPr>
            <w:r>
              <w:rPr>
                <w:rFonts w:ascii="Arial" w:cs="Arial" w:eastAsia="Arial" w:hAnsi="Arial"/>
                <w:sz w:val="17"/>
                <w:szCs w:val="17"/>
                <w:color w:val="auto"/>
              </w:rPr>
              <w:t>Purchase of common stock</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000" w:type="dxa"/>
            <w:vAlign w:val="bottom"/>
            <w:gridSpan w:val="6"/>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780" w:type="dxa"/>
            <w:vAlign w:val="bottom"/>
            <w:gridSpan w:val="5"/>
          </w:tcPr>
          <w:p>
            <w:pPr>
              <w:jc w:val="right"/>
              <w:spacing w:after="0"/>
              <w:rPr>
                <w:sz w:val="20"/>
                <w:szCs w:val="20"/>
                <w:color w:val="auto"/>
              </w:rPr>
            </w:pPr>
            <w:r>
              <w:rPr>
                <w:rFonts w:ascii="Arial" w:cs="Arial" w:eastAsia="Arial" w:hAnsi="Arial"/>
                <w:sz w:val="17"/>
                <w:szCs w:val="17"/>
                <w:color w:val="auto"/>
              </w:rPr>
              <w:t>(1,098</w:t>
            </w:r>
            <w:r>
              <w:rPr>
                <w:rFonts w:ascii="Arial" w:cs="Arial" w:eastAsia="Arial" w:hAnsi="Arial"/>
                <w:sz w:val="13"/>
                <w:szCs w:val="13"/>
                <w:color w:val="auto"/>
              </w:rPr>
              <w:t>)</w:t>
            </w:r>
          </w:p>
        </w:tc>
        <w:tc>
          <w:tcPr>
            <w:tcW w:w="1220" w:type="dxa"/>
            <w:vAlign w:val="bottom"/>
            <w:gridSpan w:val="8"/>
          </w:tcPr>
          <w:p>
            <w:pPr>
              <w:jc w:val="right"/>
              <w:ind w:right="180"/>
              <w:spacing w:after="0"/>
              <w:rPr>
                <w:sz w:val="20"/>
                <w:szCs w:val="20"/>
                <w:color w:val="auto"/>
              </w:rPr>
            </w:pPr>
            <w:r>
              <w:rPr>
                <w:rFonts w:ascii="Arial" w:cs="Arial" w:eastAsia="Arial" w:hAnsi="Arial"/>
                <w:sz w:val="17"/>
                <w:szCs w:val="17"/>
                <w:color w:val="auto"/>
              </w:rPr>
              <w:t>(50,884</w:t>
            </w:r>
            <w:r>
              <w:rPr>
                <w:rFonts w:ascii="Arial" w:cs="Arial" w:eastAsia="Arial" w:hAnsi="Arial"/>
                <w:sz w:val="13"/>
                <w:szCs w:val="13"/>
                <w:color w:val="auto"/>
              </w:rPr>
              <w:t>)</w:t>
            </w:r>
          </w:p>
        </w:tc>
        <w:tc>
          <w:tcPr>
            <w:tcW w:w="920" w:type="dxa"/>
            <w:vAlign w:val="bottom"/>
            <w:gridSpan w:val="7"/>
          </w:tcPr>
          <w:p>
            <w:pPr>
              <w:jc w:val="right"/>
              <w:ind w:right="60"/>
              <w:spacing w:after="0"/>
              <w:rPr>
                <w:sz w:val="20"/>
                <w:szCs w:val="20"/>
                <w:color w:val="auto"/>
              </w:rPr>
            </w:pPr>
            <w:r>
              <w:rPr>
                <w:rFonts w:ascii="Arial" w:cs="Arial" w:eastAsia="Arial" w:hAnsi="Arial"/>
                <w:sz w:val="17"/>
                <w:szCs w:val="17"/>
                <w:color w:val="auto"/>
              </w:rPr>
              <w:t>(50,884</w:t>
            </w:r>
            <w:r>
              <w:rPr>
                <w:rFonts w:ascii="Arial" w:cs="Arial" w:eastAsia="Arial" w:hAnsi="Arial"/>
                <w:sz w:val="13"/>
                <w:szCs w:val="13"/>
                <w:color w:val="auto"/>
              </w:rPr>
              <w:t>)</w:t>
            </w:r>
          </w:p>
        </w:tc>
      </w:tr>
      <w:tr>
        <w:trPr>
          <w:trHeight w:val="425"/>
        </w:trPr>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2"/>
        </w:trPr>
        <w:tc>
          <w:tcPr>
            <w:tcW w:w="3420" w:type="dxa"/>
            <w:vAlign w:val="bottom"/>
            <w:shd w:val="clear" w:color="auto" w:fill="C0C0C0"/>
          </w:tcPr>
          <w:p>
            <w:pPr>
              <w:ind w:left="80"/>
              <w:spacing w:after="0"/>
              <w:rPr>
                <w:sz w:val="20"/>
                <w:szCs w:val="20"/>
                <w:color w:val="auto"/>
              </w:rPr>
            </w:pPr>
            <w:r>
              <w:rPr>
                <w:rFonts w:ascii="Arial" w:cs="Arial" w:eastAsia="Arial" w:hAnsi="Arial"/>
                <w:sz w:val="17"/>
                <w:szCs w:val="17"/>
                <w:b w:val="1"/>
                <w:bCs w:val="1"/>
                <w:color w:val="auto"/>
              </w:rPr>
              <w:t>Balance as of</w:t>
            </w:r>
          </w:p>
        </w:tc>
        <w:tc>
          <w:tcPr>
            <w:tcW w:w="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34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400" w:type="dxa"/>
            <w:vAlign w:val="bottom"/>
            <w:tcBorders>
              <w:right w:val="single" w:sz="8" w:color="C0C0C0"/>
            </w:tcBorders>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0" w:type="dxa"/>
            <w:vAlign w:val="bottom"/>
            <w:tcBorders>
              <w:right w:val="single" w:sz="8" w:color="C0C0C0"/>
            </w:tcBorders>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500" w:type="dxa"/>
            <w:vAlign w:val="bottom"/>
            <w:tcBorders>
              <w:right w:val="single" w:sz="8" w:color="C0C0C0"/>
            </w:tcBorders>
            <w:shd w:val="clear" w:color="auto" w:fill="C0C0C0"/>
          </w:tcPr>
          <w:p>
            <w:pPr>
              <w:spacing w:after="0"/>
              <w:rPr>
                <w:sz w:val="22"/>
                <w:szCs w:val="22"/>
                <w:color w:val="auto"/>
              </w:rPr>
            </w:pPr>
          </w:p>
        </w:tc>
        <w:tc>
          <w:tcPr>
            <w:tcW w:w="460" w:type="dxa"/>
            <w:vAlign w:val="bottom"/>
            <w:tcBorders>
              <w:right w:val="single" w:sz="8" w:color="C0C0C0"/>
            </w:tcBorders>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40" w:type="dxa"/>
            <w:vAlign w:val="bottom"/>
            <w:tcBorders>
              <w:right w:val="single" w:sz="8" w:color="C0C0C0"/>
            </w:tcBorders>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420" w:type="dxa"/>
            <w:vAlign w:val="bottom"/>
            <w:tcBorders>
              <w:right w:val="single" w:sz="8" w:color="C0C0C0"/>
            </w:tcBorders>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r>
      <w:tr>
        <w:trPr>
          <w:trHeight w:val="183"/>
        </w:trPr>
        <w:tc>
          <w:tcPr>
            <w:tcW w:w="3420" w:type="dxa"/>
            <w:vAlign w:val="bottom"/>
            <w:shd w:val="clear" w:color="auto" w:fill="C0C0C0"/>
          </w:tcPr>
          <w:p>
            <w:pPr>
              <w:ind w:left="200"/>
              <w:spacing w:after="0" w:line="183" w:lineRule="exact"/>
              <w:rPr>
                <w:sz w:val="20"/>
                <w:szCs w:val="20"/>
                <w:color w:val="auto"/>
              </w:rPr>
            </w:pPr>
            <w:r>
              <w:rPr>
                <w:rFonts w:ascii="Arial" w:cs="Arial" w:eastAsia="Arial" w:hAnsi="Arial"/>
                <w:sz w:val="17"/>
                <w:szCs w:val="17"/>
                <w:b w:val="1"/>
                <w:bCs w:val="1"/>
                <w:color w:val="auto"/>
              </w:rPr>
              <w:t>December 31, 1999</w:t>
            </w:r>
          </w:p>
        </w:tc>
        <w:tc>
          <w:tcPr>
            <w:tcW w:w="500" w:type="dxa"/>
            <w:vAlign w:val="bottom"/>
            <w:gridSpan w:val="4"/>
            <w:shd w:val="clear" w:color="auto" w:fill="C0C0C0"/>
          </w:tcPr>
          <w:p>
            <w:pPr>
              <w:jc w:val="right"/>
              <w:spacing w:after="0" w:line="183" w:lineRule="exact"/>
              <w:rPr>
                <w:sz w:val="20"/>
                <w:szCs w:val="20"/>
                <w:color w:val="auto"/>
              </w:rPr>
            </w:pPr>
            <w:r>
              <w:rPr>
                <w:rFonts w:ascii="Arial" w:cs="Arial" w:eastAsia="Arial" w:hAnsi="Arial"/>
                <w:sz w:val="17"/>
                <w:szCs w:val="17"/>
                <w:b w:val="1"/>
                <w:bCs w:val="1"/>
                <w:color w:val="auto"/>
                <w:w w:val="92"/>
              </w:rPr>
              <w:t>25,705</w:t>
            </w:r>
          </w:p>
        </w:tc>
        <w:tc>
          <w:tcPr>
            <w:tcW w:w="280" w:type="dxa"/>
            <w:vAlign w:val="bottom"/>
            <w:shd w:val="clear" w:color="auto" w:fill="C0C0C0"/>
          </w:tcPr>
          <w:p>
            <w:pPr>
              <w:spacing w:after="0"/>
              <w:rPr>
                <w:sz w:val="15"/>
                <w:szCs w:val="15"/>
                <w:color w:val="auto"/>
              </w:rPr>
            </w:pPr>
          </w:p>
        </w:tc>
        <w:tc>
          <w:tcPr>
            <w:tcW w:w="740" w:type="dxa"/>
            <w:vAlign w:val="bottom"/>
            <w:gridSpan w:val="5"/>
            <w:shd w:val="clear" w:color="auto" w:fill="C0C0C0"/>
          </w:tcPr>
          <w:p>
            <w:pPr>
              <w:jc w:val="right"/>
              <w:spacing w:after="0" w:line="183" w:lineRule="exact"/>
              <w:rPr>
                <w:sz w:val="20"/>
                <w:szCs w:val="20"/>
                <w:color w:val="auto"/>
              </w:rPr>
            </w:pPr>
            <w:r>
              <w:rPr>
                <w:rFonts w:ascii="Arial" w:cs="Arial" w:eastAsia="Arial" w:hAnsi="Arial"/>
                <w:sz w:val="17"/>
                <w:szCs w:val="17"/>
                <w:b w:val="1"/>
                <w:bCs w:val="1"/>
                <w:color w:val="auto"/>
              </w:rPr>
              <w:t>2,571</w:t>
            </w:r>
          </w:p>
        </w:tc>
        <w:tc>
          <w:tcPr>
            <w:tcW w:w="200" w:type="dxa"/>
            <w:vAlign w:val="bottom"/>
            <w:shd w:val="clear" w:color="auto" w:fill="C0C0C0"/>
          </w:tcPr>
          <w:p>
            <w:pPr>
              <w:spacing w:after="0"/>
              <w:rPr>
                <w:sz w:val="15"/>
                <w:szCs w:val="15"/>
                <w:color w:val="auto"/>
              </w:rPr>
            </w:pPr>
          </w:p>
        </w:tc>
        <w:tc>
          <w:tcPr>
            <w:tcW w:w="1000" w:type="dxa"/>
            <w:vAlign w:val="bottom"/>
            <w:gridSpan w:val="6"/>
            <w:shd w:val="clear" w:color="auto" w:fill="C0C0C0"/>
          </w:tcPr>
          <w:p>
            <w:pPr>
              <w:jc w:val="right"/>
              <w:ind w:right="180"/>
              <w:spacing w:after="0" w:line="183" w:lineRule="exact"/>
              <w:rPr>
                <w:sz w:val="20"/>
                <w:szCs w:val="20"/>
                <w:color w:val="auto"/>
              </w:rPr>
            </w:pPr>
            <w:r>
              <w:rPr>
                <w:rFonts w:ascii="Arial" w:cs="Arial" w:eastAsia="Arial" w:hAnsi="Arial"/>
                <w:sz w:val="17"/>
                <w:szCs w:val="17"/>
                <w:b w:val="1"/>
                <w:bCs w:val="1"/>
                <w:color w:val="auto"/>
              </w:rPr>
              <w:t>150,315</w:t>
            </w:r>
          </w:p>
        </w:tc>
        <w:tc>
          <w:tcPr>
            <w:tcW w:w="820" w:type="dxa"/>
            <w:vAlign w:val="bottom"/>
            <w:gridSpan w:val="4"/>
            <w:shd w:val="clear" w:color="auto" w:fill="C0C0C0"/>
          </w:tcPr>
          <w:p>
            <w:pPr>
              <w:jc w:val="right"/>
              <w:ind w:right="20"/>
              <w:spacing w:after="0" w:line="183" w:lineRule="exact"/>
              <w:rPr>
                <w:sz w:val="20"/>
                <w:szCs w:val="20"/>
                <w:color w:val="auto"/>
              </w:rPr>
            </w:pPr>
            <w:r>
              <w:rPr>
                <w:rFonts w:ascii="Arial" w:cs="Arial" w:eastAsia="Arial" w:hAnsi="Arial"/>
                <w:sz w:val="17"/>
                <w:szCs w:val="17"/>
                <w:b w:val="1"/>
                <w:bCs w:val="1"/>
                <w:color w:val="auto"/>
              </w:rPr>
              <w:t>527,022</w:t>
            </w:r>
          </w:p>
        </w:tc>
        <w:tc>
          <w:tcPr>
            <w:tcW w:w="2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980" w:type="dxa"/>
            <w:vAlign w:val="bottom"/>
            <w:gridSpan w:val="3"/>
            <w:shd w:val="clear" w:color="auto" w:fill="C0C0C0"/>
          </w:tcPr>
          <w:p>
            <w:pPr>
              <w:jc w:val="right"/>
              <w:ind w:right="20"/>
              <w:spacing w:after="0" w:line="183" w:lineRule="exact"/>
              <w:rPr>
                <w:sz w:val="20"/>
                <w:szCs w:val="20"/>
                <w:color w:val="auto"/>
              </w:rPr>
            </w:pPr>
            <w:r>
              <w:rPr>
                <w:rFonts w:ascii="Arial" w:cs="Arial" w:eastAsia="Arial" w:hAnsi="Arial"/>
                <w:sz w:val="17"/>
                <w:szCs w:val="17"/>
                <w:b w:val="1"/>
                <w:bCs w:val="1"/>
                <w:color w:val="auto"/>
              </w:rPr>
              <w:t>(28,865)</w:t>
            </w:r>
          </w:p>
        </w:tc>
        <w:tc>
          <w:tcPr>
            <w:tcW w:w="260" w:type="dxa"/>
            <w:vAlign w:val="bottom"/>
            <w:shd w:val="clear" w:color="auto" w:fill="C0C0C0"/>
          </w:tcPr>
          <w:p>
            <w:pPr>
              <w:spacing w:after="0"/>
              <w:rPr>
                <w:sz w:val="15"/>
                <w:szCs w:val="15"/>
                <w:color w:val="auto"/>
              </w:rPr>
            </w:pPr>
          </w:p>
        </w:tc>
        <w:tc>
          <w:tcPr>
            <w:tcW w:w="780" w:type="dxa"/>
            <w:vAlign w:val="bottom"/>
            <w:gridSpan w:val="5"/>
            <w:shd w:val="clear" w:color="auto" w:fill="C0C0C0"/>
          </w:tcPr>
          <w:p>
            <w:pPr>
              <w:jc w:val="right"/>
              <w:spacing w:after="0" w:line="183" w:lineRule="exact"/>
              <w:rPr>
                <w:sz w:val="20"/>
                <w:szCs w:val="20"/>
                <w:color w:val="auto"/>
              </w:rPr>
            </w:pPr>
            <w:r>
              <w:rPr>
                <w:rFonts w:ascii="Arial" w:cs="Arial" w:eastAsia="Arial" w:hAnsi="Arial"/>
                <w:sz w:val="17"/>
                <w:szCs w:val="17"/>
                <w:b w:val="1"/>
                <w:bCs w:val="1"/>
                <w:color w:val="auto"/>
              </w:rPr>
              <w:t>(4,819)</w:t>
            </w:r>
          </w:p>
        </w:tc>
        <w:tc>
          <w:tcPr>
            <w:tcW w:w="1220" w:type="dxa"/>
            <w:vAlign w:val="bottom"/>
            <w:gridSpan w:val="8"/>
            <w:shd w:val="clear" w:color="auto" w:fill="C0C0C0"/>
          </w:tcPr>
          <w:p>
            <w:pPr>
              <w:jc w:val="right"/>
              <w:ind w:right="180"/>
              <w:spacing w:after="0" w:line="183" w:lineRule="exact"/>
              <w:rPr>
                <w:sz w:val="20"/>
                <w:szCs w:val="20"/>
                <w:color w:val="auto"/>
              </w:rPr>
            </w:pPr>
            <w:r>
              <w:rPr>
                <w:rFonts w:ascii="Arial" w:cs="Arial" w:eastAsia="Arial" w:hAnsi="Arial"/>
                <w:sz w:val="17"/>
                <w:szCs w:val="17"/>
                <w:b w:val="1"/>
                <w:bCs w:val="1"/>
                <w:color w:val="auto"/>
              </w:rPr>
              <w:t>(166,007)</w:t>
            </w:r>
          </w:p>
        </w:tc>
        <w:tc>
          <w:tcPr>
            <w:tcW w:w="820" w:type="dxa"/>
            <w:vAlign w:val="bottom"/>
            <w:gridSpan w:val="6"/>
            <w:shd w:val="clear" w:color="auto" w:fill="C0C0C0"/>
          </w:tcPr>
          <w:p>
            <w:pPr>
              <w:jc w:val="right"/>
              <w:spacing w:after="0" w:line="183" w:lineRule="exact"/>
              <w:rPr>
                <w:sz w:val="20"/>
                <w:szCs w:val="20"/>
                <w:color w:val="auto"/>
              </w:rPr>
            </w:pPr>
            <w:r>
              <w:rPr>
                <w:rFonts w:ascii="Arial" w:cs="Arial" w:eastAsia="Arial" w:hAnsi="Arial"/>
                <w:sz w:val="17"/>
                <w:szCs w:val="17"/>
                <w:b w:val="1"/>
                <w:bCs w:val="1"/>
                <w:color w:val="auto"/>
              </w:rPr>
              <w:t>485,036</w:t>
            </w:r>
          </w:p>
        </w:tc>
        <w:tc>
          <w:tcPr>
            <w:tcW w:w="100" w:type="dxa"/>
            <w:vAlign w:val="bottom"/>
            <w:shd w:val="clear" w:color="auto" w:fill="C0C0C0"/>
          </w:tcPr>
          <w:p>
            <w:pPr>
              <w:spacing w:after="0"/>
              <w:rPr>
                <w:sz w:val="15"/>
                <w:szCs w:val="15"/>
                <w:color w:val="auto"/>
              </w:rPr>
            </w:pPr>
          </w:p>
        </w:tc>
      </w:tr>
      <w:tr>
        <w:trPr>
          <w:trHeight w:val="85"/>
        </w:trPr>
        <w:tc>
          <w:tcPr>
            <w:tcW w:w="3420" w:type="dxa"/>
            <w:vAlign w:val="bottom"/>
            <w:tcBorders>
              <w:top w:val="single" w:sz="8" w:color="C0C0C0"/>
            </w:tcBorders>
            <w:shd w:val="clear" w:color="auto" w:fill="C0C0C0"/>
          </w:tcPr>
          <w:p>
            <w:pPr>
              <w:spacing w:after="0"/>
              <w:rPr>
                <w:sz w:val="7"/>
                <w:szCs w:val="7"/>
                <w:color w:val="auto"/>
              </w:rPr>
            </w:pPr>
          </w:p>
        </w:tc>
        <w:tc>
          <w:tcPr>
            <w:tcW w:w="40" w:type="dxa"/>
            <w:vAlign w:val="bottom"/>
            <w:tcBorders>
              <w:top w:val="single" w:sz="8" w:color="C0C0C0"/>
            </w:tcBorders>
            <w:shd w:val="clear" w:color="auto" w:fill="C0C0C0"/>
          </w:tcPr>
          <w:p>
            <w:pPr>
              <w:spacing w:after="0"/>
              <w:rPr>
                <w:sz w:val="7"/>
                <w:szCs w:val="7"/>
                <w:color w:val="auto"/>
              </w:rPr>
            </w:pPr>
          </w:p>
        </w:tc>
        <w:tc>
          <w:tcPr>
            <w:tcW w:w="40" w:type="dxa"/>
            <w:vAlign w:val="bottom"/>
            <w:tcBorders>
              <w:top w:val="single" w:sz="8" w:color="auto"/>
            </w:tcBorders>
            <w:shd w:val="clear" w:color="auto" w:fill="C0C0C0"/>
          </w:tcPr>
          <w:p>
            <w:pPr>
              <w:spacing w:after="0"/>
              <w:rPr>
                <w:sz w:val="7"/>
                <w:szCs w:val="7"/>
                <w:color w:val="auto"/>
              </w:rPr>
            </w:pPr>
          </w:p>
        </w:tc>
        <w:tc>
          <w:tcPr>
            <w:tcW w:w="60" w:type="dxa"/>
            <w:vAlign w:val="bottom"/>
            <w:tcBorders>
              <w:top w:val="single" w:sz="8" w:color="auto"/>
            </w:tcBorders>
            <w:shd w:val="clear" w:color="auto" w:fill="C0C0C0"/>
          </w:tcPr>
          <w:p>
            <w:pPr>
              <w:spacing w:after="0"/>
              <w:rPr>
                <w:sz w:val="7"/>
                <w:szCs w:val="7"/>
                <w:color w:val="auto"/>
              </w:rPr>
            </w:pPr>
          </w:p>
        </w:tc>
        <w:tc>
          <w:tcPr>
            <w:tcW w:w="360" w:type="dxa"/>
            <w:vAlign w:val="bottom"/>
            <w:tcBorders>
              <w:top w:val="single" w:sz="8" w:color="auto"/>
            </w:tcBorders>
            <w:shd w:val="clear" w:color="auto" w:fill="C0C0C0"/>
          </w:tcPr>
          <w:p>
            <w:pPr>
              <w:spacing w:after="0"/>
              <w:rPr>
                <w:sz w:val="7"/>
                <w:szCs w:val="7"/>
                <w:color w:val="auto"/>
              </w:rPr>
            </w:pPr>
          </w:p>
        </w:tc>
        <w:tc>
          <w:tcPr>
            <w:tcW w:w="280" w:type="dxa"/>
            <w:vAlign w:val="bottom"/>
            <w:tcBorders>
              <w:top w:val="single" w:sz="8" w:color="C0C0C0"/>
            </w:tcBorders>
            <w:shd w:val="clear" w:color="auto" w:fill="C0C0C0"/>
          </w:tcPr>
          <w:p>
            <w:pPr>
              <w:spacing w:after="0"/>
              <w:rPr>
                <w:sz w:val="7"/>
                <w:szCs w:val="7"/>
                <w:color w:val="auto"/>
              </w:rPr>
            </w:pPr>
          </w:p>
        </w:tc>
        <w:tc>
          <w:tcPr>
            <w:tcW w:w="340" w:type="dxa"/>
            <w:vAlign w:val="bottom"/>
            <w:tcBorders>
              <w:top w:val="single" w:sz="8" w:color="C0C0C0"/>
            </w:tcBorders>
            <w:shd w:val="clear" w:color="auto" w:fill="C0C0C0"/>
          </w:tcPr>
          <w:p>
            <w:pPr>
              <w:spacing w:after="0"/>
              <w:rPr>
                <w:sz w:val="7"/>
                <w:szCs w:val="7"/>
                <w:color w:val="auto"/>
              </w:rPr>
            </w:pPr>
          </w:p>
        </w:tc>
        <w:tc>
          <w:tcPr>
            <w:tcW w:w="20" w:type="dxa"/>
            <w:vAlign w:val="bottom"/>
            <w:tcBorders>
              <w:top w:val="single" w:sz="8" w:color="C0C0C0"/>
            </w:tcBorders>
            <w:shd w:val="clear" w:color="auto" w:fill="C0C0C0"/>
          </w:tcPr>
          <w:p>
            <w:pPr>
              <w:spacing w:after="0"/>
              <w:rPr>
                <w:sz w:val="7"/>
                <w:szCs w:val="7"/>
                <w:color w:val="auto"/>
              </w:rPr>
            </w:pPr>
          </w:p>
        </w:tc>
        <w:tc>
          <w:tcPr>
            <w:tcW w:w="20" w:type="dxa"/>
            <w:vAlign w:val="bottom"/>
            <w:tcBorders>
              <w:top w:val="single" w:sz="8" w:color="auto"/>
            </w:tcBorders>
            <w:shd w:val="clear" w:color="auto" w:fill="C0C0C0"/>
          </w:tcPr>
          <w:p>
            <w:pPr>
              <w:spacing w:after="0"/>
              <w:rPr>
                <w:sz w:val="7"/>
                <w:szCs w:val="7"/>
                <w:color w:val="auto"/>
              </w:rPr>
            </w:pPr>
          </w:p>
        </w:tc>
        <w:tc>
          <w:tcPr>
            <w:tcW w:w="80" w:type="dxa"/>
            <w:vAlign w:val="bottom"/>
            <w:tcBorders>
              <w:top w:val="single" w:sz="8" w:color="auto"/>
            </w:tcBorders>
            <w:shd w:val="clear" w:color="auto" w:fill="C0C0C0"/>
          </w:tcPr>
          <w:p>
            <w:pPr>
              <w:spacing w:after="0"/>
              <w:rPr>
                <w:sz w:val="7"/>
                <w:szCs w:val="7"/>
                <w:color w:val="auto"/>
              </w:rPr>
            </w:pPr>
          </w:p>
        </w:tc>
        <w:tc>
          <w:tcPr>
            <w:tcW w:w="280" w:type="dxa"/>
            <w:vAlign w:val="bottom"/>
            <w:tcBorders>
              <w:top w:val="single" w:sz="8" w:color="auto"/>
            </w:tcBorders>
            <w:shd w:val="clear" w:color="auto" w:fill="C0C0C0"/>
          </w:tcPr>
          <w:p>
            <w:pPr>
              <w:spacing w:after="0"/>
              <w:rPr>
                <w:sz w:val="7"/>
                <w:szCs w:val="7"/>
                <w:color w:val="auto"/>
              </w:rPr>
            </w:pPr>
          </w:p>
        </w:tc>
        <w:tc>
          <w:tcPr>
            <w:tcW w:w="200" w:type="dxa"/>
            <w:vAlign w:val="bottom"/>
            <w:tcBorders>
              <w:top w:val="single" w:sz="8" w:color="C0C0C0"/>
            </w:tcBorders>
            <w:shd w:val="clear" w:color="auto" w:fill="C0C0C0"/>
          </w:tcPr>
          <w:p>
            <w:pPr>
              <w:spacing w:after="0"/>
              <w:rPr>
                <w:sz w:val="7"/>
                <w:szCs w:val="7"/>
                <w:color w:val="auto"/>
              </w:rPr>
            </w:pPr>
          </w:p>
        </w:tc>
        <w:tc>
          <w:tcPr>
            <w:tcW w:w="260" w:type="dxa"/>
            <w:vAlign w:val="bottom"/>
            <w:tcBorders>
              <w:top w:val="single" w:sz="8" w:color="C0C0C0"/>
            </w:tcBorders>
            <w:shd w:val="clear" w:color="auto" w:fill="C0C0C0"/>
          </w:tcPr>
          <w:p>
            <w:pPr>
              <w:spacing w:after="0"/>
              <w:rPr>
                <w:sz w:val="7"/>
                <w:szCs w:val="7"/>
                <w:color w:val="auto"/>
              </w:rPr>
            </w:pPr>
          </w:p>
        </w:tc>
        <w:tc>
          <w:tcPr>
            <w:tcW w:w="80" w:type="dxa"/>
            <w:vAlign w:val="bottom"/>
            <w:tcBorders>
              <w:top w:val="single" w:sz="8" w:color="auto"/>
            </w:tcBorders>
            <w:shd w:val="clear" w:color="auto" w:fill="C0C0C0"/>
          </w:tcPr>
          <w:p>
            <w:pPr>
              <w:spacing w:after="0"/>
              <w:rPr>
                <w:sz w:val="7"/>
                <w:szCs w:val="7"/>
                <w:color w:val="auto"/>
              </w:rPr>
            </w:pPr>
          </w:p>
        </w:tc>
        <w:tc>
          <w:tcPr>
            <w:tcW w:w="20" w:type="dxa"/>
            <w:vAlign w:val="bottom"/>
            <w:tcBorders>
              <w:top w:val="single" w:sz="8" w:color="auto"/>
            </w:tcBorders>
            <w:shd w:val="clear" w:color="auto" w:fill="C0C0C0"/>
          </w:tcPr>
          <w:p>
            <w:pPr>
              <w:spacing w:after="0"/>
              <w:rPr>
                <w:sz w:val="7"/>
                <w:szCs w:val="7"/>
                <w:color w:val="auto"/>
              </w:rPr>
            </w:pPr>
          </w:p>
        </w:tc>
        <w:tc>
          <w:tcPr>
            <w:tcW w:w="60" w:type="dxa"/>
            <w:vAlign w:val="bottom"/>
            <w:tcBorders>
              <w:top w:val="single" w:sz="8" w:color="auto"/>
            </w:tcBorders>
            <w:shd w:val="clear" w:color="auto" w:fill="C0C0C0"/>
          </w:tcPr>
          <w:p>
            <w:pPr>
              <w:spacing w:after="0"/>
              <w:rPr>
                <w:sz w:val="7"/>
                <w:szCs w:val="7"/>
                <w:color w:val="auto"/>
              </w:rPr>
            </w:pPr>
          </w:p>
        </w:tc>
        <w:tc>
          <w:tcPr>
            <w:tcW w:w="400" w:type="dxa"/>
            <w:vAlign w:val="bottom"/>
            <w:tcBorders>
              <w:top w:val="single" w:sz="8" w:color="auto"/>
              <w:right w:val="single" w:sz="8" w:color="C0C0C0"/>
            </w:tcBorders>
            <w:shd w:val="clear" w:color="auto" w:fill="C0C0C0"/>
          </w:tcPr>
          <w:p>
            <w:pPr>
              <w:spacing w:after="0"/>
              <w:rPr>
                <w:sz w:val="7"/>
                <w:szCs w:val="7"/>
                <w:color w:val="auto"/>
              </w:rPr>
            </w:pPr>
          </w:p>
        </w:tc>
        <w:tc>
          <w:tcPr>
            <w:tcW w:w="180" w:type="dxa"/>
            <w:vAlign w:val="bottom"/>
            <w:tcBorders>
              <w:top w:val="single" w:sz="8" w:color="C0C0C0"/>
            </w:tcBorders>
            <w:shd w:val="clear" w:color="auto" w:fill="C0C0C0"/>
          </w:tcPr>
          <w:p>
            <w:pPr>
              <w:spacing w:after="0"/>
              <w:rPr>
                <w:sz w:val="7"/>
                <w:szCs w:val="7"/>
                <w:color w:val="auto"/>
              </w:rPr>
            </w:pPr>
          </w:p>
        </w:tc>
        <w:tc>
          <w:tcPr>
            <w:tcW w:w="240" w:type="dxa"/>
            <w:vAlign w:val="bottom"/>
            <w:tcBorders>
              <w:top w:val="single" w:sz="8" w:color="C0C0C0"/>
            </w:tcBorders>
            <w:shd w:val="clear" w:color="auto" w:fill="C0C0C0"/>
          </w:tcPr>
          <w:p>
            <w:pPr>
              <w:spacing w:after="0"/>
              <w:rPr>
                <w:sz w:val="7"/>
                <w:szCs w:val="7"/>
                <w:color w:val="auto"/>
              </w:rPr>
            </w:pPr>
          </w:p>
        </w:tc>
        <w:tc>
          <w:tcPr>
            <w:tcW w:w="80" w:type="dxa"/>
            <w:vAlign w:val="bottom"/>
            <w:tcBorders>
              <w:top w:val="single" w:sz="8" w:color="auto"/>
              <w:right w:val="single" w:sz="8" w:color="C0C0C0"/>
            </w:tcBorders>
            <w:shd w:val="clear" w:color="auto" w:fill="C0C0C0"/>
          </w:tcPr>
          <w:p>
            <w:pPr>
              <w:spacing w:after="0"/>
              <w:rPr>
                <w:sz w:val="7"/>
                <w:szCs w:val="7"/>
                <w:color w:val="auto"/>
              </w:rPr>
            </w:pPr>
          </w:p>
        </w:tc>
        <w:tc>
          <w:tcPr>
            <w:tcW w:w="80" w:type="dxa"/>
            <w:vAlign w:val="bottom"/>
            <w:tcBorders>
              <w:top w:val="single" w:sz="8" w:color="auto"/>
            </w:tcBorders>
            <w:shd w:val="clear" w:color="auto" w:fill="C0C0C0"/>
          </w:tcPr>
          <w:p>
            <w:pPr>
              <w:spacing w:after="0"/>
              <w:rPr>
                <w:sz w:val="7"/>
                <w:szCs w:val="7"/>
                <w:color w:val="auto"/>
              </w:rPr>
            </w:pPr>
          </w:p>
        </w:tc>
        <w:tc>
          <w:tcPr>
            <w:tcW w:w="420" w:type="dxa"/>
            <w:vAlign w:val="bottom"/>
            <w:tcBorders>
              <w:top w:val="single" w:sz="8" w:color="auto"/>
            </w:tcBorders>
            <w:shd w:val="clear" w:color="auto" w:fill="C0C0C0"/>
          </w:tcPr>
          <w:p>
            <w:pPr>
              <w:spacing w:after="0"/>
              <w:rPr>
                <w:sz w:val="7"/>
                <w:szCs w:val="7"/>
                <w:color w:val="auto"/>
              </w:rPr>
            </w:pPr>
          </w:p>
        </w:tc>
        <w:tc>
          <w:tcPr>
            <w:tcW w:w="20" w:type="dxa"/>
            <w:vAlign w:val="bottom"/>
            <w:tcBorders>
              <w:top w:val="single" w:sz="8" w:color="auto"/>
            </w:tcBorders>
            <w:shd w:val="clear" w:color="auto" w:fill="C0C0C0"/>
          </w:tcPr>
          <w:p>
            <w:pPr>
              <w:spacing w:after="0"/>
              <w:rPr>
                <w:sz w:val="7"/>
                <w:szCs w:val="7"/>
                <w:color w:val="auto"/>
              </w:rPr>
            </w:pPr>
          </w:p>
        </w:tc>
        <w:tc>
          <w:tcPr>
            <w:tcW w:w="280" w:type="dxa"/>
            <w:vAlign w:val="bottom"/>
            <w:tcBorders>
              <w:top w:val="single" w:sz="8" w:color="C0C0C0"/>
            </w:tcBorders>
            <w:shd w:val="clear" w:color="auto" w:fill="C0C0C0"/>
          </w:tcPr>
          <w:p>
            <w:pPr>
              <w:spacing w:after="0"/>
              <w:rPr>
                <w:sz w:val="7"/>
                <w:szCs w:val="7"/>
                <w:color w:val="auto"/>
              </w:rPr>
            </w:pPr>
          </w:p>
        </w:tc>
        <w:tc>
          <w:tcPr>
            <w:tcW w:w="500" w:type="dxa"/>
            <w:vAlign w:val="bottom"/>
            <w:tcBorders>
              <w:top w:val="single" w:sz="8" w:color="C0C0C0"/>
              <w:right w:val="single" w:sz="8" w:color="C0C0C0"/>
            </w:tcBorders>
            <w:shd w:val="clear" w:color="auto" w:fill="C0C0C0"/>
          </w:tcPr>
          <w:p>
            <w:pPr>
              <w:spacing w:after="0"/>
              <w:rPr>
                <w:sz w:val="7"/>
                <w:szCs w:val="7"/>
                <w:color w:val="auto"/>
              </w:rPr>
            </w:pPr>
          </w:p>
        </w:tc>
        <w:tc>
          <w:tcPr>
            <w:tcW w:w="460" w:type="dxa"/>
            <w:vAlign w:val="bottom"/>
            <w:tcBorders>
              <w:top w:val="single" w:sz="8" w:color="auto"/>
              <w:right w:val="single" w:sz="8" w:color="C0C0C0"/>
            </w:tcBorders>
            <w:shd w:val="clear" w:color="auto" w:fill="C0C0C0"/>
          </w:tcPr>
          <w:p>
            <w:pPr>
              <w:spacing w:after="0"/>
              <w:rPr>
                <w:sz w:val="7"/>
                <w:szCs w:val="7"/>
                <w:color w:val="auto"/>
              </w:rPr>
            </w:pPr>
          </w:p>
        </w:tc>
        <w:tc>
          <w:tcPr>
            <w:tcW w:w="20" w:type="dxa"/>
            <w:vAlign w:val="bottom"/>
            <w:tcBorders>
              <w:top w:val="single" w:sz="8" w:color="C0C0C0"/>
            </w:tcBorders>
            <w:shd w:val="clear" w:color="auto" w:fill="C0C0C0"/>
          </w:tcPr>
          <w:p>
            <w:pPr>
              <w:spacing w:after="0"/>
              <w:rPr>
                <w:sz w:val="7"/>
                <w:szCs w:val="7"/>
                <w:color w:val="auto"/>
              </w:rPr>
            </w:pPr>
          </w:p>
        </w:tc>
        <w:tc>
          <w:tcPr>
            <w:tcW w:w="260" w:type="dxa"/>
            <w:vAlign w:val="bottom"/>
            <w:tcBorders>
              <w:top w:val="single" w:sz="8" w:color="C0C0C0"/>
            </w:tcBorders>
            <w:shd w:val="clear" w:color="auto" w:fill="C0C0C0"/>
          </w:tcPr>
          <w:p>
            <w:pPr>
              <w:spacing w:after="0"/>
              <w:rPr>
                <w:sz w:val="7"/>
                <w:szCs w:val="7"/>
                <w:color w:val="auto"/>
              </w:rPr>
            </w:pPr>
          </w:p>
        </w:tc>
        <w:tc>
          <w:tcPr>
            <w:tcW w:w="300" w:type="dxa"/>
            <w:vAlign w:val="bottom"/>
            <w:tcBorders>
              <w:top w:val="single" w:sz="8" w:color="C0C0C0"/>
            </w:tcBorders>
            <w:shd w:val="clear" w:color="auto" w:fill="C0C0C0"/>
          </w:tcPr>
          <w:p>
            <w:pPr>
              <w:spacing w:after="0"/>
              <w:rPr>
                <w:sz w:val="7"/>
                <w:szCs w:val="7"/>
                <w:color w:val="auto"/>
              </w:rPr>
            </w:pPr>
          </w:p>
        </w:tc>
        <w:tc>
          <w:tcPr>
            <w:tcW w:w="80" w:type="dxa"/>
            <w:vAlign w:val="bottom"/>
            <w:tcBorders>
              <w:top w:val="single" w:sz="8" w:color="auto"/>
            </w:tcBorders>
            <w:shd w:val="clear" w:color="auto" w:fill="C0C0C0"/>
          </w:tcPr>
          <w:p>
            <w:pPr>
              <w:spacing w:after="0"/>
              <w:rPr>
                <w:sz w:val="7"/>
                <w:szCs w:val="7"/>
                <w:color w:val="auto"/>
              </w:rPr>
            </w:pPr>
          </w:p>
        </w:tc>
        <w:tc>
          <w:tcPr>
            <w:tcW w:w="40" w:type="dxa"/>
            <w:vAlign w:val="bottom"/>
            <w:tcBorders>
              <w:top w:val="single" w:sz="8" w:color="auto"/>
            </w:tcBorders>
            <w:shd w:val="clear" w:color="auto" w:fill="C0C0C0"/>
          </w:tcPr>
          <w:p>
            <w:pPr>
              <w:spacing w:after="0"/>
              <w:rPr>
                <w:sz w:val="7"/>
                <w:szCs w:val="7"/>
                <w:color w:val="auto"/>
              </w:rPr>
            </w:pPr>
          </w:p>
        </w:tc>
        <w:tc>
          <w:tcPr>
            <w:tcW w:w="340" w:type="dxa"/>
            <w:vAlign w:val="bottom"/>
            <w:tcBorders>
              <w:top w:val="single" w:sz="8" w:color="auto"/>
              <w:right w:val="single" w:sz="8" w:color="C0C0C0"/>
            </w:tcBorders>
            <w:shd w:val="clear" w:color="auto" w:fill="C0C0C0"/>
          </w:tcPr>
          <w:p>
            <w:pPr>
              <w:spacing w:after="0"/>
              <w:rPr>
                <w:sz w:val="7"/>
                <w:szCs w:val="7"/>
                <w:color w:val="auto"/>
              </w:rPr>
            </w:pPr>
          </w:p>
        </w:tc>
        <w:tc>
          <w:tcPr>
            <w:tcW w:w="20" w:type="dxa"/>
            <w:vAlign w:val="bottom"/>
            <w:tcBorders>
              <w:top w:val="single" w:sz="8" w:color="auto"/>
            </w:tcBorders>
            <w:shd w:val="clear" w:color="auto" w:fill="C0C0C0"/>
          </w:tcPr>
          <w:p>
            <w:pPr>
              <w:spacing w:after="0"/>
              <w:rPr>
                <w:sz w:val="7"/>
                <w:szCs w:val="7"/>
                <w:color w:val="auto"/>
              </w:rPr>
            </w:pPr>
          </w:p>
        </w:tc>
        <w:tc>
          <w:tcPr>
            <w:tcW w:w="380" w:type="dxa"/>
            <w:vAlign w:val="bottom"/>
            <w:tcBorders>
              <w:top w:val="single" w:sz="8" w:color="C0C0C0"/>
            </w:tcBorders>
            <w:shd w:val="clear" w:color="auto" w:fill="C0C0C0"/>
          </w:tcPr>
          <w:p>
            <w:pPr>
              <w:spacing w:after="0"/>
              <w:rPr>
                <w:sz w:val="7"/>
                <w:szCs w:val="7"/>
                <w:color w:val="auto"/>
              </w:rPr>
            </w:pPr>
          </w:p>
        </w:tc>
        <w:tc>
          <w:tcPr>
            <w:tcW w:w="60" w:type="dxa"/>
            <w:vAlign w:val="bottom"/>
            <w:tcBorders>
              <w:top w:val="single" w:sz="8" w:color="auto"/>
            </w:tcBorders>
            <w:shd w:val="clear" w:color="auto" w:fill="C0C0C0"/>
          </w:tcPr>
          <w:p>
            <w:pPr>
              <w:spacing w:after="0"/>
              <w:rPr>
                <w:sz w:val="7"/>
                <w:szCs w:val="7"/>
                <w:color w:val="auto"/>
              </w:rPr>
            </w:pPr>
          </w:p>
        </w:tc>
        <w:tc>
          <w:tcPr>
            <w:tcW w:w="40" w:type="dxa"/>
            <w:vAlign w:val="bottom"/>
            <w:tcBorders>
              <w:top w:val="single" w:sz="8" w:color="auto"/>
            </w:tcBorders>
            <w:shd w:val="clear" w:color="auto" w:fill="C0C0C0"/>
          </w:tcPr>
          <w:p>
            <w:pPr>
              <w:spacing w:after="0"/>
              <w:rPr>
                <w:sz w:val="7"/>
                <w:szCs w:val="7"/>
                <w:color w:val="auto"/>
              </w:rPr>
            </w:pPr>
          </w:p>
        </w:tc>
        <w:tc>
          <w:tcPr>
            <w:tcW w:w="80" w:type="dxa"/>
            <w:vAlign w:val="bottom"/>
            <w:tcBorders>
              <w:top w:val="single" w:sz="8" w:color="auto"/>
            </w:tcBorders>
            <w:shd w:val="clear" w:color="auto" w:fill="C0C0C0"/>
          </w:tcPr>
          <w:p>
            <w:pPr>
              <w:spacing w:after="0"/>
              <w:rPr>
                <w:sz w:val="7"/>
                <w:szCs w:val="7"/>
                <w:color w:val="auto"/>
              </w:rPr>
            </w:pPr>
          </w:p>
        </w:tc>
        <w:tc>
          <w:tcPr>
            <w:tcW w:w="40" w:type="dxa"/>
            <w:vAlign w:val="bottom"/>
            <w:tcBorders>
              <w:top w:val="single" w:sz="8" w:color="auto"/>
            </w:tcBorders>
            <w:shd w:val="clear" w:color="auto" w:fill="C0C0C0"/>
          </w:tcPr>
          <w:p>
            <w:pPr>
              <w:spacing w:after="0"/>
              <w:rPr>
                <w:sz w:val="7"/>
                <w:szCs w:val="7"/>
                <w:color w:val="auto"/>
              </w:rPr>
            </w:pPr>
          </w:p>
        </w:tc>
        <w:tc>
          <w:tcPr>
            <w:tcW w:w="420" w:type="dxa"/>
            <w:vAlign w:val="bottom"/>
            <w:tcBorders>
              <w:top w:val="single" w:sz="8" w:color="auto"/>
              <w:right w:val="single" w:sz="8" w:color="C0C0C0"/>
            </w:tcBorders>
            <w:shd w:val="clear" w:color="auto" w:fill="C0C0C0"/>
          </w:tcPr>
          <w:p>
            <w:pPr>
              <w:spacing w:after="0"/>
              <w:rPr>
                <w:sz w:val="7"/>
                <w:szCs w:val="7"/>
                <w:color w:val="auto"/>
              </w:rPr>
            </w:pPr>
          </w:p>
        </w:tc>
        <w:tc>
          <w:tcPr>
            <w:tcW w:w="20" w:type="dxa"/>
            <w:vAlign w:val="bottom"/>
            <w:tcBorders>
              <w:top w:val="single" w:sz="8" w:color="auto"/>
            </w:tcBorders>
            <w:shd w:val="clear" w:color="auto" w:fill="C0C0C0"/>
          </w:tcPr>
          <w:p>
            <w:pPr>
              <w:spacing w:after="0"/>
              <w:rPr>
                <w:sz w:val="7"/>
                <w:szCs w:val="7"/>
                <w:color w:val="auto"/>
              </w:rPr>
            </w:pPr>
          </w:p>
        </w:tc>
        <w:tc>
          <w:tcPr>
            <w:tcW w:w="180" w:type="dxa"/>
            <w:vAlign w:val="bottom"/>
            <w:tcBorders>
              <w:top w:val="single" w:sz="8" w:color="C0C0C0"/>
            </w:tcBorders>
            <w:shd w:val="clear" w:color="auto" w:fill="C0C0C0"/>
          </w:tcPr>
          <w:p>
            <w:pPr>
              <w:spacing w:after="0"/>
              <w:rPr>
                <w:sz w:val="7"/>
                <w:szCs w:val="7"/>
                <w:color w:val="auto"/>
              </w:rPr>
            </w:pPr>
          </w:p>
        </w:tc>
        <w:tc>
          <w:tcPr>
            <w:tcW w:w="240" w:type="dxa"/>
            <w:vAlign w:val="bottom"/>
            <w:tcBorders>
              <w:top w:val="single" w:sz="8" w:color="C0C0C0"/>
            </w:tcBorders>
            <w:shd w:val="clear" w:color="auto" w:fill="C0C0C0"/>
          </w:tcPr>
          <w:p>
            <w:pPr>
              <w:spacing w:after="0"/>
              <w:rPr>
                <w:sz w:val="7"/>
                <w:szCs w:val="7"/>
                <w:color w:val="auto"/>
              </w:rPr>
            </w:pPr>
          </w:p>
        </w:tc>
        <w:tc>
          <w:tcPr>
            <w:tcW w:w="20" w:type="dxa"/>
            <w:vAlign w:val="bottom"/>
            <w:tcBorders>
              <w:top w:val="single" w:sz="8" w:color="C0C0C0"/>
            </w:tcBorders>
            <w:shd w:val="clear" w:color="auto" w:fill="C0C0C0"/>
          </w:tcPr>
          <w:p>
            <w:pPr>
              <w:spacing w:after="0"/>
              <w:rPr>
                <w:sz w:val="7"/>
                <w:szCs w:val="7"/>
                <w:color w:val="auto"/>
              </w:rPr>
            </w:pPr>
          </w:p>
        </w:tc>
        <w:tc>
          <w:tcPr>
            <w:tcW w:w="20" w:type="dxa"/>
            <w:vAlign w:val="bottom"/>
            <w:tcBorders>
              <w:top w:val="single" w:sz="8" w:color="auto"/>
            </w:tcBorders>
            <w:shd w:val="clear" w:color="auto" w:fill="C0C0C0"/>
          </w:tcPr>
          <w:p>
            <w:pPr>
              <w:spacing w:after="0"/>
              <w:rPr>
                <w:sz w:val="7"/>
                <w:szCs w:val="7"/>
                <w:color w:val="auto"/>
              </w:rPr>
            </w:pPr>
          </w:p>
        </w:tc>
        <w:tc>
          <w:tcPr>
            <w:tcW w:w="40" w:type="dxa"/>
            <w:vAlign w:val="bottom"/>
            <w:tcBorders>
              <w:top w:val="single" w:sz="8" w:color="auto"/>
            </w:tcBorders>
            <w:shd w:val="clear" w:color="auto" w:fill="C0C0C0"/>
          </w:tcPr>
          <w:p>
            <w:pPr>
              <w:spacing w:after="0"/>
              <w:rPr>
                <w:sz w:val="7"/>
                <w:szCs w:val="7"/>
                <w:color w:val="auto"/>
              </w:rPr>
            </w:pPr>
          </w:p>
        </w:tc>
        <w:tc>
          <w:tcPr>
            <w:tcW w:w="60" w:type="dxa"/>
            <w:vAlign w:val="bottom"/>
            <w:tcBorders>
              <w:top w:val="single" w:sz="8" w:color="auto"/>
            </w:tcBorders>
            <w:shd w:val="clear" w:color="auto" w:fill="C0C0C0"/>
          </w:tcPr>
          <w:p>
            <w:pPr>
              <w:spacing w:after="0"/>
              <w:rPr>
                <w:sz w:val="7"/>
                <w:szCs w:val="7"/>
                <w:color w:val="auto"/>
              </w:rPr>
            </w:pPr>
          </w:p>
        </w:tc>
        <w:tc>
          <w:tcPr>
            <w:tcW w:w="440" w:type="dxa"/>
            <w:vAlign w:val="bottom"/>
            <w:tcBorders>
              <w:top w:val="single" w:sz="8" w:color="auto"/>
            </w:tcBorders>
            <w:shd w:val="clear" w:color="auto" w:fill="C0C0C0"/>
          </w:tcPr>
          <w:p>
            <w:pPr>
              <w:spacing w:after="0"/>
              <w:rPr>
                <w:sz w:val="7"/>
                <w:szCs w:val="7"/>
                <w:color w:val="auto"/>
              </w:rPr>
            </w:pPr>
          </w:p>
        </w:tc>
        <w:tc>
          <w:tcPr>
            <w:tcW w:w="100" w:type="dxa"/>
            <w:vAlign w:val="bottom"/>
            <w:tcBorders>
              <w:top w:val="single" w:sz="8" w:color="C0C0C0"/>
            </w:tcBorders>
            <w:shd w:val="clear" w:color="auto" w:fill="C0C0C0"/>
          </w:tcPr>
          <w:p>
            <w:pPr>
              <w:spacing w:after="0"/>
              <w:rPr>
                <w:sz w:val="7"/>
                <w:szCs w:val="7"/>
                <w:color w:val="auto"/>
              </w:rPr>
            </w:pPr>
          </w:p>
        </w:tc>
      </w:tr>
      <w:tr>
        <w:trPr>
          <w:trHeight w:val="273"/>
        </w:trPr>
        <w:tc>
          <w:tcPr>
            <w:tcW w:w="3420" w:type="dxa"/>
            <w:vAlign w:val="bottom"/>
          </w:tcPr>
          <w:p>
            <w:pPr>
              <w:ind w:left="80"/>
              <w:spacing w:after="0"/>
              <w:rPr>
                <w:sz w:val="20"/>
                <w:szCs w:val="20"/>
                <w:color w:val="auto"/>
              </w:rPr>
            </w:pPr>
            <w:r>
              <w:rPr>
                <w:rFonts w:ascii="Arial" w:cs="Arial" w:eastAsia="Arial" w:hAnsi="Arial"/>
                <w:sz w:val="17"/>
                <w:szCs w:val="17"/>
                <w:color w:val="auto"/>
              </w:rPr>
              <w:t>Comprehensive income:</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40"/>
        </w:trPr>
        <w:tc>
          <w:tcPr>
            <w:tcW w:w="3420" w:type="dxa"/>
            <w:vAlign w:val="bottom"/>
          </w:tcPr>
          <w:p>
            <w:pPr>
              <w:ind w:left="80"/>
              <w:spacing w:after="0"/>
              <w:rPr>
                <w:sz w:val="20"/>
                <w:szCs w:val="20"/>
                <w:color w:val="auto"/>
              </w:rPr>
            </w:pPr>
            <w:r>
              <w:rPr>
                <w:rFonts w:ascii="Arial" w:cs="Arial" w:eastAsia="Arial" w:hAnsi="Arial"/>
                <w:sz w:val="17"/>
                <w:szCs w:val="17"/>
                <w:color w:val="auto"/>
              </w:rPr>
              <w:t>Net income</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000" w:type="dxa"/>
            <w:vAlign w:val="bottom"/>
            <w:gridSpan w:val="6"/>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7"/>
                <w:szCs w:val="17"/>
                <w:color w:val="auto"/>
              </w:rPr>
              <w:t>54,208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54,208</w:t>
            </w:r>
          </w:p>
        </w:tc>
        <w:tc>
          <w:tcPr>
            <w:tcW w:w="100" w:type="dxa"/>
            <w:vAlign w:val="bottom"/>
          </w:tcPr>
          <w:p>
            <w:pPr>
              <w:spacing w:after="0"/>
              <w:rPr>
                <w:sz w:val="24"/>
                <w:szCs w:val="24"/>
                <w:color w:val="auto"/>
              </w:rPr>
            </w:pPr>
          </w:p>
        </w:tc>
      </w:tr>
      <w:tr>
        <w:trPr>
          <w:trHeight w:val="304"/>
        </w:trPr>
        <w:tc>
          <w:tcPr>
            <w:tcW w:w="3420" w:type="dxa"/>
            <w:vAlign w:val="bottom"/>
          </w:tcPr>
          <w:p>
            <w:pPr>
              <w:ind w:left="80"/>
              <w:spacing w:after="0"/>
              <w:rPr>
                <w:sz w:val="20"/>
                <w:szCs w:val="20"/>
                <w:color w:val="auto"/>
              </w:rPr>
            </w:pPr>
            <w:r>
              <w:rPr>
                <w:rFonts w:ascii="Arial" w:cs="Arial" w:eastAsia="Arial" w:hAnsi="Arial"/>
                <w:sz w:val="17"/>
                <w:szCs w:val="17"/>
                <w:color w:val="auto"/>
              </w:rPr>
              <w:t>Currency translation adjustment</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60" w:type="dxa"/>
            <w:vAlign w:val="bottom"/>
            <w:gridSpan w:val="3"/>
          </w:tcPr>
          <w:p>
            <w:pPr>
              <w:spacing w:after="0"/>
              <w:rPr>
                <w:sz w:val="24"/>
                <w:szCs w:val="2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7"/>
                <w:szCs w:val="17"/>
                <w:color w:val="auto"/>
              </w:rPr>
              <w:t>(15,208</w:t>
            </w:r>
            <w:r>
              <w:rPr>
                <w:rFonts w:ascii="Arial" w:cs="Arial" w:eastAsia="Arial" w:hAnsi="Arial"/>
                <w:sz w:val="13"/>
                <w:szCs w:val="13"/>
                <w:color w:val="auto"/>
              </w:rPr>
              <w:t>)</w:t>
            </w:r>
          </w:p>
        </w:tc>
        <w:tc>
          <w:tcPr>
            <w:tcW w:w="78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7"/>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920" w:type="dxa"/>
            <w:vAlign w:val="bottom"/>
            <w:gridSpan w:val="7"/>
          </w:tcPr>
          <w:p>
            <w:pPr>
              <w:jc w:val="right"/>
              <w:ind w:right="60"/>
              <w:spacing w:after="0"/>
              <w:rPr>
                <w:sz w:val="20"/>
                <w:szCs w:val="20"/>
                <w:color w:val="auto"/>
              </w:rPr>
            </w:pPr>
            <w:r>
              <w:rPr>
                <w:rFonts w:ascii="Arial" w:cs="Arial" w:eastAsia="Arial" w:hAnsi="Arial"/>
                <w:sz w:val="17"/>
                <w:szCs w:val="17"/>
                <w:color w:val="auto"/>
              </w:rPr>
              <w:t>(15,208</w:t>
            </w:r>
            <w:r>
              <w:rPr>
                <w:rFonts w:ascii="Arial" w:cs="Arial" w:eastAsia="Arial" w:hAnsi="Arial"/>
                <w:sz w:val="13"/>
                <w:szCs w:val="13"/>
                <w:color w:val="auto"/>
              </w:rPr>
              <w:t>)</w:t>
            </w:r>
          </w:p>
        </w:tc>
      </w:tr>
      <w:tr>
        <w:trPr>
          <w:trHeight w:val="20"/>
        </w:trPr>
        <w:tc>
          <w:tcPr>
            <w:tcW w:w="342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3420" w:type="dxa"/>
            <w:vAlign w:val="bottom"/>
          </w:tcPr>
          <w:p>
            <w:pPr>
              <w:ind w:left="200"/>
              <w:spacing w:after="0"/>
              <w:rPr>
                <w:sz w:val="20"/>
                <w:szCs w:val="20"/>
                <w:color w:val="auto"/>
              </w:rPr>
            </w:pPr>
            <w:r>
              <w:rPr>
                <w:rFonts w:ascii="Arial" w:cs="Arial" w:eastAsia="Arial" w:hAnsi="Arial"/>
                <w:sz w:val="17"/>
                <w:szCs w:val="17"/>
                <w:color w:val="auto"/>
              </w:rPr>
              <w:t>Total comprehensive income</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60" w:type="dxa"/>
            <w:vAlign w:val="bottom"/>
            <w:gridSpan w:val="3"/>
          </w:tcPr>
          <w:p>
            <w:pPr>
              <w:spacing w:after="0"/>
              <w:rPr>
                <w:sz w:val="24"/>
                <w:szCs w:val="2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54,208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7"/>
                <w:szCs w:val="17"/>
                <w:color w:val="auto"/>
              </w:rPr>
              <w:t>(15,208</w:t>
            </w:r>
            <w:r>
              <w:rPr>
                <w:rFonts w:ascii="Arial" w:cs="Arial" w:eastAsia="Arial" w:hAnsi="Arial"/>
                <w:sz w:val="13"/>
                <w:szCs w:val="13"/>
                <w:color w:val="auto"/>
              </w:rPr>
              <w:t>)</w:t>
            </w:r>
          </w:p>
        </w:tc>
        <w:tc>
          <w:tcPr>
            <w:tcW w:w="78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7"/>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39,000</w:t>
            </w:r>
          </w:p>
        </w:tc>
        <w:tc>
          <w:tcPr>
            <w:tcW w:w="100" w:type="dxa"/>
            <w:vAlign w:val="bottom"/>
          </w:tcPr>
          <w:p>
            <w:pPr>
              <w:spacing w:after="0"/>
              <w:rPr>
                <w:sz w:val="24"/>
                <w:szCs w:val="24"/>
                <w:color w:val="auto"/>
              </w:rPr>
            </w:pPr>
          </w:p>
        </w:tc>
      </w:tr>
      <w:tr>
        <w:trPr>
          <w:trHeight w:val="20"/>
        </w:trPr>
        <w:tc>
          <w:tcPr>
            <w:tcW w:w="342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8"/>
        </w:trPr>
        <w:tc>
          <w:tcPr>
            <w:tcW w:w="3420" w:type="dxa"/>
            <w:vAlign w:val="bottom"/>
          </w:tcPr>
          <w:p>
            <w:pPr>
              <w:ind w:left="80"/>
              <w:spacing w:after="0"/>
              <w:rPr>
                <w:sz w:val="20"/>
                <w:szCs w:val="20"/>
                <w:color w:val="auto"/>
              </w:rPr>
            </w:pPr>
            <w:r>
              <w:rPr>
                <w:rFonts w:ascii="Arial" w:cs="Arial" w:eastAsia="Arial" w:hAnsi="Arial"/>
                <w:sz w:val="17"/>
                <w:szCs w:val="17"/>
                <w:color w:val="auto"/>
              </w:rPr>
              <w:t>Dividends declared</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60" w:type="dxa"/>
            <w:vAlign w:val="bottom"/>
            <w:gridSpan w:val="3"/>
          </w:tcPr>
          <w:p>
            <w:pPr>
              <w:spacing w:after="0"/>
              <w:rPr>
                <w:sz w:val="24"/>
                <w:szCs w:val="2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6"/>
          </w:tcPr>
          <w:p>
            <w:pPr>
              <w:jc w:val="right"/>
              <w:ind w:right="280"/>
              <w:spacing w:after="0"/>
              <w:rPr>
                <w:sz w:val="20"/>
                <w:szCs w:val="20"/>
                <w:color w:val="auto"/>
              </w:rPr>
            </w:pPr>
            <w:r>
              <w:rPr>
                <w:rFonts w:ascii="Arial" w:cs="Arial" w:eastAsia="Arial" w:hAnsi="Arial"/>
                <w:sz w:val="17"/>
                <w:szCs w:val="17"/>
                <w:color w:val="auto"/>
              </w:rPr>
              <w:t>(2,049)</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7"/>
          </w:tcPr>
          <w:p>
            <w:pPr>
              <w:jc w:val="right"/>
              <w:ind w:right="60"/>
              <w:spacing w:after="0"/>
              <w:rPr>
                <w:sz w:val="20"/>
                <w:szCs w:val="20"/>
                <w:color w:val="auto"/>
              </w:rPr>
            </w:pPr>
            <w:r>
              <w:rPr>
                <w:rFonts w:ascii="Arial" w:cs="Arial" w:eastAsia="Arial" w:hAnsi="Arial"/>
                <w:sz w:val="17"/>
                <w:szCs w:val="17"/>
                <w:color w:val="auto"/>
              </w:rPr>
              <w:t>(2,049)</w:t>
            </w:r>
          </w:p>
        </w:tc>
      </w:tr>
      <w:tr>
        <w:trPr>
          <w:trHeight w:val="340"/>
        </w:trPr>
        <w:tc>
          <w:tcPr>
            <w:tcW w:w="3420" w:type="dxa"/>
            <w:vAlign w:val="bottom"/>
          </w:tcPr>
          <w:p>
            <w:pPr>
              <w:ind w:left="80"/>
              <w:spacing w:after="0"/>
              <w:rPr>
                <w:sz w:val="20"/>
                <w:szCs w:val="20"/>
                <w:color w:val="auto"/>
              </w:rPr>
            </w:pPr>
            <w:r>
              <w:rPr>
                <w:rFonts w:ascii="Arial" w:cs="Arial" w:eastAsia="Arial" w:hAnsi="Arial"/>
                <w:sz w:val="17"/>
                <w:szCs w:val="17"/>
                <w:color w:val="auto"/>
              </w:rPr>
              <w:t>Employee benefit transactions</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148</w:t>
            </w:r>
          </w:p>
        </w:tc>
        <w:tc>
          <w:tcPr>
            <w:tcW w:w="28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24"/>
                <w:szCs w:val="24"/>
                <w:color w:val="auto"/>
              </w:rPr>
            </w:pPr>
          </w:p>
        </w:tc>
        <w:tc>
          <w:tcPr>
            <w:tcW w:w="1000" w:type="dxa"/>
            <w:vAlign w:val="bottom"/>
            <w:gridSpan w:val="6"/>
          </w:tcPr>
          <w:p>
            <w:pPr>
              <w:jc w:val="right"/>
              <w:ind w:right="180"/>
              <w:spacing w:after="0"/>
              <w:rPr>
                <w:sz w:val="20"/>
                <w:szCs w:val="20"/>
                <w:color w:val="auto"/>
              </w:rPr>
            </w:pPr>
            <w:r>
              <w:rPr>
                <w:rFonts w:ascii="Arial" w:cs="Arial" w:eastAsia="Arial" w:hAnsi="Arial"/>
                <w:sz w:val="17"/>
                <w:szCs w:val="17"/>
                <w:color w:val="auto"/>
              </w:rPr>
              <w:t>4,030</w:t>
            </w:r>
          </w:p>
        </w:tc>
        <w:tc>
          <w:tcPr>
            <w:tcW w:w="8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4,044</w:t>
            </w:r>
          </w:p>
        </w:tc>
        <w:tc>
          <w:tcPr>
            <w:tcW w:w="100" w:type="dxa"/>
            <w:vAlign w:val="bottom"/>
          </w:tcPr>
          <w:p>
            <w:pPr>
              <w:spacing w:after="0"/>
              <w:rPr>
                <w:sz w:val="24"/>
                <w:szCs w:val="24"/>
                <w:color w:val="auto"/>
              </w:rPr>
            </w:pPr>
          </w:p>
        </w:tc>
      </w:tr>
      <w:tr>
        <w:trPr>
          <w:trHeight w:val="334"/>
        </w:trPr>
        <w:tc>
          <w:tcPr>
            <w:tcW w:w="3420" w:type="dxa"/>
            <w:vAlign w:val="bottom"/>
          </w:tcPr>
          <w:p>
            <w:pPr>
              <w:ind w:left="80"/>
              <w:spacing w:after="0"/>
              <w:rPr>
                <w:sz w:val="20"/>
                <w:szCs w:val="20"/>
                <w:color w:val="auto"/>
              </w:rPr>
            </w:pPr>
            <w:r>
              <w:rPr>
                <w:rFonts w:ascii="Arial" w:cs="Arial" w:eastAsia="Arial" w:hAnsi="Arial"/>
                <w:sz w:val="17"/>
                <w:szCs w:val="17"/>
                <w:color w:val="auto"/>
              </w:rPr>
              <w:t>Income tax benefit arising from</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20" w:type="dxa"/>
            <w:vAlign w:val="bottom"/>
          </w:tcPr>
          <w:p>
            <w:pPr>
              <w:ind w:left="80"/>
              <w:spacing w:after="0"/>
              <w:rPr>
                <w:sz w:val="20"/>
                <w:szCs w:val="20"/>
                <w:color w:val="auto"/>
              </w:rPr>
            </w:pPr>
            <w:r>
              <w:rPr>
                <w:rFonts w:ascii="Arial" w:cs="Arial" w:eastAsia="Arial" w:hAnsi="Arial"/>
                <w:sz w:val="17"/>
                <w:szCs w:val="17"/>
                <w:color w:val="auto"/>
              </w:rPr>
              <w:t>employee stock option plans</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6"/>
          </w:tcPr>
          <w:p>
            <w:pPr>
              <w:jc w:val="right"/>
              <w:ind w:right="180"/>
              <w:spacing w:after="0"/>
              <w:rPr>
                <w:sz w:val="20"/>
                <w:szCs w:val="20"/>
                <w:color w:val="auto"/>
              </w:rPr>
            </w:pPr>
            <w:r>
              <w:rPr>
                <w:rFonts w:ascii="Arial" w:cs="Arial" w:eastAsia="Arial" w:hAnsi="Arial"/>
                <w:sz w:val="17"/>
                <w:szCs w:val="17"/>
                <w:color w:val="auto"/>
              </w:rPr>
              <w:t>656</w:t>
            </w:r>
          </w:p>
        </w:tc>
        <w:tc>
          <w:tcPr>
            <w:tcW w:w="8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Pr>
          <w:p>
            <w:pPr>
              <w:spacing w:after="0"/>
              <w:rPr>
                <w:sz w:val="18"/>
                <w:szCs w:val="18"/>
                <w:color w:val="auto"/>
              </w:rPr>
            </w:pPr>
          </w:p>
        </w:tc>
      </w:tr>
      <w:tr>
        <w:trPr>
          <w:trHeight w:val="304"/>
        </w:trPr>
        <w:tc>
          <w:tcPr>
            <w:tcW w:w="3420" w:type="dxa"/>
            <w:vAlign w:val="bottom"/>
          </w:tcPr>
          <w:p>
            <w:pPr>
              <w:ind w:left="80"/>
              <w:spacing w:after="0"/>
              <w:rPr>
                <w:sz w:val="20"/>
                <w:szCs w:val="20"/>
                <w:color w:val="auto"/>
              </w:rPr>
            </w:pPr>
            <w:r>
              <w:rPr>
                <w:rFonts w:ascii="Arial" w:cs="Arial" w:eastAsia="Arial" w:hAnsi="Arial"/>
                <w:sz w:val="17"/>
                <w:szCs w:val="17"/>
                <w:color w:val="auto"/>
              </w:rPr>
              <w:t>Purchase of common stock</w:t>
            </w:r>
          </w:p>
        </w:tc>
        <w:tc>
          <w:tcPr>
            <w:tcW w:w="5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780" w:type="dxa"/>
            <w:vAlign w:val="bottom"/>
            <w:gridSpan w:val="5"/>
          </w:tcPr>
          <w:p>
            <w:pPr>
              <w:jc w:val="right"/>
              <w:spacing w:after="0"/>
              <w:rPr>
                <w:sz w:val="20"/>
                <w:szCs w:val="20"/>
                <w:color w:val="auto"/>
              </w:rPr>
            </w:pPr>
            <w:r>
              <w:rPr>
                <w:rFonts w:ascii="Arial" w:cs="Arial" w:eastAsia="Arial" w:hAnsi="Arial"/>
                <w:sz w:val="17"/>
                <w:szCs w:val="17"/>
                <w:color w:val="auto"/>
              </w:rPr>
              <w:t>(1,067</w:t>
            </w:r>
            <w:r>
              <w:rPr>
                <w:rFonts w:ascii="Arial" w:cs="Arial" w:eastAsia="Arial" w:hAnsi="Arial"/>
                <w:sz w:val="13"/>
                <w:szCs w:val="13"/>
                <w:color w:val="auto"/>
              </w:rPr>
              <w:t>)</w:t>
            </w:r>
          </w:p>
        </w:tc>
        <w:tc>
          <w:tcPr>
            <w:tcW w:w="1220" w:type="dxa"/>
            <w:vAlign w:val="bottom"/>
            <w:gridSpan w:val="8"/>
          </w:tcPr>
          <w:p>
            <w:pPr>
              <w:jc w:val="right"/>
              <w:ind w:right="180"/>
              <w:spacing w:after="0"/>
              <w:rPr>
                <w:sz w:val="20"/>
                <w:szCs w:val="20"/>
                <w:color w:val="auto"/>
              </w:rPr>
            </w:pPr>
            <w:r>
              <w:rPr>
                <w:rFonts w:ascii="Arial" w:cs="Arial" w:eastAsia="Arial" w:hAnsi="Arial"/>
                <w:sz w:val="17"/>
                <w:szCs w:val="17"/>
                <w:color w:val="auto"/>
              </w:rPr>
              <w:t>(43,048</w:t>
            </w:r>
            <w:r>
              <w:rPr>
                <w:rFonts w:ascii="Arial" w:cs="Arial" w:eastAsia="Arial" w:hAnsi="Arial"/>
                <w:sz w:val="13"/>
                <w:szCs w:val="13"/>
                <w:color w:val="auto"/>
              </w:rPr>
              <w:t>)</w:t>
            </w:r>
          </w:p>
        </w:tc>
        <w:tc>
          <w:tcPr>
            <w:tcW w:w="920" w:type="dxa"/>
            <w:vAlign w:val="bottom"/>
            <w:gridSpan w:val="7"/>
          </w:tcPr>
          <w:p>
            <w:pPr>
              <w:jc w:val="right"/>
              <w:ind w:right="60"/>
              <w:spacing w:after="0"/>
              <w:rPr>
                <w:sz w:val="20"/>
                <w:szCs w:val="20"/>
                <w:color w:val="auto"/>
              </w:rPr>
            </w:pPr>
            <w:r>
              <w:rPr>
                <w:rFonts w:ascii="Arial" w:cs="Arial" w:eastAsia="Arial" w:hAnsi="Arial"/>
                <w:sz w:val="17"/>
                <w:szCs w:val="17"/>
                <w:color w:val="auto"/>
              </w:rPr>
              <w:t>(43,048</w:t>
            </w:r>
            <w:r>
              <w:rPr>
                <w:rFonts w:ascii="Arial" w:cs="Arial" w:eastAsia="Arial" w:hAnsi="Arial"/>
                <w:sz w:val="13"/>
                <w:szCs w:val="13"/>
                <w:color w:val="auto"/>
              </w:rPr>
              <w:t>)</w:t>
            </w:r>
          </w:p>
        </w:tc>
      </w:tr>
      <w:tr>
        <w:trPr>
          <w:trHeight w:val="85"/>
        </w:trPr>
        <w:tc>
          <w:tcPr>
            <w:tcW w:w="3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62"/>
        </w:trPr>
        <w:tc>
          <w:tcPr>
            <w:tcW w:w="3420" w:type="dxa"/>
            <w:vAlign w:val="bottom"/>
            <w:shd w:val="clear" w:color="auto" w:fill="C0C0C0"/>
          </w:tcPr>
          <w:p>
            <w:pPr>
              <w:ind w:left="80"/>
              <w:spacing w:after="0"/>
              <w:rPr>
                <w:sz w:val="20"/>
                <w:szCs w:val="20"/>
                <w:color w:val="auto"/>
              </w:rPr>
            </w:pPr>
            <w:r>
              <w:rPr>
                <w:rFonts w:ascii="Arial" w:cs="Arial" w:eastAsia="Arial" w:hAnsi="Arial"/>
                <w:sz w:val="17"/>
                <w:szCs w:val="17"/>
                <w:b w:val="1"/>
                <w:bCs w:val="1"/>
                <w:color w:val="auto"/>
              </w:rPr>
              <w:t>Balance as of</w:t>
            </w:r>
          </w:p>
        </w:tc>
        <w:tc>
          <w:tcPr>
            <w:tcW w:w="4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34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400" w:type="dxa"/>
            <w:vAlign w:val="bottom"/>
            <w:tcBorders>
              <w:right w:val="single" w:sz="8" w:color="C0C0C0"/>
            </w:tcBorders>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0" w:type="dxa"/>
            <w:vAlign w:val="bottom"/>
            <w:tcBorders>
              <w:right w:val="single" w:sz="8" w:color="C0C0C0"/>
            </w:tcBorders>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2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500" w:type="dxa"/>
            <w:vAlign w:val="bottom"/>
            <w:tcBorders>
              <w:right w:val="single" w:sz="8" w:color="C0C0C0"/>
            </w:tcBorders>
            <w:shd w:val="clear" w:color="auto" w:fill="C0C0C0"/>
          </w:tcPr>
          <w:p>
            <w:pPr>
              <w:spacing w:after="0"/>
              <w:rPr>
                <w:sz w:val="22"/>
                <w:szCs w:val="22"/>
                <w:color w:val="auto"/>
              </w:rPr>
            </w:pPr>
          </w:p>
        </w:tc>
        <w:tc>
          <w:tcPr>
            <w:tcW w:w="460" w:type="dxa"/>
            <w:vAlign w:val="bottom"/>
            <w:tcBorders>
              <w:right w:val="single" w:sz="8" w:color="C0C0C0"/>
            </w:tcBorders>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340" w:type="dxa"/>
            <w:vAlign w:val="bottom"/>
            <w:tcBorders>
              <w:right w:val="single" w:sz="8" w:color="C0C0C0"/>
            </w:tcBorders>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420" w:type="dxa"/>
            <w:vAlign w:val="bottom"/>
            <w:tcBorders>
              <w:right w:val="single" w:sz="8" w:color="C0C0C0"/>
            </w:tcBorders>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r>
      <w:tr>
        <w:trPr>
          <w:trHeight w:val="210"/>
        </w:trPr>
        <w:tc>
          <w:tcPr>
            <w:tcW w:w="3420" w:type="dxa"/>
            <w:vAlign w:val="bottom"/>
            <w:shd w:val="clear" w:color="auto" w:fill="C0C0C0"/>
          </w:tcPr>
          <w:p>
            <w:pPr>
              <w:ind w:left="200"/>
              <w:spacing w:after="0"/>
              <w:rPr>
                <w:sz w:val="20"/>
                <w:szCs w:val="20"/>
                <w:color w:val="auto"/>
              </w:rPr>
            </w:pPr>
            <w:r>
              <w:rPr>
                <w:rFonts w:ascii="Arial" w:cs="Arial" w:eastAsia="Arial" w:hAnsi="Arial"/>
                <w:sz w:val="17"/>
                <w:szCs w:val="17"/>
                <w:b w:val="1"/>
                <w:bCs w:val="1"/>
                <w:color w:val="auto"/>
              </w:rPr>
              <w:t>December 31, 2000</w:t>
            </w:r>
          </w:p>
        </w:tc>
        <w:tc>
          <w:tcPr>
            <w:tcW w:w="500" w:type="dxa"/>
            <w:vAlign w:val="bottom"/>
            <w:gridSpan w:val="4"/>
            <w:shd w:val="clear" w:color="auto" w:fill="C0C0C0"/>
          </w:tcPr>
          <w:p>
            <w:pPr>
              <w:jc w:val="right"/>
              <w:spacing w:after="0"/>
              <w:rPr>
                <w:sz w:val="20"/>
                <w:szCs w:val="20"/>
                <w:color w:val="auto"/>
              </w:rPr>
            </w:pPr>
            <w:r>
              <w:rPr>
                <w:rFonts w:ascii="Arial" w:cs="Arial" w:eastAsia="Arial" w:hAnsi="Arial"/>
                <w:sz w:val="17"/>
                <w:szCs w:val="17"/>
                <w:b w:val="1"/>
                <w:bCs w:val="1"/>
                <w:color w:val="auto"/>
                <w:w w:val="92"/>
              </w:rPr>
              <w:t>25,853</w:t>
            </w:r>
          </w:p>
        </w:tc>
        <w:tc>
          <w:tcPr>
            <w:tcW w:w="280" w:type="dxa"/>
            <w:vAlign w:val="bottom"/>
            <w:shd w:val="clear" w:color="auto" w:fill="C0C0C0"/>
          </w:tcPr>
          <w:p>
            <w:pPr>
              <w:spacing w:after="0"/>
              <w:rPr>
                <w:sz w:val="18"/>
                <w:szCs w:val="18"/>
                <w:color w:val="auto"/>
              </w:rPr>
            </w:pPr>
          </w:p>
        </w:tc>
        <w:tc>
          <w:tcPr>
            <w:tcW w:w="740" w:type="dxa"/>
            <w:vAlign w:val="bottom"/>
            <w:gridSpan w:val="5"/>
            <w:shd w:val="clear" w:color="auto" w:fill="C0C0C0"/>
          </w:tcPr>
          <w:p>
            <w:pPr>
              <w:jc w:val="right"/>
              <w:spacing w:after="0"/>
              <w:rPr>
                <w:sz w:val="20"/>
                <w:szCs w:val="20"/>
                <w:color w:val="auto"/>
              </w:rPr>
            </w:pPr>
            <w:r>
              <w:rPr>
                <w:rFonts w:ascii="Arial" w:cs="Arial" w:eastAsia="Arial" w:hAnsi="Arial"/>
                <w:sz w:val="17"/>
                <w:szCs w:val="17"/>
                <w:b w:val="1"/>
                <w:bCs w:val="1"/>
                <w:color w:val="auto"/>
              </w:rPr>
              <w:t>$2,585</w:t>
            </w:r>
          </w:p>
        </w:tc>
        <w:tc>
          <w:tcPr>
            <w:tcW w:w="200" w:type="dxa"/>
            <w:vAlign w:val="bottom"/>
            <w:shd w:val="clear" w:color="auto" w:fill="C0C0C0"/>
          </w:tcPr>
          <w:p>
            <w:pPr>
              <w:spacing w:after="0"/>
              <w:rPr>
                <w:sz w:val="18"/>
                <w:szCs w:val="18"/>
                <w:color w:val="auto"/>
              </w:rPr>
            </w:pPr>
          </w:p>
        </w:tc>
        <w:tc>
          <w:tcPr>
            <w:tcW w:w="1000" w:type="dxa"/>
            <w:vAlign w:val="bottom"/>
            <w:gridSpan w:val="6"/>
            <w:shd w:val="clear" w:color="auto" w:fill="C0C0C0"/>
          </w:tcPr>
          <w:p>
            <w:pPr>
              <w:jc w:val="right"/>
              <w:ind w:right="180"/>
              <w:spacing w:after="0"/>
              <w:rPr>
                <w:sz w:val="20"/>
                <w:szCs w:val="20"/>
                <w:color w:val="auto"/>
              </w:rPr>
            </w:pPr>
            <w:r>
              <w:rPr>
                <w:rFonts w:ascii="Arial" w:cs="Arial" w:eastAsia="Arial" w:hAnsi="Arial"/>
                <w:sz w:val="17"/>
                <w:szCs w:val="17"/>
                <w:b w:val="1"/>
                <w:bCs w:val="1"/>
                <w:color w:val="auto"/>
              </w:rPr>
              <w:t>$155,001</w:t>
            </w:r>
          </w:p>
        </w:tc>
        <w:tc>
          <w:tcPr>
            <w:tcW w:w="820" w:type="dxa"/>
            <w:vAlign w:val="bottom"/>
            <w:gridSpan w:val="4"/>
            <w:shd w:val="clear" w:color="auto" w:fill="C0C0C0"/>
          </w:tcPr>
          <w:p>
            <w:pPr>
              <w:jc w:val="right"/>
              <w:ind w:right="20"/>
              <w:spacing w:after="0"/>
              <w:rPr>
                <w:sz w:val="20"/>
                <w:szCs w:val="20"/>
                <w:color w:val="auto"/>
              </w:rPr>
            </w:pPr>
            <w:r>
              <w:rPr>
                <w:rFonts w:ascii="Arial" w:cs="Arial" w:eastAsia="Arial" w:hAnsi="Arial"/>
                <w:sz w:val="17"/>
                <w:szCs w:val="17"/>
                <w:b w:val="1"/>
                <w:bCs w:val="1"/>
                <w:color w:val="auto"/>
              </w:rPr>
              <w:t>$579,181</w:t>
            </w:r>
          </w:p>
        </w:tc>
        <w:tc>
          <w:tcPr>
            <w:tcW w:w="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240" w:type="dxa"/>
            <w:vAlign w:val="bottom"/>
            <w:gridSpan w:val="4"/>
            <w:shd w:val="clear" w:color="auto" w:fill="C0C0C0"/>
          </w:tcPr>
          <w:p>
            <w:pPr>
              <w:jc w:val="right"/>
              <w:ind w:right="240"/>
              <w:spacing w:after="0"/>
              <w:rPr>
                <w:sz w:val="20"/>
                <w:szCs w:val="20"/>
                <w:color w:val="auto"/>
              </w:rPr>
            </w:pPr>
            <w:r>
              <w:rPr>
                <w:rFonts w:ascii="Arial" w:cs="Arial" w:eastAsia="Arial" w:hAnsi="Arial"/>
                <w:sz w:val="17"/>
                <w:szCs w:val="17"/>
                <w:b w:val="1"/>
                <w:bCs w:val="1"/>
                <w:color w:val="auto"/>
              </w:rPr>
              <w:t>$ (44,073)</w:t>
            </w:r>
          </w:p>
        </w:tc>
        <w:tc>
          <w:tcPr>
            <w:tcW w:w="780" w:type="dxa"/>
            <w:vAlign w:val="bottom"/>
            <w:gridSpan w:val="5"/>
            <w:shd w:val="clear" w:color="auto" w:fill="C0C0C0"/>
          </w:tcPr>
          <w:p>
            <w:pPr>
              <w:jc w:val="right"/>
              <w:spacing w:after="0"/>
              <w:rPr>
                <w:sz w:val="20"/>
                <w:szCs w:val="20"/>
                <w:color w:val="auto"/>
              </w:rPr>
            </w:pPr>
            <w:r>
              <w:rPr>
                <w:rFonts w:ascii="Arial" w:cs="Arial" w:eastAsia="Arial" w:hAnsi="Arial"/>
                <w:sz w:val="17"/>
                <w:szCs w:val="17"/>
                <w:b w:val="1"/>
                <w:bCs w:val="1"/>
                <w:color w:val="auto"/>
              </w:rPr>
              <w:t>(5,886)</w:t>
            </w:r>
          </w:p>
        </w:tc>
        <w:tc>
          <w:tcPr>
            <w:tcW w:w="1220" w:type="dxa"/>
            <w:vAlign w:val="bottom"/>
            <w:gridSpan w:val="8"/>
            <w:shd w:val="clear" w:color="auto" w:fill="C0C0C0"/>
          </w:tcPr>
          <w:p>
            <w:pPr>
              <w:jc w:val="right"/>
              <w:ind w:right="180"/>
              <w:spacing w:after="0"/>
              <w:rPr>
                <w:sz w:val="20"/>
                <w:szCs w:val="20"/>
                <w:color w:val="auto"/>
              </w:rPr>
            </w:pPr>
            <w:r>
              <w:rPr>
                <w:rFonts w:ascii="Arial" w:cs="Arial" w:eastAsia="Arial" w:hAnsi="Arial"/>
                <w:sz w:val="17"/>
                <w:szCs w:val="17"/>
                <w:b w:val="1"/>
                <w:bCs w:val="1"/>
                <w:color w:val="auto"/>
              </w:rPr>
              <w:t>$(209,055)</w:t>
            </w:r>
          </w:p>
        </w:tc>
        <w:tc>
          <w:tcPr>
            <w:tcW w:w="820" w:type="dxa"/>
            <w:vAlign w:val="bottom"/>
            <w:gridSpan w:val="6"/>
            <w:shd w:val="clear" w:color="auto" w:fill="C0C0C0"/>
          </w:tcPr>
          <w:p>
            <w:pPr>
              <w:jc w:val="right"/>
              <w:spacing w:after="0"/>
              <w:rPr>
                <w:sz w:val="20"/>
                <w:szCs w:val="20"/>
                <w:color w:val="auto"/>
              </w:rPr>
            </w:pPr>
            <w:r>
              <w:rPr>
                <w:rFonts w:ascii="Arial" w:cs="Arial" w:eastAsia="Arial" w:hAnsi="Arial"/>
                <w:sz w:val="17"/>
                <w:szCs w:val="17"/>
                <w:b w:val="1"/>
                <w:bCs w:val="1"/>
                <w:color w:val="auto"/>
              </w:rPr>
              <w:t>$483,639</w:t>
            </w:r>
          </w:p>
        </w:tc>
        <w:tc>
          <w:tcPr>
            <w:tcW w:w="100" w:type="dxa"/>
            <w:vAlign w:val="bottom"/>
            <w:shd w:val="clear" w:color="auto" w:fill="C0C0C0"/>
          </w:tcPr>
          <w:p>
            <w:pPr>
              <w:spacing w:after="0"/>
              <w:rPr>
                <w:sz w:val="18"/>
                <w:szCs w:val="18"/>
                <w:color w:val="auto"/>
              </w:rPr>
            </w:pPr>
          </w:p>
        </w:tc>
      </w:tr>
      <w:tr>
        <w:trPr>
          <w:trHeight w:val="220"/>
        </w:trPr>
        <w:tc>
          <w:tcPr>
            <w:tcW w:w="3420" w:type="dxa"/>
            <w:vAlign w:val="bottom"/>
            <w:shd w:val="clear" w:color="auto" w:fill="C0C0C0"/>
          </w:tcPr>
          <w:p>
            <w:pPr>
              <w:spacing w:after="0"/>
              <w:rPr>
                <w:sz w:val="19"/>
                <w:szCs w:val="19"/>
                <w:color w:val="auto"/>
              </w:rPr>
            </w:pPr>
          </w:p>
        </w:tc>
        <w:tc>
          <w:tcPr>
            <w:tcW w:w="780" w:type="dxa"/>
            <w:vAlign w:val="bottom"/>
            <w:gridSpan w:val="5"/>
            <w:shd w:val="clear" w:color="auto" w:fill="C0C0C0"/>
          </w:tcPr>
          <w:p>
            <w:pPr>
              <w:jc w:val="right"/>
              <w:ind w:right="280"/>
              <w:spacing w:after="0"/>
              <w:rPr>
                <w:sz w:val="20"/>
                <w:szCs w:val="20"/>
                <w:color w:val="auto"/>
              </w:rPr>
            </w:pPr>
            <w:r>
              <w:rPr>
                <w:rFonts w:ascii="Arial" w:cs="Arial" w:eastAsia="Arial" w:hAnsi="Arial"/>
                <w:sz w:val="17"/>
                <w:szCs w:val="17"/>
                <w:b w:val="1"/>
                <w:bCs w:val="1"/>
                <w:color w:val="auto"/>
                <w:w w:val="96"/>
              </w:rPr>
              <w:t>=====</w:t>
            </w:r>
          </w:p>
        </w:tc>
        <w:tc>
          <w:tcPr>
            <w:tcW w:w="940" w:type="dxa"/>
            <w:vAlign w:val="bottom"/>
            <w:gridSpan w:val="6"/>
            <w:shd w:val="clear" w:color="auto" w:fill="C0C0C0"/>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6"/>
            <w:shd w:val="clear" w:color="auto" w:fill="C0C0C0"/>
          </w:tcPr>
          <w:p>
            <w:pPr>
              <w:jc w:val="right"/>
              <w:ind w:right="18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4"/>
            <w:shd w:val="clear" w:color="auto" w:fill="C0C0C0"/>
          </w:tcPr>
          <w:p>
            <w:pPr>
              <w:jc w:val="right"/>
              <w:ind w:right="20"/>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80" w:type="dxa"/>
            <w:vAlign w:val="bottom"/>
            <w:gridSpan w:val="3"/>
            <w:shd w:val="clear" w:color="auto" w:fill="C0C0C0"/>
          </w:tcPr>
          <w:p>
            <w:pPr>
              <w:jc w:val="right"/>
              <w:ind w:right="2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0C0C0"/>
          </w:tcPr>
          <w:p>
            <w:pPr>
              <w:spacing w:after="0"/>
              <w:rPr>
                <w:sz w:val="19"/>
                <w:szCs w:val="19"/>
                <w:color w:val="auto"/>
              </w:rPr>
            </w:pPr>
          </w:p>
        </w:tc>
        <w:tc>
          <w:tcPr>
            <w:tcW w:w="760" w:type="dxa"/>
            <w:vAlign w:val="bottom"/>
            <w:tcBorders>
              <w:right w:val="single" w:sz="8" w:color="C0C0C0"/>
            </w:tcBorders>
            <w:gridSpan w:val="4"/>
            <w:shd w:val="clear" w:color="auto" w:fill="C0C0C0"/>
          </w:tcPr>
          <w:p>
            <w:pPr>
              <w:jc w:val="right"/>
              <w:ind w:right="20"/>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0C0C0"/>
          </w:tcPr>
          <w:p>
            <w:pPr>
              <w:spacing w:after="0"/>
              <w:rPr>
                <w:sz w:val="19"/>
                <w:szCs w:val="19"/>
                <w:color w:val="auto"/>
              </w:rPr>
            </w:pPr>
          </w:p>
        </w:tc>
        <w:tc>
          <w:tcPr>
            <w:tcW w:w="1020" w:type="dxa"/>
            <w:vAlign w:val="bottom"/>
            <w:tcBorders>
              <w:right w:val="single" w:sz="8" w:color="C0C0C0"/>
            </w:tcBorders>
            <w:gridSpan w:val="6"/>
            <w:shd w:val="clear" w:color="auto" w:fill="C0C0C0"/>
          </w:tcPr>
          <w:p>
            <w:pPr>
              <w:jc w:val="right"/>
              <w:ind w:right="20"/>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20" w:type="dxa"/>
            <w:vAlign w:val="bottom"/>
            <w:gridSpan w:val="6"/>
            <w:shd w:val="clear" w:color="auto" w:fill="C0C0C0"/>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0C0C0"/>
          </w:tcPr>
          <w:p>
            <w:pPr>
              <w:spacing w:after="0"/>
              <w:rPr>
                <w:sz w:val="19"/>
                <w:szCs w:val="19"/>
                <w:color w:val="auto"/>
              </w:rPr>
            </w:pPr>
          </w:p>
        </w:tc>
      </w:tr>
      <w:tr>
        <w:trPr>
          <w:trHeight w:val="68"/>
        </w:trPr>
        <w:tc>
          <w:tcPr>
            <w:tcW w:w="3420" w:type="dxa"/>
            <w:vAlign w:val="bottom"/>
            <w:shd w:val="clear" w:color="auto" w:fill="C0C0C0"/>
          </w:tcPr>
          <w:p>
            <w:pPr>
              <w:spacing w:after="0"/>
              <w:rPr>
                <w:sz w:val="5"/>
                <w:szCs w:val="5"/>
                <w:color w:val="auto"/>
              </w:rPr>
            </w:pPr>
          </w:p>
        </w:tc>
        <w:tc>
          <w:tcPr>
            <w:tcW w:w="40" w:type="dxa"/>
            <w:vAlign w:val="bottom"/>
            <w:shd w:val="clear" w:color="auto" w:fill="C0C0C0"/>
          </w:tcPr>
          <w:p>
            <w:pPr>
              <w:spacing w:after="0"/>
              <w:rPr>
                <w:sz w:val="5"/>
                <w:szCs w:val="5"/>
                <w:color w:val="auto"/>
              </w:rPr>
            </w:pPr>
          </w:p>
        </w:tc>
        <w:tc>
          <w:tcPr>
            <w:tcW w:w="40" w:type="dxa"/>
            <w:vAlign w:val="bottom"/>
            <w:shd w:val="clear" w:color="auto" w:fill="C0C0C0"/>
          </w:tcPr>
          <w:p>
            <w:pPr>
              <w:spacing w:after="0"/>
              <w:rPr>
                <w:sz w:val="5"/>
                <w:szCs w:val="5"/>
                <w:color w:val="auto"/>
              </w:rPr>
            </w:pPr>
          </w:p>
        </w:tc>
        <w:tc>
          <w:tcPr>
            <w:tcW w:w="60" w:type="dxa"/>
            <w:vAlign w:val="bottom"/>
            <w:shd w:val="clear" w:color="auto" w:fill="C0C0C0"/>
          </w:tcPr>
          <w:p>
            <w:pPr>
              <w:spacing w:after="0"/>
              <w:rPr>
                <w:sz w:val="5"/>
                <w:szCs w:val="5"/>
                <w:color w:val="auto"/>
              </w:rPr>
            </w:pPr>
          </w:p>
        </w:tc>
        <w:tc>
          <w:tcPr>
            <w:tcW w:w="360" w:type="dxa"/>
            <w:vAlign w:val="bottom"/>
            <w:shd w:val="clear" w:color="auto" w:fill="C0C0C0"/>
          </w:tcPr>
          <w:p>
            <w:pPr>
              <w:spacing w:after="0"/>
              <w:rPr>
                <w:sz w:val="5"/>
                <w:szCs w:val="5"/>
                <w:color w:val="auto"/>
              </w:rPr>
            </w:pPr>
          </w:p>
        </w:tc>
        <w:tc>
          <w:tcPr>
            <w:tcW w:w="280" w:type="dxa"/>
            <w:vAlign w:val="bottom"/>
            <w:shd w:val="clear" w:color="auto" w:fill="C0C0C0"/>
          </w:tcPr>
          <w:p>
            <w:pPr>
              <w:spacing w:after="0"/>
              <w:rPr>
                <w:sz w:val="5"/>
                <w:szCs w:val="5"/>
                <w:color w:val="auto"/>
              </w:rPr>
            </w:pPr>
          </w:p>
        </w:tc>
        <w:tc>
          <w:tcPr>
            <w:tcW w:w="340" w:type="dxa"/>
            <w:vAlign w:val="bottom"/>
            <w:shd w:val="clear" w:color="auto" w:fill="C0C0C0"/>
          </w:tcPr>
          <w:p>
            <w:pPr>
              <w:spacing w:after="0"/>
              <w:rPr>
                <w:sz w:val="5"/>
                <w:szCs w:val="5"/>
                <w:color w:val="auto"/>
              </w:rPr>
            </w:pPr>
          </w:p>
        </w:tc>
        <w:tc>
          <w:tcPr>
            <w:tcW w:w="20" w:type="dxa"/>
            <w:vAlign w:val="bottom"/>
            <w:shd w:val="clear" w:color="auto" w:fill="C0C0C0"/>
          </w:tcPr>
          <w:p>
            <w:pPr>
              <w:spacing w:after="0"/>
              <w:rPr>
                <w:sz w:val="5"/>
                <w:szCs w:val="5"/>
                <w:color w:val="auto"/>
              </w:rPr>
            </w:pPr>
          </w:p>
        </w:tc>
        <w:tc>
          <w:tcPr>
            <w:tcW w:w="20" w:type="dxa"/>
            <w:vAlign w:val="bottom"/>
            <w:shd w:val="clear" w:color="auto" w:fill="C0C0C0"/>
          </w:tcPr>
          <w:p>
            <w:pPr>
              <w:spacing w:after="0"/>
              <w:rPr>
                <w:sz w:val="5"/>
                <w:szCs w:val="5"/>
                <w:color w:val="auto"/>
              </w:rPr>
            </w:pPr>
          </w:p>
        </w:tc>
        <w:tc>
          <w:tcPr>
            <w:tcW w:w="80" w:type="dxa"/>
            <w:vAlign w:val="bottom"/>
            <w:shd w:val="clear" w:color="auto" w:fill="C0C0C0"/>
          </w:tcPr>
          <w:p>
            <w:pPr>
              <w:spacing w:after="0"/>
              <w:rPr>
                <w:sz w:val="5"/>
                <w:szCs w:val="5"/>
                <w:color w:val="auto"/>
              </w:rPr>
            </w:pPr>
          </w:p>
        </w:tc>
        <w:tc>
          <w:tcPr>
            <w:tcW w:w="280" w:type="dxa"/>
            <w:vAlign w:val="bottom"/>
            <w:shd w:val="clear" w:color="auto" w:fill="C0C0C0"/>
          </w:tcPr>
          <w:p>
            <w:pPr>
              <w:spacing w:after="0"/>
              <w:rPr>
                <w:sz w:val="5"/>
                <w:szCs w:val="5"/>
                <w:color w:val="auto"/>
              </w:rPr>
            </w:pPr>
          </w:p>
        </w:tc>
        <w:tc>
          <w:tcPr>
            <w:tcW w:w="200" w:type="dxa"/>
            <w:vAlign w:val="bottom"/>
            <w:shd w:val="clear" w:color="auto" w:fill="C0C0C0"/>
          </w:tcPr>
          <w:p>
            <w:pPr>
              <w:spacing w:after="0"/>
              <w:rPr>
                <w:sz w:val="5"/>
                <w:szCs w:val="5"/>
                <w:color w:val="auto"/>
              </w:rPr>
            </w:pPr>
          </w:p>
        </w:tc>
        <w:tc>
          <w:tcPr>
            <w:tcW w:w="260" w:type="dxa"/>
            <w:vAlign w:val="bottom"/>
            <w:shd w:val="clear" w:color="auto" w:fill="C0C0C0"/>
          </w:tcPr>
          <w:p>
            <w:pPr>
              <w:spacing w:after="0"/>
              <w:rPr>
                <w:sz w:val="5"/>
                <w:szCs w:val="5"/>
                <w:color w:val="auto"/>
              </w:rPr>
            </w:pPr>
          </w:p>
        </w:tc>
        <w:tc>
          <w:tcPr>
            <w:tcW w:w="80" w:type="dxa"/>
            <w:vAlign w:val="bottom"/>
            <w:shd w:val="clear" w:color="auto" w:fill="C0C0C0"/>
          </w:tcPr>
          <w:p>
            <w:pPr>
              <w:spacing w:after="0"/>
              <w:rPr>
                <w:sz w:val="5"/>
                <w:szCs w:val="5"/>
                <w:color w:val="auto"/>
              </w:rPr>
            </w:pPr>
          </w:p>
        </w:tc>
        <w:tc>
          <w:tcPr>
            <w:tcW w:w="20" w:type="dxa"/>
            <w:vAlign w:val="bottom"/>
            <w:shd w:val="clear" w:color="auto" w:fill="C0C0C0"/>
          </w:tcPr>
          <w:p>
            <w:pPr>
              <w:spacing w:after="0"/>
              <w:rPr>
                <w:sz w:val="5"/>
                <w:szCs w:val="5"/>
                <w:color w:val="auto"/>
              </w:rPr>
            </w:pPr>
          </w:p>
        </w:tc>
        <w:tc>
          <w:tcPr>
            <w:tcW w:w="60" w:type="dxa"/>
            <w:vAlign w:val="bottom"/>
            <w:shd w:val="clear" w:color="auto" w:fill="C0C0C0"/>
          </w:tcPr>
          <w:p>
            <w:pPr>
              <w:spacing w:after="0"/>
              <w:rPr>
                <w:sz w:val="5"/>
                <w:szCs w:val="5"/>
                <w:color w:val="auto"/>
              </w:rPr>
            </w:pPr>
          </w:p>
        </w:tc>
        <w:tc>
          <w:tcPr>
            <w:tcW w:w="400" w:type="dxa"/>
            <w:vAlign w:val="bottom"/>
            <w:tcBorders>
              <w:right w:val="single" w:sz="8" w:color="C0C0C0"/>
            </w:tcBorders>
            <w:shd w:val="clear" w:color="auto" w:fill="C0C0C0"/>
          </w:tcPr>
          <w:p>
            <w:pPr>
              <w:spacing w:after="0"/>
              <w:rPr>
                <w:sz w:val="5"/>
                <w:szCs w:val="5"/>
                <w:color w:val="auto"/>
              </w:rPr>
            </w:pPr>
          </w:p>
        </w:tc>
        <w:tc>
          <w:tcPr>
            <w:tcW w:w="180" w:type="dxa"/>
            <w:vAlign w:val="bottom"/>
            <w:shd w:val="clear" w:color="auto" w:fill="C0C0C0"/>
          </w:tcPr>
          <w:p>
            <w:pPr>
              <w:spacing w:after="0"/>
              <w:rPr>
                <w:sz w:val="5"/>
                <w:szCs w:val="5"/>
                <w:color w:val="auto"/>
              </w:rPr>
            </w:pPr>
          </w:p>
        </w:tc>
        <w:tc>
          <w:tcPr>
            <w:tcW w:w="240" w:type="dxa"/>
            <w:vAlign w:val="bottom"/>
            <w:shd w:val="clear" w:color="auto" w:fill="C0C0C0"/>
          </w:tcPr>
          <w:p>
            <w:pPr>
              <w:spacing w:after="0"/>
              <w:rPr>
                <w:sz w:val="5"/>
                <w:szCs w:val="5"/>
                <w:color w:val="auto"/>
              </w:rPr>
            </w:pPr>
          </w:p>
        </w:tc>
        <w:tc>
          <w:tcPr>
            <w:tcW w:w="80" w:type="dxa"/>
            <w:vAlign w:val="bottom"/>
            <w:tcBorders>
              <w:right w:val="single" w:sz="8" w:color="C0C0C0"/>
            </w:tcBorders>
            <w:shd w:val="clear" w:color="auto" w:fill="C0C0C0"/>
          </w:tcPr>
          <w:p>
            <w:pPr>
              <w:spacing w:after="0"/>
              <w:rPr>
                <w:sz w:val="5"/>
                <w:szCs w:val="5"/>
                <w:color w:val="auto"/>
              </w:rPr>
            </w:pPr>
          </w:p>
        </w:tc>
        <w:tc>
          <w:tcPr>
            <w:tcW w:w="80" w:type="dxa"/>
            <w:vAlign w:val="bottom"/>
            <w:shd w:val="clear" w:color="auto" w:fill="C0C0C0"/>
          </w:tcPr>
          <w:p>
            <w:pPr>
              <w:spacing w:after="0"/>
              <w:rPr>
                <w:sz w:val="5"/>
                <w:szCs w:val="5"/>
                <w:color w:val="auto"/>
              </w:rPr>
            </w:pPr>
          </w:p>
        </w:tc>
        <w:tc>
          <w:tcPr>
            <w:tcW w:w="420" w:type="dxa"/>
            <w:vAlign w:val="bottom"/>
            <w:shd w:val="clear" w:color="auto" w:fill="C0C0C0"/>
          </w:tcPr>
          <w:p>
            <w:pPr>
              <w:spacing w:after="0"/>
              <w:rPr>
                <w:sz w:val="5"/>
                <w:szCs w:val="5"/>
                <w:color w:val="auto"/>
              </w:rPr>
            </w:pPr>
          </w:p>
        </w:tc>
        <w:tc>
          <w:tcPr>
            <w:tcW w:w="20" w:type="dxa"/>
            <w:vAlign w:val="bottom"/>
            <w:shd w:val="clear" w:color="auto" w:fill="C0C0C0"/>
          </w:tcPr>
          <w:p>
            <w:pPr>
              <w:spacing w:after="0"/>
              <w:rPr>
                <w:sz w:val="5"/>
                <w:szCs w:val="5"/>
                <w:color w:val="auto"/>
              </w:rPr>
            </w:pPr>
          </w:p>
        </w:tc>
        <w:tc>
          <w:tcPr>
            <w:tcW w:w="280" w:type="dxa"/>
            <w:vAlign w:val="bottom"/>
            <w:shd w:val="clear" w:color="auto" w:fill="C0C0C0"/>
          </w:tcPr>
          <w:p>
            <w:pPr>
              <w:spacing w:after="0"/>
              <w:rPr>
                <w:sz w:val="5"/>
                <w:szCs w:val="5"/>
                <w:color w:val="auto"/>
              </w:rPr>
            </w:pPr>
          </w:p>
        </w:tc>
        <w:tc>
          <w:tcPr>
            <w:tcW w:w="500" w:type="dxa"/>
            <w:vAlign w:val="bottom"/>
            <w:tcBorders>
              <w:right w:val="single" w:sz="8" w:color="C0C0C0"/>
            </w:tcBorders>
            <w:shd w:val="clear" w:color="auto" w:fill="C0C0C0"/>
          </w:tcPr>
          <w:p>
            <w:pPr>
              <w:spacing w:after="0"/>
              <w:rPr>
                <w:sz w:val="5"/>
                <w:szCs w:val="5"/>
                <w:color w:val="auto"/>
              </w:rPr>
            </w:pPr>
          </w:p>
        </w:tc>
        <w:tc>
          <w:tcPr>
            <w:tcW w:w="460" w:type="dxa"/>
            <w:vAlign w:val="bottom"/>
            <w:tcBorders>
              <w:right w:val="single" w:sz="8" w:color="C0C0C0"/>
            </w:tcBorders>
            <w:shd w:val="clear" w:color="auto" w:fill="C0C0C0"/>
          </w:tcPr>
          <w:p>
            <w:pPr>
              <w:spacing w:after="0"/>
              <w:rPr>
                <w:sz w:val="5"/>
                <w:szCs w:val="5"/>
                <w:color w:val="auto"/>
              </w:rPr>
            </w:pPr>
          </w:p>
        </w:tc>
        <w:tc>
          <w:tcPr>
            <w:tcW w:w="20" w:type="dxa"/>
            <w:vAlign w:val="bottom"/>
            <w:shd w:val="clear" w:color="auto" w:fill="C0C0C0"/>
          </w:tcPr>
          <w:p>
            <w:pPr>
              <w:spacing w:after="0"/>
              <w:rPr>
                <w:sz w:val="5"/>
                <w:szCs w:val="5"/>
                <w:color w:val="auto"/>
              </w:rPr>
            </w:pPr>
          </w:p>
        </w:tc>
        <w:tc>
          <w:tcPr>
            <w:tcW w:w="260" w:type="dxa"/>
            <w:vAlign w:val="bottom"/>
            <w:shd w:val="clear" w:color="auto" w:fill="C0C0C0"/>
          </w:tcPr>
          <w:p>
            <w:pPr>
              <w:spacing w:after="0"/>
              <w:rPr>
                <w:sz w:val="5"/>
                <w:szCs w:val="5"/>
                <w:color w:val="auto"/>
              </w:rPr>
            </w:pPr>
          </w:p>
        </w:tc>
        <w:tc>
          <w:tcPr>
            <w:tcW w:w="300" w:type="dxa"/>
            <w:vAlign w:val="bottom"/>
            <w:shd w:val="clear" w:color="auto" w:fill="C0C0C0"/>
          </w:tcPr>
          <w:p>
            <w:pPr>
              <w:spacing w:after="0"/>
              <w:rPr>
                <w:sz w:val="5"/>
                <w:szCs w:val="5"/>
                <w:color w:val="auto"/>
              </w:rPr>
            </w:pPr>
          </w:p>
        </w:tc>
        <w:tc>
          <w:tcPr>
            <w:tcW w:w="80" w:type="dxa"/>
            <w:vAlign w:val="bottom"/>
            <w:shd w:val="clear" w:color="auto" w:fill="C0C0C0"/>
          </w:tcPr>
          <w:p>
            <w:pPr>
              <w:spacing w:after="0"/>
              <w:rPr>
                <w:sz w:val="5"/>
                <w:szCs w:val="5"/>
                <w:color w:val="auto"/>
              </w:rPr>
            </w:pPr>
          </w:p>
        </w:tc>
        <w:tc>
          <w:tcPr>
            <w:tcW w:w="40" w:type="dxa"/>
            <w:vAlign w:val="bottom"/>
            <w:shd w:val="clear" w:color="auto" w:fill="C0C0C0"/>
          </w:tcPr>
          <w:p>
            <w:pPr>
              <w:spacing w:after="0"/>
              <w:rPr>
                <w:sz w:val="5"/>
                <w:szCs w:val="5"/>
                <w:color w:val="auto"/>
              </w:rPr>
            </w:pPr>
          </w:p>
        </w:tc>
        <w:tc>
          <w:tcPr>
            <w:tcW w:w="340" w:type="dxa"/>
            <w:vAlign w:val="bottom"/>
            <w:tcBorders>
              <w:right w:val="single" w:sz="8" w:color="C0C0C0"/>
            </w:tcBorders>
            <w:shd w:val="clear" w:color="auto" w:fill="C0C0C0"/>
          </w:tcPr>
          <w:p>
            <w:pPr>
              <w:spacing w:after="0"/>
              <w:rPr>
                <w:sz w:val="5"/>
                <w:szCs w:val="5"/>
                <w:color w:val="auto"/>
              </w:rPr>
            </w:pPr>
          </w:p>
        </w:tc>
        <w:tc>
          <w:tcPr>
            <w:tcW w:w="20" w:type="dxa"/>
            <w:vAlign w:val="bottom"/>
            <w:shd w:val="clear" w:color="auto" w:fill="C0C0C0"/>
          </w:tcPr>
          <w:p>
            <w:pPr>
              <w:spacing w:after="0"/>
              <w:rPr>
                <w:sz w:val="5"/>
                <w:szCs w:val="5"/>
                <w:color w:val="auto"/>
              </w:rPr>
            </w:pPr>
          </w:p>
        </w:tc>
        <w:tc>
          <w:tcPr>
            <w:tcW w:w="380" w:type="dxa"/>
            <w:vAlign w:val="bottom"/>
            <w:shd w:val="clear" w:color="auto" w:fill="C0C0C0"/>
          </w:tcPr>
          <w:p>
            <w:pPr>
              <w:spacing w:after="0"/>
              <w:rPr>
                <w:sz w:val="5"/>
                <w:szCs w:val="5"/>
                <w:color w:val="auto"/>
              </w:rPr>
            </w:pPr>
          </w:p>
        </w:tc>
        <w:tc>
          <w:tcPr>
            <w:tcW w:w="60" w:type="dxa"/>
            <w:vAlign w:val="bottom"/>
            <w:shd w:val="clear" w:color="auto" w:fill="C0C0C0"/>
          </w:tcPr>
          <w:p>
            <w:pPr>
              <w:spacing w:after="0"/>
              <w:rPr>
                <w:sz w:val="5"/>
                <w:szCs w:val="5"/>
                <w:color w:val="auto"/>
              </w:rPr>
            </w:pPr>
          </w:p>
        </w:tc>
        <w:tc>
          <w:tcPr>
            <w:tcW w:w="40" w:type="dxa"/>
            <w:vAlign w:val="bottom"/>
            <w:shd w:val="clear" w:color="auto" w:fill="C0C0C0"/>
          </w:tcPr>
          <w:p>
            <w:pPr>
              <w:spacing w:after="0"/>
              <w:rPr>
                <w:sz w:val="5"/>
                <w:szCs w:val="5"/>
                <w:color w:val="auto"/>
              </w:rPr>
            </w:pPr>
          </w:p>
        </w:tc>
        <w:tc>
          <w:tcPr>
            <w:tcW w:w="80" w:type="dxa"/>
            <w:vAlign w:val="bottom"/>
            <w:shd w:val="clear" w:color="auto" w:fill="C0C0C0"/>
          </w:tcPr>
          <w:p>
            <w:pPr>
              <w:spacing w:after="0"/>
              <w:rPr>
                <w:sz w:val="5"/>
                <w:szCs w:val="5"/>
                <w:color w:val="auto"/>
              </w:rPr>
            </w:pPr>
          </w:p>
        </w:tc>
        <w:tc>
          <w:tcPr>
            <w:tcW w:w="40" w:type="dxa"/>
            <w:vAlign w:val="bottom"/>
            <w:shd w:val="clear" w:color="auto" w:fill="C0C0C0"/>
          </w:tcPr>
          <w:p>
            <w:pPr>
              <w:spacing w:after="0"/>
              <w:rPr>
                <w:sz w:val="5"/>
                <w:szCs w:val="5"/>
                <w:color w:val="auto"/>
              </w:rPr>
            </w:pPr>
          </w:p>
        </w:tc>
        <w:tc>
          <w:tcPr>
            <w:tcW w:w="420" w:type="dxa"/>
            <w:vAlign w:val="bottom"/>
            <w:tcBorders>
              <w:right w:val="single" w:sz="8" w:color="C0C0C0"/>
            </w:tcBorders>
            <w:shd w:val="clear" w:color="auto" w:fill="C0C0C0"/>
          </w:tcPr>
          <w:p>
            <w:pPr>
              <w:spacing w:after="0"/>
              <w:rPr>
                <w:sz w:val="5"/>
                <w:szCs w:val="5"/>
                <w:color w:val="auto"/>
              </w:rPr>
            </w:pPr>
          </w:p>
        </w:tc>
        <w:tc>
          <w:tcPr>
            <w:tcW w:w="20" w:type="dxa"/>
            <w:vAlign w:val="bottom"/>
            <w:shd w:val="clear" w:color="auto" w:fill="C0C0C0"/>
          </w:tcPr>
          <w:p>
            <w:pPr>
              <w:spacing w:after="0"/>
              <w:rPr>
                <w:sz w:val="5"/>
                <w:szCs w:val="5"/>
                <w:color w:val="auto"/>
              </w:rPr>
            </w:pPr>
          </w:p>
        </w:tc>
        <w:tc>
          <w:tcPr>
            <w:tcW w:w="180" w:type="dxa"/>
            <w:vAlign w:val="bottom"/>
            <w:shd w:val="clear" w:color="auto" w:fill="C0C0C0"/>
          </w:tcPr>
          <w:p>
            <w:pPr>
              <w:spacing w:after="0"/>
              <w:rPr>
                <w:sz w:val="5"/>
                <w:szCs w:val="5"/>
                <w:color w:val="auto"/>
              </w:rPr>
            </w:pPr>
          </w:p>
        </w:tc>
        <w:tc>
          <w:tcPr>
            <w:tcW w:w="240" w:type="dxa"/>
            <w:vAlign w:val="bottom"/>
            <w:shd w:val="clear" w:color="auto" w:fill="C0C0C0"/>
          </w:tcPr>
          <w:p>
            <w:pPr>
              <w:spacing w:after="0"/>
              <w:rPr>
                <w:sz w:val="5"/>
                <w:szCs w:val="5"/>
                <w:color w:val="auto"/>
              </w:rPr>
            </w:pPr>
          </w:p>
        </w:tc>
        <w:tc>
          <w:tcPr>
            <w:tcW w:w="20" w:type="dxa"/>
            <w:vAlign w:val="bottom"/>
            <w:shd w:val="clear" w:color="auto" w:fill="C0C0C0"/>
          </w:tcPr>
          <w:p>
            <w:pPr>
              <w:spacing w:after="0"/>
              <w:rPr>
                <w:sz w:val="5"/>
                <w:szCs w:val="5"/>
                <w:color w:val="auto"/>
              </w:rPr>
            </w:pPr>
          </w:p>
        </w:tc>
        <w:tc>
          <w:tcPr>
            <w:tcW w:w="20" w:type="dxa"/>
            <w:vAlign w:val="bottom"/>
            <w:shd w:val="clear" w:color="auto" w:fill="C0C0C0"/>
          </w:tcPr>
          <w:p>
            <w:pPr>
              <w:spacing w:after="0"/>
              <w:rPr>
                <w:sz w:val="5"/>
                <w:szCs w:val="5"/>
                <w:color w:val="auto"/>
              </w:rPr>
            </w:pPr>
          </w:p>
        </w:tc>
        <w:tc>
          <w:tcPr>
            <w:tcW w:w="40" w:type="dxa"/>
            <w:vAlign w:val="bottom"/>
            <w:shd w:val="clear" w:color="auto" w:fill="C0C0C0"/>
          </w:tcPr>
          <w:p>
            <w:pPr>
              <w:spacing w:after="0"/>
              <w:rPr>
                <w:sz w:val="5"/>
                <w:szCs w:val="5"/>
                <w:color w:val="auto"/>
              </w:rPr>
            </w:pPr>
          </w:p>
        </w:tc>
        <w:tc>
          <w:tcPr>
            <w:tcW w:w="60" w:type="dxa"/>
            <w:vAlign w:val="bottom"/>
            <w:shd w:val="clear" w:color="auto" w:fill="C0C0C0"/>
          </w:tcPr>
          <w:p>
            <w:pPr>
              <w:spacing w:after="0"/>
              <w:rPr>
                <w:sz w:val="5"/>
                <w:szCs w:val="5"/>
                <w:color w:val="auto"/>
              </w:rPr>
            </w:pPr>
          </w:p>
        </w:tc>
        <w:tc>
          <w:tcPr>
            <w:tcW w:w="440" w:type="dxa"/>
            <w:vAlign w:val="bottom"/>
            <w:shd w:val="clear" w:color="auto" w:fill="C0C0C0"/>
          </w:tcPr>
          <w:p>
            <w:pPr>
              <w:spacing w:after="0"/>
              <w:rPr>
                <w:sz w:val="5"/>
                <w:szCs w:val="5"/>
                <w:color w:val="auto"/>
              </w:rPr>
            </w:pPr>
          </w:p>
        </w:tc>
        <w:tc>
          <w:tcPr>
            <w:tcW w:w="100" w:type="dxa"/>
            <w:vAlign w:val="bottom"/>
            <w:shd w:val="clear" w:color="auto" w:fill="C0C0C0"/>
          </w:tcPr>
          <w:p>
            <w:pPr>
              <w:spacing w:after="0"/>
              <w:rPr>
                <w:sz w:val="5"/>
                <w:szCs w:val="5"/>
                <w:color w:val="auto"/>
              </w:rPr>
            </w:pPr>
          </w:p>
        </w:tc>
      </w:tr>
    </w:tbl>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See Notes to Consolidated Financial Statements, which are an integral part of these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Significant Accounting Policies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Basis of Presentation</w:t>
      </w:r>
    </w:p>
    <w:p>
      <w:pPr>
        <w:spacing w:after="0" w:line="24" w:lineRule="exact"/>
        <w:rPr>
          <w:sz w:val="20"/>
          <w:szCs w:val="20"/>
          <w:color w:val="auto"/>
        </w:rPr>
      </w:pPr>
    </w:p>
    <w:p>
      <w:pPr>
        <w:ind w:right="460" w:firstLine="210"/>
        <w:spacing w:after="0" w:line="274" w:lineRule="auto"/>
        <w:rPr>
          <w:sz w:val="20"/>
          <w:szCs w:val="20"/>
          <w:color w:val="auto"/>
        </w:rPr>
      </w:pPr>
      <w:r>
        <w:rPr>
          <w:rFonts w:ascii="Arial" w:cs="Arial" w:eastAsia="Arial" w:hAnsi="Arial"/>
          <w:sz w:val="17"/>
          <w:szCs w:val="17"/>
          <w:color w:val="auto"/>
        </w:rPr>
        <w:t>The accompanying consolidated financial statements include the accounts of Minerals Technologies Inc. (the "Company") and its wholly and majority-owned subsidiaries. All intercompany balances and transactions have been eliminated in consolidation.</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Use of Estimates</w:t>
      </w:r>
    </w:p>
    <w:p>
      <w:pPr>
        <w:spacing w:after="0" w:line="24" w:lineRule="exact"/>
        <w:rPr>
          <w:sz w:val="20"/>
          <w:szCs w:val="20"/>
          <w:color w:val="auto"/>
        </w:rPr>
      </w:pPr>
    </w:p>
    <w:p>
      <w:pPr>
        <w:ind w:right="160" w:firstLine="210"/>
        <w:spacing w:after="0" w:line="265" w:lineRule="auto"/>
        <w:rPr>
          <w:sz w:val="20"/>
          <w:szCs w:val="20"/>
          <w:color w:val="auto"/>
        </w:rPr>
      </w:pPr>
      <w:r>
        <w:rPr>
          <w:rFonts w:ascii="Arial" w:cs="Arial" w:eastAsia="Arial" w:hAnsi="Arial"/>
          <w:sz w:val="17"/>
          <w:szCs w:val="17"/>
          <w:color w:val="auto"/>
        </w:rPr>
        <w:t>The Company employs accounting policies that are in accordance with generally accepted accounting principles in the United States of America and require management to make estimates and assumptions relating to the reporting of assets and liabilities and the disclosure of contingent liabilities at the date of the financial statements. Actual results could differ from those estimates.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Business</w:t>
      </w:r>
    </w:p>
    <w:p>
      <w:pPr>
        <w:spacing w:after="0" w:line="24" w:lineRule="exact"/>
        <w:rPr>
          <w:sz w:val="20"/>
          <w:szCs w:val="20"/>
          <w:color w:val="auto"/>
        </w:rPr>
      </w:pPr>
    </w:p>
    <w:p>
      <w:pPr>
        <w:ind w:right="60" w:firstLine="210"/>
        <w:spacing w:after="0" w:line="265" w:lineRule="auto"/>
        <w:rPr>
          <w:sz w:val="20"/>
          <w:szCs w:val="20"/>
          <w:color w:val="auto"/>
        </w:rPr>
      </w:pPr>
      <w:r>
        <w:rPr>
          <w:rFonts w:ascii="Arial" w:cs="Arial" w:eastAsia="Arial" w:hAnsi="Arial"/>
          <w:sz w:val="17"/>
          <w:szCs w:val="17"/>
          <w:color w:val="auto"/>
        </w:rPr>
        <w:t>The Company is a resource- and technology-based company that develops, produces and markets on a worldwide basis a broad range of specialty mineral, mineral-based and synthetic mineral products. The Company's products are used in manufacturing processes of the paper and steel industries, as well as by the building materials, polymers, ceramics, paints and coatings, glass and other manufacturing industries.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Change in Accounting Principle</w:t>
      </w:r>
    </w:p>
    <w:p>
      <w:pPr>
        <w:spacing w:after="0" w:line="24" w:lineRule="exact"/>
        <w:rPr>
          <w:sz w:val="20"/>
          <w:szCs w:val="20"/>
          <w:color w:val="auto"/>
        </w:rPr>
      </w:pPr>
    </w:p>
    <w:p>
      <w:pPr>
        <w:ind w:right="20" w:firstLine="210"/>
        <w:spacing w:after="0" w:line="278" w:lineRule="auto"/>
        <w:rPr>
          <w:sz w:val="20"/>
          <w:szCs w:val="20"/>
          <w:color w:val="auto"/>
        </w:rPr>
      </w:pPr>
      <w:r>
        <w:rPr>
          <w:rFonts w:ascii="Arial" w:cs="Arial" w:eastAsia="Arial" w:hAnsi="Arial"/>
          <w:sz w:val="16"/>
          <w:szCs w:val="16"/>
          <w:color w:val="auto"/>
        </w:rPr>
        <w:t>The Emerging Issues Task Force ("EITF") reached a consensus on EITF Issue 00-10, "Accounting for Shipping and Handling Fees and Costs." This pronouncement was effective in the fourth quarter of 2000 and all prior periods were reclassified to comply with the classification guidelines of this Issue. EITF Issue 00-10 stipulates that all amounts billed to a customer in a sale transaction related to shipping and handling represent revenues earned for the goods provided and should be reclassified as revenue. In addition, costs incurred for shipping and handling should preferably be classified as costs of goods sold. The Company has historically recorded the net costs of shipping and handling in marketing and administrative expenses since the majority of such costs are a direct pass-through of costs to the customer. The following represents shipping and handling fees reclassified to net sales and cost of goods sold by product line for the years ended December 31, 2000, 1999 and 1998, respectively, and reclassifications from marketing and administrative expenses to cost of goods sold. These adjustments are reflected in the statement of income and related footnotes in order to comply with the new pronouncement.</w:t>
      </w:r>
    </w:p>
    <w:p>
      <w:pPr>
        <w:sectPr>
          <w:pgSz w:w="11900" w:h="16838" w:orient="portrait"/>
          <w:cols w:equalWidth="0" w:num="1">
            <w:col w:w="11420"/>
          </w:cols>
          <w:pgMar w:left="240" w:top="131" w:right="239" w:bottom="0" w:gutter="0" w:footer="0" w:header="0"/>
        </w:sectPr>
      </w:pPr>
    </w:p>
    <w:bookmarkStart w:id="25" w:name="page26"/>
    <w:bookmarkEnd w:id="25"/>
    <w:p>
      <w:pPr>
        <w:ind w:left="1460"/>
        <w:spacing w:after="0"/>
        <w:tabs>
          <w:tab w:leader="none" w:pos="77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1061720</wp:posOffset>
            </wp:positionH>
            <wp:positionV relativeFrom="page">
              <wp:posOffset>88900</wp:posOffset>
            </wp:positionV>
            <wp:extent cx="5438140" cy="3492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38140" cy="349250"/>
                    </a:xfrm>
                    <a:prstGeom prst="rect">
                      <a:avLst/>
                    </a:prstGeom>
                    <a:noFill/>
                  </pic:spPr>
                </pic:pic>
              </a:graphicData>
            </a:graphic>
          </wp:anchor>
        </w:drawing>
        <w:t>Thousands of Dollars</w:t>
      </w:r>
      <w:r>
        <w:rPr>
          <w:sz w:val="20"/>
          <w:szCs w:val="20"/>
          <w:color w:val="auto"/>
        </w:rPr>
        <w:tab/>
      </w:r>
      <w:r>
        <w:rPr>
          <w:rFonts w:ascii="Arial" w:cs="Arial" w:eastAsia="Arial" w:hAnsi="Arial"/>
          <w:sz w:val="15"/>
          <w:szCs w:val="15"/>
          <w:b w:val="1"/>
          <w:bCs w:val="1"/>
          <w:u w:val="single" w:color="auto"/>
          <w:color w:val="auto"/>
        </w:rPr>
        <w:t>Year Ended December 31</w:t>
      </w:r>
      <w:r>
        <w:rPr>
          <w:rFonts w:ascii="Arial" w:cs="Arial" w:eastAsia="Arial" w:hAnsi="Arial"/>
          <w:sz w:val="15"/>
          <w:szCs w:val="15"/>
          <w:b w:val="1"/>
          <w:bCs w:val="1"/>
          <w:color w:val="auto"/>
        </w:rPr>
        <w:t>,</w:t>
      </w:r>
    </w:p>
    <w:p>
      <w:pPr>
        <w:spacing w:after="0" w:line="66" w:lineRule="exact"/>
        <w:rPr>
          <w:sz w:val="20"/>
          <w:szCs w:val="20"/>
          <w:color w:val="auto"/>
        </w:rPr>
      </w:pPr>
    </w:p>
    <w:p>
      <w:pPr>
        <w:ind w:left="7580"/>
        <w:spacing w:after="0"/>
        <w:tabs>
          <w:tab w:leader="none" w:pos="8580" w:val="left"/>
          <w:tab w:leader="none" w:pos="9600" w:val="left"/>
        </w:tabs>
        <w:rPr>
          <w:sz w:val="20"/>
          <w:szCs w:val="20"/>
          <w:color w:val="auto"/>
        </w:rPr>
      </w:pPr>
      <w:r>
        <w:rPr>
          <w:rFonts w:ascii="Arial" w:cs="Arial" w:eastAsia="Arial" w:hAnsi="Arial"/>
          <w:sz w:val="17"/>
          <w:szCs w:val="17"/>
          <w:b w:val="1"/>
          <w:bCs w:val="1"/>
          <w:u w:val="single" w:color="auto"/>
          <w:color w:val="auto"/>
        </w:rPr>
        <w:t>2000</w:t>
      </w:r>
      <w:r>
        <w:rPr>
          <w:sz w:val="20"/>
          <w:szCs w:val="20"/>
          <w:color w:val="auto"/>
        </w:rPr>
        <w:tab/>
      </w:r>
      <w:r>
        <w:rPr>
          <w:rFonts w:ascii="Arial" w:cs="Arial" w:eastAsia="Arial" w:hAnsi="Arial"/>
          <w:sz w:val="17"/>
          <w:szCs w:val="17"/>
          <w:b w:val="1"/>
          <w:bCs w:val="1"/>
          <w:u w:val="single" w:color="auto"/>
          <w:color w:val="auto"/>
        </w:rPr>
        <w:t>1999</w:t>
      </w:r>
      <w:r>
        <w:rPr>
          <w:sz w:val="20"/>
          <w:szCs w:val="20"/>
          <w:color w:val="auto"/>
        </w:rPr>
        <w:tab/>
      </w:r>
      <w:r>
        <w:rPr>
          <w:rFonts w:ascii="Arial" w:cs="Arial" w:eastAsia="Arial" w:hAnsi="Arial"/>
          <w:sz w:val="15"/>
          <w:szCs w:val="15"/>
          <w:b w:val="1"/>
          <w:bCs w:val="1"/>
          <w:u w:val="single" w:color="auto"/>
          <w:color w:val="auto"/>
        </w:rPr>
        <w:t>1998</w:t>
      </w:r>
    </w:p>
    <w:p>
      <w:pPr>
        <w:spacing w:after="0" w:line="123"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Arial" w:cs="Arial" w:eastAsia="Arial" w:hAnsi="Arial"/>
                <w:sz w:val="17"/>
                <w:szCs w:val="17"/>
                <w:color w:val="auto"/>
              </w:rPr>
              <w:t>Shipping and Handling included in Net Sales:</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2"/>
        </w:trPr>
        <w:tc>
          <w:tcPr>
            <w:tcW w:w="5040" w:type="dxa"/>
            <w:vAlign w:val="bottom"/>
          </w:tcPr>
          <w:p>
            <w:pPr>
              <w:ind w:left="120"/>
              <w:spacing w:after="0"/>
              <w:rPr>
                <w:sz w:val="20"/>
                <w:szCs w:val="20"/>
                <w:color w:val="auto"/>
              </w:rPr>
            </w:pPr>
            <w:r>
              <w:rPr>
                <w:rFonts w:ascii="Arial" w:cs="Arial" w:eastAsia="Arial" w:hAnsi="Arial"/>
                <w:sz w:val="17"/>
                <w:szCs w:val="17"/>
                <w:color w:val="auto"/>
              </w:rPr>
              <w:t>PCC</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$ 9,063</w:t>
            </w:r>
          </w:p>
        </w:tc>
        <w:tc>
          <w:tcPr>
            <w:tcW w:w="2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$ 8,445</w:t>
            </w:r>
          </w:p>
        </w:tc>
        <w:tc>
          <w:tcPr>
            <w:tcW w:w="240" w:type="dxa"/>
            <w:vAlign w:val="bottom"/>
          </w:tcPr>
          <w:p>
            <w:pPr>
              <w:spacing w:after="0"/>
              <w:rPr>
                <w:sz w:val="22"/>
                <w:szCs w:val="22"/>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$ 6,075</w:t>
            </w:r>
          </w:p>
        </w:tc>
      </w:tr>
      <w:tr>
        <w:trPr>
          <w:trHeight w:val="225"/>
        </w:trPr>
        <w:tc>
          <w:tcPr>
            <w:tcW w:w="5040" w:type="dxa"/>
            <w:vAlign w:val="bottom"/>
          </w:tcPr>
          <w:p>
            <w:pPr>
              <w:ind w:left="120"/>
              <w:spacing w:after="0"/>
              <w:rPr>
                <w:sz w:val="20"/>
                <w:szCs w:val="20"/>
                <w:color w:val="auto"/>
              </w:rPr>
            </w:pPr>
            <w:r>
              <w:rPr>
                <w:rFonts w:ascii="Arial" w:cs="Arial" w:eastAsia="Arial" w:hAnsi="Arial"/>
                <w:sz w:val="17"/>
                <w:szCs w:val="17"/>
                <w:color w:val="auto"/>
              </w:rPr>
              <w:t>Processed Minerals</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10,204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9,262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9,293</w:t>
            </w:r>
          </w:p>
        </w:tc>
      </w:tr>
      <w:tr>
        <w:trPr>
          <w:trHeight w:val="20"/>
        </w:trPr>
        <w:tc>
          <w:tcPr>
            <w:tcW w:w="504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5040" w:type="dxa"/>
            <w:vAlign w:val="bottom"/>
          </w:tcPr>
          <w:p>
            <w:pPr>
              <w:ind w:left="260"/>
              <w:spacing w:after="0"/>
              <w:rPr>
                <w:sz w:val="20"/>
                <w:szCs w:val="20"/>
                <w:color w:val="auto"/>
              </w:rPr>
            </w:pPr>
            <w:r>
              <w:rPr>
                <w:rFonts w:ascii="Arial" w:cs="Arial" w:eastAsia="Arial" w:hAnsi="Arial"/>
                <w:sz w:val="17"/>
                <w:szCs w:val="17"/>
                <w:color w:val="auto"/>
              </w:rPr>
              <w:t>Specialty Minerals Segment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19,267</w:t>
            </w:r>
          </w:p>
        </w:tc>
        <w:tc>
          <w:tcPr>
            <w:tcW w:w="2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17,707</w:t>
            </w:r>
          </w:p>
        </w:tc>
        <w:tc>
          <w:tcPr>
            <w:tcW w:w="240" w:type="dxa"/>
            <w:vAlign w:val="bottom"/>
          </w:tcPr>
          <w:p>
            <w:pPr>
              <w:spacing w:after="0"/>
              <w:rPr>
                <w:sz w:val="24"/>
                <w:szCs w:val="24"/>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15,368</w:t>
            </w:r>
          </w:p>
        </w:tc>
      </w:tr>
      <w:tr>
        <w:trPr>
          <w:trHeight w:val="225"/>
        </w:trPr>
        <w:tc>
          <w:tcPr>
            <w:tcW w:w="5040" w:type="dxa"/>
            <w:vAlign w:val="bottom"/>
          </w:tcPr>
          <w:p>
            <w:pPr>
              <w:ind w:left="260"/>
              <w:spacing w:after="0"/>
              <w:rPr>
                <w:sz w:val="20"/>
                <w:szCs w:val="20"/>
                <w:color w:val="auto"/>
              </w:rPr>
            </w:pPr>
            <w:r>
              <w:rPr>
                <w:rFonts w:ascii="Arial" w:cs="Arial" w:eastAsia="Arial" w:hAnsi="Arial"/>
                <w:sz w:val="17"/>
                <w:szCs w:val="17"/>
                <w:color w:val="auto"/>
              </w:rPr>
              <w:t>Refractories Segment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7,047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7,249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7,061</w:t>
            </w:r>
          </w:p>
        </w:tc>
      </w:tr>
      <w:tr>
        <w:trPr>
          <w:trHeight w:val="20"/>
        </w:trPr>
        <w:tc>
          <w:tcPr>
            <w:tcW w:w="5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3"/>
        </w:trPr>
        <w:tc>
          <w:tcPr>
            <w:tcW w:w="5040" w:type="dxa"/>
            <w:vAlign w:val="bottom"/>
          </w:tcPr>
          <w:p>
            <w:pPr>
              <w:ind w:left="260"/>
              <w:spacing w:after="0"/>
              <w:rPr>
                <w:sz w:val="20"/>
                <w:szCs w:val="20"/>
                <w:color w:val="auto"/>
              </w:rPr>
            </w:pPr>
            <w:r>
              <w:rPr>
                <w:rFonts w:ascii="Arial" w:cs="Arial" w:eastAsia="Arial" w:hAnsi="Arial"/>
                <w:sz w:val="17"/>
                <w:szCs w:val="17"/>
                <w:color w:val="auto"/>
              </w:rPr>
              <w:t>Consolidated</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26,314</w:t>
            </w:r>
          </w:p>
        </w:tc>
        <w:tc>
          <w:tcPr>
            <w:tcW w:w="2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24,956</w:t>
            </w:r>
          </w:p>
        </w:tc>
        <w:tc>
          <w:tcPr>
            <w:tcW w:w="240" w:type="dxa"/>
            <w:vAlign w:val="bottom"/>
          </w:tcPr>
          <w:p>
            <w:pPr>
              <w:spacing w:after="0"/>
              <w:rPr>
                <w:sz w:val="23"/>
                <w:szCs w:val="23"/>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22,429</w:t>
            </w:r>
          </w:p>
        </w:tc>
      </w:tr>
      <w:tr>
        <w:trPr>
          <w:trHeight w:val="216"/>
        </w:trPr>
        <w:tc>
          <w:tcPr>
            <w:tcW w:w="50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r>
        <w:trPr>
          <w:trHeight w:val="576"/>
        </w:trPr>
        <w:tc>
          <w:tcPr>
            <w:tcW w:w="5040" w:type="dxa"/>
            <w:vAlign w:val="bottom"/>
          </w:tcPr>
          <w:p>
            <w:pPr>
              <w:spacing w:after="0"/>
              <w:rPr>
                <w:sz w:val="20"/>
                <w:szCs w:val="20"/>
                <w:color w:val="auto"/>
              </w:rPr>
            </w:pPr>
            <w:r>
              <w:rPr>
                <w:rFonts w:ascii="Arial" w:cs="Arial" w:eastAsia="Arial" w:hAnsi="Arial"/>
                <w:sz w:val="17"/>
                <w:szCs w:val="17"/>
                <w:color w:val="auto"/>
              </w:rPr>
              <w:t>Shipping and Handling included in Cost of Sales:</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2"/>
        </w:trPr>
        <w:tc>
          <w:tcPr>
            <w:tcW w:w="5040" w:type="dxa"/>
            <w:vAlign w:val="bottom"/>
          </w:tcPr>
          <w:p>
            <w:pPr>
              <w:ind w:left="260"/>
              <w:spacing w:after="0"/>
              <w:rPr>
                <w:sz w:val="20"/>
                <w:szCs w:val="20"/>
                <w:color w:val="auto"/>
              </w:rPr>
            </w:pPr>
            <w:r>
              <w:rPr>
                <w:rFonts w:ascii="Arial" w:cs="Arial" w:eastAsia="Arial" w:hAnsi="Arial"/>
                <w:sz w:val="17"/>
                <w:szCs w:val="17"/>
                <w:color w:val="auto"/>
              </w:rPr>
              <w:t>Specialty Minerals Segment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20,992</w:t>
            </w:r>
          </w:p>
        </w:tc>
        <w:tc>
          <w:tcPr>
            <w:tcW w:w="2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20,279</w:t>
            </w:r>
          </w:p>
        </w:tc>
        <w:tc>
          <w:tcPr>
            <w:tcW w:w="240" w:type="dxa"/>
            <w:vAlign w:val="bottom"/>
          </w:tcPr>
          <w:p>
            <w:pPr>
              <w:spacing w:after="0"/>
              <w:rPr>
                <w:sz w:val="22"/>
                <w:szCs w:val="22"/>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18,233</w:t>
            </w:r>
          </w:p>
        </w:tc>
      </w:tr>
      <w:tr>
        <w:trPr>
          <w:trHeight w:val="225"/>
        </w:trPr>
        <w:tc>
          <w:tcPr>
            <w:tcW w:w="5040" w:type="dxa"/>
            <w:vAlign w:val="bottom"/>
          </w:tcPr>
          <w:p>
            <w:pPr>
              <w:ind w:left="260"/>
              <w:spacing w:after="0"/>
              <w:rPr>
                <w:sz w:val="20"/>
                <w:szCs w:val="20"/>
                <w:color w:val="auto"/>
              </w:rPr>
            </w:pPr>
            <w:r>
              <w:rPr>
                <w:rFonts w:ascii="Arial" w:cs="Arial" w:eastAsia="Arial" w:hAnsi="Arial"/>
                <w:sz w:val="17"/>
                <w:szCs w:val="17"/>
                <w:color w:val="auto"/>
              </w:rPr>
              <w:t>Refractories Segment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7,790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7,783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7,771</w:t>
            </w:r>
          </w:p>
        </w:tc>
      </w:tr>
      <w:tr>
        <w:trPr>
          <w:trHeight w:val="20"/>
        </w:trPr>
        <w:tc>
          <w:tcPr>
            <w:tcW w:w="5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3"/>
        </w:trPr>
        <w:tc>
          <w:tcPr>
            <w:tcW w:w="5040" w:type="dxa"/>
            <w:vAlign w:val="bottom"/>
          </w:tcPr>
          <w:p>
            <w:pPr>
              <w:ind w:left="260"/>
              <w:spacing w:after="0"/>
              <w:rPr>
                <w:sz w:val="20"/>
                <w:szCs w:val="20"/>
                <w:color w:val="auto"/>
              </w:rPr>
            </w:pPr>
            <w:r>
              <w:rPr>
                <w:rFonts w:ascii="Arial" w:cs="Arial" w:eastAsia="Arial" w:hAnsi="Arial"/>
                <w:sz w:val="17"/>
                <w:szCs w:val="17"/>
                <w:color w:val="auto"/>
              </w:rPr>
              <w:t>Consolidated</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28,782</w:t>
            </w:r>
          </w:p>
        </w:tc>
        <w:tc>
          <w:tcPr>
            <w:tcW w:w="2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28,062</w:t>
            </w:r>
          </w:p>
        </w:tc>
        <w:tc>
          <w:tcPr>
            <w:tcW w:w="240" w:type="dxa"/>
            <w:vAlign w:val="bottom"/>
          </w:tcPr>
          <w:p>
            <w:pPr>
              <w:spacing w:after="0"/>
              <w:rPr>
                <w:sz w:val="23"/>
                <w:szCs w:val="23"/>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26,004</w:t>
            </w:r>
          </w:p>
        </w:tc>
      </w:tr>
      <w:tr>
        <w:trPr>
          <w:trHeight w:val="216"/>
        </w:trPr>
        <w:tc>
          <w:tcPr>
            <w:tcW w:w="50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r>
        <w:trPr>
          <w:trHeight w:val="544"/>
        </w:trPr>
        <w:tc>
          <w:tcPr>
            <w:tcW w:w="5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5"/>
              </w:rPr>
              <w:t>(2,468)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w w:val="85"/>
              </w:rPr>
              <w:t>(3,106)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5"/>
              </w:rPr>
              <w:t>(3,575)</w:t>
            </w:r>
          </w:p>
        </w:tc>
      </w:tr>
      <w:tr>
        <w:trPr>
          <w:trHeight w:val="216"/>
        </w:trPr>
        <w:tc>
          <w:tcPr>
            <w:tcW w:w="5040" w:type="dxa"/>
            <w:vAlign w:val="bottom"/>
          </w:tcPr>
          <w:p>
            <w:pPr>
              <w:spacing w:after="0"/>
              <w:rPr>
                <w:sz w:val="20"/>
                <w:szCs w:val="20"/>
                <w:color w:val="auto"/>
              </w:rPr>
            </w:pPr>
            <w:r>
              <w:rPr>
                <w:rFonts w:ascii="Arial" w:cs="Arial" w:eastAsia="Arial" w:hAnsi="Arial"/>
                <w:sz w:val="17"/>
                <w:szCs w:val="17"/>
                <w:color w:val="auto"/>
              </w:rPr>
              <w:t>Reclassifications from marketing and administrative expenses</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r>
        <w:trPr>
          <w:trHeight w:val="544"/>
        </w:trPr>
        <w:tc>
          <w:tcPr>
            <w:tcW w:w="5040" w:type="dxa"/>
            <w:vAlign w:val="bottom"/>
          </w:tcPr>
          <w:p>
            <w:pPr>
              <w:spacing w:after="0"/>
              <w:rPr>
                <w:sz w:val="20"/>
                <w:szCs w:val="20"/>
                <w:color w:val="auto"/>
              </w:rPr>
            </w:pPr>
            <w:r>
              <w:rPr>
                <w:rFonts w:ascii="Arial" w:cs="Arial" w:eastAsia="Arial" w:hAnsi="Arial"/>
                <w:sz w:val="17"/>
                <w:szCs w:val="17"/>
                <w:color w:val="auto"/>
              </w:rPr>
              <w:t>Impact on operating income</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16"/>
        </w:trPr>
        <w:tc>
          <w:tcPr>
            <w:tcW w:w="5040" w:type="dxa"/>
            <w:vAlign w:val="bottom"/>
          </w:tcPr>
          <w:p>
            <w:pPr>
              <w:spacing w:after="0"/>
              <w:rPr>
                <w:sz w:val="18"/>
                <w:szCs w:val="18"/>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gridSpan w:val="4"/>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bl>
    <w:p>
      <w:pPr>
        <w:spacing w:after="0" w:line="18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Cash Equivalents</w:t>
      </w:r>
    </w:p>
    <w:p>
      <w:pPr>
        <w:spacing w:after="0" w:line="24" w:lineRule="exact"/>
        <w:rPr>
          <w:sz w:val="20"/>
          <w:szCs w:val="20"/>
          <w:color w:val="auto"/>
        </w:rPr>
      </w:pPr>
    </w:p>
    <w:p>
      <w:pPr>
        <w:ind w:right="520" w:firstLine="210"/>
        <w:spacing w:after="0" w:line="274" w:lineRule="auto"/>
        <w:rPr>
          <w:sz w:val="20"/>
          <w:szCs w:val="20"/>
          <w:color w:val="auto"/>
        </w:rPr>
      </w:pPr>
      <w:r>
        <w:rPr>
          <w:rFonts w:ascii="Arial" w:cs="Arial" w:eastAsia="Arial" w:hAnsi="Arial"/>
          <w:sz w:val="17"/>
          <w:szCs w:val="17"/>
          <w:color w:val="auto"/>
        </w:rPr>
        <w:t>The Company considers all highly liquid investments with maturities of three months or less at the date of purchase to be cash equivalents. Cash equivalents amounted to $0.8 million and $9.0 million at December 31, 2000 and 1999, respectively.</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Inventories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Inventories are valued at the lower of cost or market. Cost is determined by the first-in, first-out (FIFO) method.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Property, Plant and Equipment</w:t>
      </w:r>
    </w:p>
    <w:p>
      <w:pPr>
        <w:spacing w:after="0" w:line="24" w:lineRule="exact"/>
        <w:rPr>
          <w:sz w:val="20"/>
          <w:szCs w:val="20"/>
          <w:color w:val="auto"/>
        </w:rPr>
      </w:pPr>
    </w:p>
    <w:p>
      <w:pPr>
        <w:ind w:right="360" w:firstLine="213"/>
        <w:spacing w:after="0" w:line="265" w:lineRule="auto"/>
        <w:rPr>
          <w:sz w:val="20"/>
          <w:szCs w:val="20"/>
          <w:color w:val="auto"/>
        </w:rPr>
      </w:pPr>
      <w:r>
        <w:rPr>
          <w:rFonts w:ascii="Arial" w:cs="Arial" w:eastAsia="Arial" w:hAnsi="Arial"/>
          <w:sz w:val="17"/>
          <w:szCs w:val="17"/>
          <w:color w:val="auto"/>
        </w:rPr>
        <w:t>Property, plant and equipment are recorded at cost. Significant improvements are capitalized. In general, the straight-line method of depreciation is used for financial reporting purposes and accelerated methods are used for U.S. and certain foreign tax reporting purposes. The annual rates of depreciation are 4%-8% for buildings, 8%-12% for machinery and equipment and 8%-12% for furniture and fixtures.</w:t>
      </w:r>
    </w:p>
    <w:p>
      <w:pPr>
        <w:spacing w:after="0" w:line="158" w:lineRule="exact"/>
        <w:rPr>
          <w:sz w:val="20"/>
          <w:szCs w:val="20"/>
          <w:color w:val="auto"/>
        </w:rPr>
      </w:pPr>
    </w:p>
    <w:p>
      <w:pPr>
        <w:ind w:firstLine="213"/>
        <w:spacing w:after="0" w:line="282" w:lineRule="auto"/>
        <w:rPr>
          <w:sz w:val="20"/>
          <w:szCs w:val="20"/>
          <w:color w:val="auto"/>
        </w:rPr>
      </w:pPr>
      <w:r>
        <w:rPr>
          <w:rFonts w:ascii="Arial" w:cs="Arial" w:eastAsia="Arial" w:hAnsi="Arial"/>
          <w:sz w:val="17"/>
          <w:szCs w:val="17"/>
          <w:color w:val="auto"/>
        </w:rPr>
        <w:t>Depletion of the mineral and quarry properties is provided for on a unit-of-extraction basis as the related materials are mined for financial reporting purposes and on a percentage depletion basis for tax purposes.</w:t>
      </w:r>
    </w:p>
    <w:p>
      <w:pPr>
        <w:spacing w:after="0" w:line="130" w:lineRule="exact"/>
        <w:rPr>
          <w:sz w:val="20"/>
          <w:szCs w:val="20"/>
          <w:color w:val="auto"/>
        </w:rPr>
      </w:pPr>
    </w:p>
    <w:p>
      <w:pPr>
        <w:ind w:right="180" w:firstLine="213"/>
        <w:spacing w:after="0" w:line="282" w:lineRule="auto"/>
        <w:rPr>
          <w:sz w:val="20"/>
          <w:szCs w:val="20"/>
          <w:color w:val="auto"/>
        </w:rPr>
      </w:pPr>
      <w:r>
        <w:rPr>
          <w:rFonts w:ascii="Arial" w:cs="Arial" w:eastAsia="Arial" w:hAnsi="Arial"/>
          <w:sz w:val="17"/>
          <w:szCs w:val="17"/>
          <w:color w:val="auto"/>
        </w:rPr>
        <w:t>Mining costs associated with waste gravel and rock removal in excess of the expected average life of mine stripping ratio are deferred. These costs are charged to production on a unit-of-production basis when the ratio of waste to ore mined is less than the average life of mine stripping ratio.</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Accounting for the Impairment of Long-Lived Assets</w:t>
      </w:r>
    </w:p>
    <w:p>
      <w:pPr>
        <w:spacing w:after="0" w:line="24" w:lineRule="exact"/>
        <w:rPr>
          <w:sz w:val="20"/>
          <w:szCs w:val="20"/>
          <w:color w:val="auto"/>
        </w:rPr>
      </w:pPr>
    </w:p>
    <w:p>
      <w:pPr>
        <w:ind w:right="60" w:firstLine="210"/>
        <w:spacing w:after="0" w:line="278" w:lineRule="auto"/>
        <w:rPr>
          <w:sz w:val="20"/>
          <w:szCs w:val="20"/>
          <w:color w:val="auto"/>
        </w:rPr>
      </w:pPr>
      <w:r>
        <w:rPr>
          <w:rFonts w:ascii="Arial" w:cs="Arial" w:eastAsia="Arial" w:hAnsi="Arial"/>
          <w:sz w:val="16"/>
          <w:szCs w:val="16"/>
          <w:color w:val="auto"/>
        </w:rPr>
        <w:t>The Company accounts for impairment of long-lived assets in accordance with Statement of Financial Accounting Standards ("SFAS") No. 121, "Accounting for the Impairment of Long-Lived Assets and for Long-Lived Assets to be Disposed of." SFAS No. 121 requires that long-lived assets be reviewed for impairment whenever events or changes in circumstances indicate that the book value of the asset may not be recoverable. The Company evaluates at each balance sheet date whether events and circumstances have occurred that indicate possible impairment. In accordance with SFAS No. 121, the Company uses an estimate of the future undiscounted net cash flows of the related asset or asset grouping over the remaining life in measuring whether the assets are recoverable. During the fourth quarter of 2000, the Company recorded a write-down of impaired assets of $4.9 million, based upon discounted future cash flows, for three satellite precipitated calcium carbonate plants at paper mills that have ceased or will cease operations.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Goodwill</w:t>
      </w:r>
    </w:p>
    <w:p>
      <w:pPr>
        <w:spacing w:after="0" w:line="24" w:lineRule="exact"/>
        <w:rPr>
          <w:sz w:val="20"/>
          <w:szCs w:val="20"/>
          <w:color w:val="auto"/>
        </w:rPr>
      </w:pPr>
    </w:p>
    <w:p>
      <w:pPr>
        <w:ind w:right="160" w:firstLine="213"/>
        <w:spacing w:after="0" w:line="262" w:lineRule="auto"/>
        <w:rPr>
          <w:sz w:val="20"/>
          <w:szCs w:val="20"/>
          <w:color w:val="auto"/>
        </w:rPr>
      </w:pPr>
      <w:r>
        <w:rPr>
          <w:rFonts w:ascii="Arial" w:cs="Arial" w:eastAsia="Arial" w:hAnsi="Arial"/>
          <w:sz w:val="17"/>
          <w:szCs w:val="17"/>
          <w:color w:val="auto"/>
        </w:rPr>
        <w:t>Goodwill represents the excess of purchase price and related costs over the value assigned to the net tangible assets of businesses acquired. Goodwill is amortized on a straight-line basis over 20-25 years. Periodically, the Company reviews the recoverability of goodwill. The determination of possible impairment is based primarily on the ability to recover the balance of the goodwill from expected future operating cash flows on an undiscounted basis. In management's opinion, no impairment existed at December 31, 2000.</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Revenue Recognition</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Revenue from sales of product is recognized at the time the goods are shipped and title passes to the customer.</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Foreign Currency</w:t>
      </w:r>
    </w:p>
    <w:p>
      <w:pPr>
        <w:spacing w:after="0" w:line="24" w:lineRule="exact"/>
        <w:rPr>
          <w:sz w:val="20"/>
          <w:szCs w:val="20"/>
          <w:color w:val="auto"/>
        </w:rPr>
      </w:pPr>
    </w:p>
    <w:p>
      <w:pPr>
        <w:jc w:val="both"/>
        <w:ind w:right="160" w:firstLine="210"/>
        <w:spacing w:after="0" w:line="289" w:lineRule="auto"/>
        <w:rPr>
          <w:sz w:val="20"/>
          <w:szCs w:val="20"/>
          <w:color w:val="auto"/>
        </w:rPr>
      </w:pPr>
      <w:r>
        <w:rPr>
          <w:rFonts w:ascii="Arial" w:cs="Arial" w:eastAsia="Arial" w:hAnsi="Arial"/>
          <w:sz w:val="16"/>
          <w:szCs w:val="16"/>
          <w:color w:val="auto"/>
        </w:rPr>
        <w:t>The assets and liabilities of most of the Company's international subsidiaries are translated into U.S. dollars using current exchange rates at the respective balance sheet date. The resulting translation adjustments are recorded in accumulated other comprehensive loss in shareholders' equity. Income statement items are generally translated at average exchange rates prevailing during the period. Other foreign currency gains and losses are included in net income.</w:t>
      </w:r>
    </w:p>
    <w:p>
      <w:pPr>
        <w:spacing w:after="0" w:line="128" w:lineRule="exact"/>
        <w:rPr>
          <w:sz w:val="20"/>
          <w:szCs w:val="20"/>
          <w:color w:val="auto"/>
        </w:rPr>
      </w:pPr>
    </w:p>
    <w:p>
      <w:pPr>
        <w:ind w:right="360" w:firstLine="213"/>
        <w:spacing w:after="0" w:line="282" w:lineRule="auto"/>
        <w:rPr>
          <w:sz w:val="20"/>
          <w:szCs w:val="20"/>
          <w:color w:val="auto"/>
        </w:rPr>
      </w:pPr>
      <w:r>
        <w:rPr>
          <w:rFonts w:ascii="Arial" w:cs="Arial" w:eastAsia="Arial" w:hAnsi="Arial"/>
          <w:sz w:val="17"/>
          <w:szCs w:val="17"/>
          <w:color w:val="auto"/>
        </w:rPr>
        <w:t>International subsidiaries operating in highly inflationary economies translate nonmonetary assets at historical rates, while net monetary assets are translated at current rates, with the resulting translation adjustments included in net income.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Income Taxes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Income taxes are provided for based on the asset and liability method of accounting pursuant to Statement of Financial Accounting Standards No. 109, "Accounting</w:t>
      </w:r>
    </w:p>
    <w:p>
      <w:pPr>
        <w:sectPr>
          <w:pgSz w:w="11900" w:h="16838" w:orient="portrait"/>
          <w:cols w:equalWidth="0" w:num="1">
            <w:col w:w="11400"/>
          </w:cols>
          <w:pgMar w:left="240" w:top="153" w:right="259" w:bottom="0" w:gutter="0" w:footer="0" w:header="0"/>
        </w:sectPr>
      </w:pPr>
    </w:p>
    <w:bookmarkStart w:id="26" w:name="page27"/>
    <w:bookmarkEnd w:id="26"/>
    <w:p>
      <w:pPr>
        <w:ind w:right="320"/>
        <w:spacing w:after="0" w:line="287" w:lineRule="auto"/>
        <w:rPr>
          <w:sz w:val="20"/>
          <w:szCs w:val="20"/>
          <w:color w:val="auto"/>
        </w:rPr>
      </w:pPr>
      <w:r>
        <w:rPr>
          <w:rFonts w:ascii="Arial" w:cs="Arial" w:eastAsia="Arial" w:hAnsi="Arial"/>
          <w:sz w:val="16"/>
          <w:szCs w:val="16"/>
          <w:color w:val="auto"/>
        </w:rPr>
        <w:t>for Income Taxes" ("SFAS 109''). Under SFAS 109,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Under SFAS 109, the effect on deferred tax assets and liabilities of a change in tax rates is recognized in income in the period that includes the enactment date.</w:t>
      </w:r>
    </w:p>
    <w:p>
      <w:pPr>
        <w:spacing w:after="0" w:line="128" w:lineRule="exact"/>
        <w:rPr>
          <w:sz w:val="20"/>
          <w:szCs w:val="20"/>
          <w:color w:val="auto"/>
        </w:rPr>
      </w:pPr>
    </w:p>
    <w:p>
      <w:pPr>
        <w:ind w:right="80" w:firstLine="210"/>
        <w:spacing w:after="0" w:line="282" w:lineRule="auto"/>
        <w:rPr>
          <w:sz w:val="20"/>
          <w:szCs w:val="20"/>
          <w:color w:val="auto"/>
        </w:rPr>
      </w:pPr>
      <w:r>
        <w:rPr>
          <w:rFonts w:ascii="Arial" w:cs="Arial" w:eastAsia="Arial" w:hAnsi="Arial"/>
          <w:sz w:val="17"/>
          <w:szCs w:val="17"/>
          <w:color w:val="auto"/>
        </w:rPr>
        <w:t>The accompanying financial statements generally do not include a provision for U.S. income taxes on international subsidiaries' unremitted earnings which, for the most part, are expected to be reinvested overseas.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Stock-Based Compensation</w:t>
      </w:r>
    </w:p>
    <w:p>
      <w:pPr>
        <w:spacing w:after="0" w:line="24" w:lineRule="exact"/>
        <w:rPr>
          <w:sz w:val="20"/>
          <w:szCs w:val="20"/>
          <w:color w:val="auto"/>
        </w:rPr>
      </w:pPr>
    </w:p>
    <w:p>
      <w:pPr>
        <w:ind w:right="220" w:firstLine="210"/>
        <w:spacing w:after="0" w:line="265" w:lineRule="auto"/>
        <w:rPr>
          <w:sz w:val="20"/>
          <w:szCs w:val="20"/>
          <w:color w:val="auto"/>
        </w:rPr>
      </w:pPr>
      <w:r>
        <w:rPr>
          <w:rFonts w:ascii="Arial" w:cs="Arial" w:eastAsia="Arial" w:hAnsi="Arial"/>
          <w:sz w:val="17"/>
          <w:szCs w:val="17"/>
          <w:color w:val="auto"/>
        </w:rPr>
        <w:t>The Company has elected to recognize compensation cost based on the intrinsic value of the equity instrument awarded as promulgated in Accounting Principles Board Opinion No. 25, "Accounting for Stock Issued to Employees." The Company has disclosed below under "Capital Stock -- Stock and Incentive Plan" the pro forma effect of the fair value method on net income and earnings per share.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Postretirement Benefits</w:t>
      </w:r>
    </w:p>
    <w:p>
      <w:pPr>
        <w:spacing w:after="0" w:line="24" w:lineRule="exact"/>
        <w:rPr>
          <w:sz w:val="20"/>
          <w:szCs w:val="20"/>
          <w:color w:val="auto"/>
        </w:rPr>
      </w:pPr>
    </w:p>
    <w:p>
      <w:pPr>
        <w:ind w:right="160" w:firstLine="210"/>
        <w:spacing w:after="0" w:line="274" w:lineRule="auto"/>
        <w:rPr>
          <w:sz w:val="20"/>
          <w:szCs w:val="20"/>
          <w:color w:val="auto"/>
        </w:rPr>
      </w:pPr>
      <w:r>
        <w:rPr>
          <w:rFonts w:ascii="Arial" w:cs="Arial" w:eastAsia="Arial" w:hAnsi="Arial"/>
          <w:sz w:val="17"/>
          <w:szCs w:val="17"/>
          <w:color w:val="auto"/>
        </w:rPr>
        <w:t>The Company accrues the cost of postretirement benefits during an employee's active working career as required by Statement of Financial Accounting Standards No. 106, "Employers' Accounting for Postretirement Benefits Other Than Pensions" ("SFAS 106").</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Earnings Per Share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Basic earnings per share have been computed based upon the weighted average number of common shares outstanding during the period.</w:t>
      </w:r>
    </w:p>
    <w:p>
      <w:pPr>
        <w:spacing w:after="0" w:line="178" w:lineRule="exact"/>
        <w:rPr>
          <w:sz w:val="20"/>
          <w:szCs w:val="20"/>
          <w:color w:val="auto"/>
        </w:rPr>
      </w:pPr>
    </w:p>
    <w:p>
      <w:pPr>
        <w:ind w:firstLine="213"/>
        <w:spacing w:after="0" w:line="282" w:lineRule="auto"/>
        <w:rPr>
          <w:sz w:val="20"/>
          <w:szCs w:val="20"/>
          <w:color w:val="auto"/>
        </w:rPr>
      </w:pPr>
      <w:r>
        <w:rPr>
          <w:rFonts w:ascii="Arial" w:cs="Arial" w:eastAsia="Arial" w:hAnsi="Arial"/>
          <w:sz w:val="17"/>
          <w:szCs w:val="17"/>
          <w:color w:val="auto"/>
        </w:rPr>
        <w:t>Diluted earnings per share have been computed based upon the weighted average number of common shares outstanding during the period assuming the issuance of common shares for all dilutive potential common shares outstanding.</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Reclassifications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Certain reclassifications have been made in prior years' financial statements to conform to classifications used in the current year.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Income before provision for taxes, by domestic and foreign source is as follows: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49"/>
        </w:trPr>
        <w:tc>
          <w:tcPr>
            <w:tcW w:w="720" w:type="dxa"/>
            <w:vAlign w:val="bottom"/>
          </w:tcPr>
          <w:p>
            <w:pPr>
              <w:spacing w:after="0"/>
              <w:rPr>
                <w:sz w:val="21"/>
                <w:szCs w:val="21"/>
                <w:color w:val="auto"/>
              </w:rPr>
            </w:pPr>
          </w:p>
        </w:tc>
        <w:tc>
          <w:tcPr>
            <w:tcW w:w="4780" w:type="dxa"/>
            <w:vAlign w:val="bottom"/>
            <w:shd w:val="clear" w:color="auto" w:fill="C0C0C0"/>
          </w:tcPr>
          <w:p>
            <w:pPr>
              <w:ind w:left="100"/>
              <w:spacing w:after="0"/>
              <w:rPr>
                <w:sz w:val="20"/>
                <w:szCs w:val="20"/>
                <w:color w:val="auto"/>
              </w:rPr>
            </w:pPr>
            <w:r>
              <w:rPr>
                <w:rFonts w:ascii="Arial" w:cs="Arial" w:eastAsia="Arial" w:hAnsi="Arial"/>
                <w:sz w:val="17"/>
                <w:szCs w:val="17"/>
                <w:b w:val="1"/>
                <w:bCs w:val="1"/>
                <w:color w:val="auto"/>
              </w:rPr>
              <w:t>Thousands of Dollars</w:t>
            </w:r>
          </w:p>
        </w:tc>
        <w:tc>
          <w:tcPr>
            <w:tcW w:w="2000" w:type="dxa"/>
            <w:vAlign w:val="bottom"/>
            <w:gridSpan w:val="3"/>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380" w:type="dxa"/>
            <w:vAlign w:val="bottom"/>
            <w:shd w:val="clear" w:color="auto" w:fill="C0C0C0"/>
          </w:tcPr>
          <w:p>
            <w:pPr>
              <w:spacing w:after="0"/>
              <w:rPr>
                <w:sz w:val="21"/>
                <w:szCs w:val="21"/>
                <w:color w:val="auto"/>
              </w:rPr>
            </w:pPr>
          </w:p>
        </w:tc>
        <w:tc>
          <w:tcPr>
            <w:tcW w:w="1360" w:type="dxa"/>
            <w:vAlign w:val="bottom"/>
            <w:gridSpan w:val="4"/>
            <w:shd w:val="clear" w:color="auto" w:fill="C0C0C0"/>
          </w:tcPr>
          <w:p>
            <w:pPr>
              <w:jc w:val="right"/>
              <w:ind w:right="380"/>
              <w:spacing w:after="0"/>
              <w:rPr>
                <w:sz w:val="20"/>
                <w:szCs w:val="20"/>
                <w:color w:val="auto"/>
              </w:rPr>
            </w:pPr>
            <w:r>
              <w:rPr>
                <w:rFonts w:ascii="Arial" w:cs="Arial" w:eastAsia="Arial" w:hAnsi="Arial"/>
                <w:sz w:val="17"/>
                <w:szCs w:val="17"/>
                <w:b w:val="1"/>
                <w:bCs w:val="1"/>
                <w:color w:val="auto"/>
              </w:rPr>
              <w:t>1999</w:t>
            </w:r>
          </w:p>
        </w:tc>
        <w:tc>
          <w:tcPr>
            <w:tcW w:w="980" w:type="dxa"/>
            <w:vAlign w:val="bottom"/>
            <w:gridSpan w:val="3"/>
            <w:shd w:val="clear" w:color="auto" w:fill="C0C0C0"/>
          </w:tcPr>
          <w:p>
            <w:pPr>
              <w:jc w:val="right"/>
              <w:spacing w:after="0"/>
              <w:rPr>
                <w:sz w:val="20"/>
                <w:szCs w:val="20"/>
                <w:color w:val="auto"/>
              </w:rPr>
            </w:pPr>
            <w:r>
              <w:rPr>
                <w:rFonts w:ascii="Arial" w:cs="Arial" w:eastAsia="Arial" w:hAnsi="Arial"/>
                <w:sz w:val="17"/>
                <w:szCs w:val="17"/>
                <w:b w:val="1"/>
                <w:bCs w:val="1"/>
                <w:color w:val="auto"/>
              </w:rPr>
              <w:t>1998</w:t>
            </w:r>
          </w:p>
        </w:tc>
        <w:tc>
          <w:tcPr>
            <w:tcW w:w="60" w:type="dxa"/>
            <w:vAlign w:val="bottom"/>
            <w:shd w:val="clear" w:color="auto" w:fill="C0C0C0"/>
          </w:tcPr>
          <w:p>
            <w:pPr>
              <w:spacing w:after="0"/>
              <w:rPr>
                <w:sz w:val="21"/>
                <w:szCs w:val="21"/>
                <w:color w:val="auto"/>
              </w:rPr>
            </w:pPr>
          </w:p>
        </w:tc>
      </w:tr>
      <w:tr>
        <w:trPr>
          <w:trHeight w:val="72"/>
        </w:trPr>
        <w:tc>
          <w:tcPr>
            <w:tcW w:w="720" w:type="dxa"/>
            <w:vAlign w:val="bottom"/>
          </w:tcPr>
          <w:p>
            <w:pPr>
              <w:spacing w:after="0"/>
              <w:rPr>
                <w:sz w:val="6"/>
                <w:szCs w:val="6"/>
                <w:color w:val="auto"/>
              </w:rPr>
            </w:pPr>
          </w:p>
        </w:tc>
        <w:tc>
          <w:tcPr>
            <w:tcW w:w="4780" w:type="dxa"/>
            <w:vAlign w:val="bottom"/>
            <w:tcBorders>
              <w:top w:val="single" w:sz="8" w:color="C0C0C0"/>
            </w:tcBorders>
            <w:shd w:val="clear" w:color="auto" w:fill="C0C0C0"/>
          </w:tcPr>
          <w:p>
            <w:pPr>
              <w:spacing w:after="0"/>
              <w:rPr>
                <w:sz w:val="6"/>
                <w:szCs w:val="6"/>
                <w:color w:val="auto"/>
              </w:rPr>
            </w:pPr>
          </w:p>
        </w:tc>
        <w:tc>
          <w:tcPr>
            <w:tcW w:w="1540" w:type="dxa"/>
            <w:vAlign w:val="bottom"/>
            <w:tcBorders>
              <w:top w:val="single" w:sz="8" w:color="C0C0C0"/>
            </w:tcBorders>
            <w:shd w:val="clear" w:color="auto" w:fill="C0C0C0"/>
          </w:tcPr>
          <w:p>
            <w:pPr>
              <w:spacing w:after="0"/>
              <w:rPr>
                <w:sz w:val="6"/>
                <w:szCs w:val="6"/>
                <w:color w:val="auto"/>
              </w:rPr>
            </w:pPr>
          </w:p>
        </w:tc>
        <w:tc>
          <w:tcPr>
            <w:tcW w:w="12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380" w:type="dxa"/>
            <w:vAlign w:val="bottom"/>
            <w:tcBorders>
              <w:top w:val="single" w:sz="8" w:color="C0C0C0"/>
            </w:tcBorders>
            <w:shd w:val="clear" w:color="auto" w:fill="C0C0C0"/>
          </w:tcPr>
          <w:p>
            <w:pPr>
              <w:spacing w:after="0"/>
              <w:rPr>
                <w:sz w:val="6"/>
                <w:szCs w:val="6"/>
                <w:color w:val="auto"/>
              </w:rPr>
            </w:pPr>
          </w:p>
        </w:tc>
        <w:tc>
          <w:tcPr>
            <w:tcW w:w="500" w:type="dxa"/>
            <w:vAlign w:val="bottom"/>
            <w:tcBorders>
              <w:top w:val="single" w:sz="8" w:color="C0C0C0"/>
            </w:tcBorders>
            <w:shd w:val="clear" w:color="auto" w:fill="C0C0C0"/>
          </w:tcPr>
          <w:p>
            <w:pPr>
              <w:spacing w:after="0"/>
              <w:rPr>
                <w:sz w:val="6"/>
                <w:szCs w:val="6"/>
                <w:color w:val="auto"/>
              </w:rPr>
            </w:pPr>
          </w:p>
        </w:tc>
        <w:tc>
          <w:tcPr>
            <w:tcW w:w="14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380" w:type="dxa"/>
            <w:vAlign w:val="bottom"/>
            <w:tcBorders>
              <w:top w:val="single" w:sz="8" w:color="C0C0C0"/>
            </w:tcBorders>
            <w:shd w:val="clear" w:color="auto" w:fill="C0C0C0"/>
          </w:tcPr>
          <w:p>
            <w:pPr>
              <w:spacing w:after="0"/>
              <w:rPr>
                <w:sz w:val="6"/>
                <w:szCs w:val="6"/>
                <w:color w:val="auto"/>
              </w:rPr>
            </w:pPr>
          </w:p>
        </w:tc>
        <w:tc>
          <w:tcPr>
            <w:tcW w:w="500" w:type="dxa"/>
            <w:vAlign w:val="bottom"/>
            <w:tcBorders>
              <w:top w:val="single" w:sz="8" w:color="C0C0C0"/>
            </w:tcBorders>
            <w:shd w:val="clear" w:color="auto" w:fill="C0C0C0"/>
          </w:tcPr>
          <w:p>
            <w:pPr>
              <w:spacing w:after="0"/>
              <w:rPr>
                <w:sz w:val="6"/>
                <w:szCs w:val="6"/>
                <w:color w:val="auto"/>
              </w:rPr>
            </w:pPr>
          </w:p>
        </w:tc>
        <w:tc>
          <w:tcPr>
            <w:tcW w:w="14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r>
      <w:tr>
        <w:trPr>
          <w:trHeight w:val="260"/>
        </w:trPr>
        <w:tc>
          <w:tcPr>
            <w:tcW w:w="720" w:type="dxa"/>
            <w:vAlign w:val="bottom"/>
          </w:tcPr>
          <w:p>
            <w:pPr>
              <w:spacing w:after="0"/>
              <w:rPr>
                <w:sz w:val="22"/>
                <w:szCs w:val="22"/>
                <w:color w:val="auto"/>
              </w:rPr>
            </w:pPr>
          </w:p>
        </w:tc>
        <w:tc>
          <w:tcPr>
            <w:tcW w:w="4780" w:type="dxa"/>
            <w:vAlign w:val="bottom"/>
          </w:tcPr>
          <w:p>
            <w:pPr>
              <w:ind w:left="60"/>
              <w:spacing w:after="0"/>
              <w:rPr>
                <w:sz w:val="20"/>
                <w:szCs w:val="20"/>
                <w:color w:val="auto"/>
              </w:rPr>
            </w:pPr>
            <w:r>
              <w:rPr>
                <w:rFonts w:ascii="Arial" w:cs="Arial" w:eastAsia="Arial" w:hAnsi="Arial"/>
                <w:sz w:val="17"/>
                <w:szCs w:val="17"/>
                <w:color w:val="auto"/>
              </w:rPr>
              <w:t>Domestic</w:t>
            </w:r>
          </w:p>
        </w:tc>
        <w:tc>
          <w:tcPr>
            <w:tcW w:w="2000" w:type="dxa"/>
            <w:vAlign w:val="bottom"/>
            <w:gridSpan w:val="3"/>
          </w:tcPr>
          <w:p>
            <w:pPr>
              <w:jc w:val="right"/>
              <w:spacing w:after="0"/>
              <w:rPr>
                <w:sz w:val="20"/>
                <w:szCs w:val="20"/>
                <w:color w:val="auto"/>
              </w:rPr>
            </w:pPr>
            <w:r>
              <w:rPr>
                <w:rFonts w:ascii="Arial" w:cs="Arial" w:eastAsia="Arial" w:hAnsi="Arial"/>
                <w:sz w:val="17"/>
                <w:szCs w:val="17"/>
                <w:color w:val="auto"/>
              </w:rPr>
              <w:t>$ 51,098</w:t>
            </w:r>
          </w:p>
        </w:tc>
        <w:tc>
          <w:tcPr>
            <w:tcW w:w="380" w:type="dxa"/>
            <w:vAlign w:val="bottom"/>
          </w:tcPr>
          <w:p>
            <w:pPr>
              <w:spacing w:after="0"/>
              <w:rPr>
                <w:sz w:val="22"/>
                <w:szCs w:val="22"/>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7"/>
                <w:szCs w:val="17"/>
                <w:color w:val="auto"/>
              </w:rPr>
              <w:t>$ 65,101</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$ 59,428</w:t>
            </w:r>
          </w:p>
        </w:tc>
        <w:tc>
          <w:tcPr>
            <w:tcW w:w="60" w:type="dxa"/>
            <w:vAlign w:val="bottom"/>
          </w:tcPr>
          <w:p>
            <w:pPr>
              <w:spacing w:after="0"/>
              <w:rPr>
                <w:sz w:val="22"/>
                <w:szCs w:val="22"/>
                <w:color w:val="auto"/>
              </w:rPr>
            </w:pPr>
          </w:p>
        </w:tc>
      </w:tr>
      <w:tr>
        <w:trPr>
          <w:trHeight w:val="277"/>
        </w:trPr>
        <w:tc>
          <w:tcPr>
            <w:tcW w:w="720" w:type="dxa"/>
            <w:vAlign w:val="bottom"/>
          </w:tcPr>
          <w:p>
            <w:pPr>
              <w:spacing w:after="0"/>
              <w:rPr>
                <w:sz w:val="24"/>
                <w:szCs w:val="24"/>
                <w:color w:val="auto"/>
              </w:rPr>
            </w:pPr>
          </w:p>
        </w:tc>
        <w:tc>
          <w:tcPr>
            <w:tcW w:w="4780" w:type="dxa"/>
            <w:vAlign w:val="bottom"/>
          </w:tcPr>
          <w:p>
            <w:pPr>
              <w:ind w:left="60"/>
              <w:spacing w:after="0"/>
              <w:rPr>
                <w:sz w:val="20"/>
                <w:szCs w:val="20"/>
                <w:color w:val="auto"/>
              </w:rPr>
            </w:pPr>
            <w:r>
              <w:rPr>
                <w:rFonts w:ascii="Arial" w:cs="Arial" w:eastAsia="Arial" w:hAnsi="Arial"/>
                <w:sz w:val="17"/>
                <w:szCs w:val="17"/>
                <w:color w:val="auto"/>
              </w:rPr>
              <w:t>Foreign</w:t>
            </w:r>
          </w:p>
        </w:tc>
        <w:tc>
          <w:tcPr>
            <w:tcW w:w="2000" w:type="dxa"/>
            <w:vAlign w:val="bottom"/>
            <w:gridSpan w:val="3"/>
          </w:tcPr>
          <w:p>
            <w:pPr>
              <w:jc w:val="right"/>
              <w:spacing w:after="0"/>
              <w:rPr>
                <w:sz w:val="20"/>
                <w:szCs w:val="20"/>
                <w:color w:val="auto"/>
              </w:rPr>
            </w:pPr>
            <w:r>
              <w:rPr>
                <w:rFonts w:ascii="Arial" w:cs="Arial" w:eastAsia="Arial" w:hAnsi="Arial"/>
                <w:sz w:val="17"/>
                <w:szCs w:val="17"/>
                <w:color w:val="auto"/>
              </w:rPr>
              <w:t>28,674</w:t>
            </w:r>
          </w:p>
        </w:tc>
        <w:tc>
          <w:tcPr>
            <w:tcW w:w="38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7"/>
                <w:szCs w:val="17"/>
                <w:color w:val="auto"/>
              </w:rPr>
              <w:t>27,434</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26,914</w:t>
            </w:r>
          </w:p>
        </w:tc>
        <w:tc>
          <w:tcPr>
            <w:tcW w:w="6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5"/>
        </w:trPr>
        <w:tc>
          <w:tcPr>
            <w:tcW w:w="720" w:type="dxa"/>
            <w:vAlign w:val="bottom"/>
          </w:tcPr>
          <w:p>
            <w:pPr>
              <w:spacing w:after="0"/>
              <w:rPr>
                <w:sz w:val="24"/>
                <w:szCs w:val="24"/>
                <w:color w:val="auto"/>
              </w:rPr>
            </w:pPr>
          </w:p>
        </w:tc>
        <w:tc>
          <w:tcPr>
            <w:tcW w:w="4780" w:type="dxa"/>
            <w:vAlign w:val="bottom"/>
          </w:tcPr>
          <w:p>
            <w:pPr>
              <w:ind w:left="60"/>
              <w:spacing w:after="0"/>
              <w:rPr>
                <w:sz w:val="20"/>
                <w:szCs w:val="20"/>
                <w:color w:val="auto"/>
              </w:rPr>
            </w:pPr>
            <w:r>
              <w:rPr>
                <w:rFonts w:ascii="Arial" w:cs="Arial" w:eastAsia="Arial" w:hAnsi="Arial"/>
                <w:sz w:val="17"/>
                <w:szCs w:val="17"/>
                <w:color w:val="auto"/>
              </w:rPr>
              <w:t>Total income before provision for income taxes</w:t>
            </w:r>
          </w:p>
        </w:tc>
        <w:tc>
          <w:tcPr>
            <w:tcW w:w="2000" w:type="dxa"/>
            <w:vAlign w:val="bottom"/>
            <w:gridSpan w:val="3"/>
          </w:tcPr>
          <w:p>
            <w:pPr>
              <w:jc w:val="right"/>
              <w:spacing w:after="0"/>
              <w:rPr>
                <w:sz w:val="20"/>
                <w:szCs w:val="20"/>
                <w:color w:val="auto"/>
              </w:rPr>
            </w:pPr>
            <w:r>
              <w:rPr>
                <w:rFonts w:ascii="Arial" w:cs="Arial" w:eastAsia="Arial" w:hAnsi="Arial"/>
                <w:sz w:val="17"/>
                <w:szCs w:val="17"/>
                <w:color w:val="auto"/>
              </w:rPr>
              <w:t>$ 79,772</w:t>
            </w:r>
          </w:p>
        </w:tc>
        <w:tc>
          <w:tcPr>
            <w:tcW w:w="38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7"/>
                <w:szCs w:val="17"/>
                <w:color w:val="auto"/>
              </w:rPr>
              <w:t>$ 92,535</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$ 86,342</w:t>
            </w:r>
          </w:p>
        </w:tc>
        <w:tc>
          <w:tcPr>
            <w:tcW w:w="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380" w:type="dxa"/>
            <w:vAlign w:val="bottom"/>
            <w:gridSpan w:val="4"/>
          </w:tcPr>
          <w:p>
            <w:pPr>
              <w:jc w:val="right"/>
              <w:ind w:right="380"/>
              <w:spacing w:after="0"/>
              <w:rPr>
                <w:sz w:val="20"/>
                <w:szCs w:val="20"/>
                <w:color w:val="auto"/>
              </w:rPr>
            </w:pPr>
            <w:r>
              <w:rPr>
                <w:rFonts w:ascii="Arial" w:cs="Arial" w:eastAsia="Arial" w:hAnsi="Arial"/>
                <w:sz w:val="17"/>
                <w:szCs w:val="17"/>
                <w:color w:val="auto"/>
              </w:rPr>
              <w:t>======</w:t>
            </w:r>
          </w:p>
        </w:tc>
        <w:tc>
          <w:tcPr>
            <w:tcW w:w="1360" w:type="dxa"/>
            <w:vAlign w:val="bottom"/>
            <w:gridSpan w:val="4"/>
          </w:tcPr>
          <w:p>
            <w:pPr>
              <w:jc w:val="right"/>
              <w:ind w:right="380"/>
              <w:spacing w:after="0"/>
              <w:rPr>
                <w:sz w:val="20"/>
                <w:szCs w:val="20"/>
                <w:color w:val="auto"/>
              </w:rPr>
            </w:pPr>
            <w:r>
              <w:rPr>
                <w:rFonts w:ascii="Arial" w:cs="Arial" w:eastAsia="Arial" w:hAnsi="Arial"/>
                <w:sz w:val="17"/>
                <w:szCs w:val="17"/>
                <w:color w:val="auto"/>
              </w:rPr>
              <w:t>======</w:t>
            </w:r>
          </w:p>
        </w:tc>
        <w:tc>
          <w:tcPr>
            <w:tcW w:w="104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r>
      <w:tr>
        <w:trPr>
          <w:trHeight w:val="432"/>
        </w:trPr>
        <w:tc>
          <w:tcPr>
            <w:tcW w:w="5500" w:type="dxa"/>
            <w:vAlign w:val="bottom"/>
            <w:gridSpan w:val="2"/>
          </w:tcPr>
          <w:p>
            <w:pPr>
              <w:spacing w:after="0"/>
              <w:rPr>
                <w:sz w:val="20"/>
                <w:szCs w:val="20"/>
                <w:color w:val="auto"/>
              </w:rPr>
            </w:pPr>
            <w:r>
              <w:rPr>
                <w:rFonts w:ascii="Arial" w:cs="Arial" w:eastAsia="Arial" w:hAnsi="Arial"/>
                <w:sz w:val="17"/>
                <w:szCs w:val="17"/>
                <w:color w:val="auto"/>
              </w:rPr>
              <w:t>The provision for taxes on income consists of the following:</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249"/>
        </w:trPr>
        <w:tc>
          <w:tcPr>
            <w:tcW w:w="5540" w:type="dxa"/>
            <w:vAlign w:val="bottom"/>
            <w:shd w:val="clear" w:color="auto" w:fill="C0C0C0"/>
          </w:tcPr>
          <w:p>
            <w:pPr>
              <w:ind w:left="100"/>
              <w:spacing w:after="0"/>
              <w:rPr>
                <w:sz w:val="20"/>
                <w:szCs w:val="20"/>
                <w:color w:val="auto"/>
              </w:rPr>
            </w:pPr>
            <w:r>
              <w:rPr>
                <w:rFonts w:ascii="Arial" w:cs="Arial" w:eastAsia="Arial" w:hAnsi="Arial"/>
                <w:sz w:val="17"/>
                <w:szCs w:val="17"/>
                <w:b w:val="1"/>
                <w:bCs w:val="1"/>
                <w:color w:val="auto"/>
              </w:rPr>
              <w:t>Thousands of Dollars</w:t>
            </w:r>
          </w:p>
        </w:tc>
        <w:tc>
          <w:tcPr>
            <w:tcW w:w="1420" w:type="dxa"/>
            <w:vAlign w:val="bottom"/>
            <w:gridSpan w:val="5"/>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1340" w:type="dxa"/>
            <w:vAlign w:val="bottom"/>
            <w:gridSpan w:val="4"/>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1320" w:type="dxa"/>
            <w:vAlign w:val="bottom"/>
            <w:gridSpan w:val="4"/>
            <w:shd w:val="clear" w:color="auto" w:fill="C0C0C0"/>
          </w:tcPr>
          <w:p>
            <w:pPr>
              <w:jc w:val="right"/>
              <w:spacing w:after="0"/>
              <w:rPr>
                <w:sz w:val="20"/>
                <w:szCs w:val="20"/>
                <w:color w:val="auto"/>
              </w:rPr>
            </w:pPr>
            <w:r>
              <w:rPr>
                <w:rFonts w:ascii="Arial" w:cs="Arial" w:eastAsia="Arial" w:hAnsi="Arial"/>
                <w:sz w:val="17"/>
                <w:szCs w:val="17"/>
                <w:b w:val="1"/>
                <w:bCs w:val="1"/>
                <w:color w:val="auto"/>
              </w:rPr>
              <w:t>1998</w:t>
            </w:r>
          </w:p>
        </w:tc>
        <w:tc>
          <w:tcPr>
            <w:tcW w:w="100" w:type="dxa"/>
            <w:vAlign w:val="bottom"/>
            <w:shd w:val="clear" w:color="auto" w:fill="C0C0C0"/>
          </w:tcPr>
          <w:p>
            <w:pPr>
              <w:spacing w:after="0"/>
              <w:rPr>
                <w:sz w:val="21"/>
                <w:szCs w:val="21"/>
                <w:color w:val="auto"/>
              </w:rPr>
            </w:pPr>
          </w:p>
        </w:tc>
      </w:tr>
      <w:tr>
        <w:trPr>
          <w:trHeight w:val="392"/>
        </w:trPr>
        <w:tc>
          <w:tcPr>
            <w:tcW w:w="5540" w:type="dxa"/>
            <w:vAlign w:val="bottom"/>
            <w:tcBorders>
              <w:top w:val="single" w:sz="8" w:color="C0C0C0"/>
              <w:bottom w:val="single" w:sz="8" w:color="C0C0C0"/>
            </w:tcBorders>
            <w:shd w:val="clear" w:color="auto" w:fill="C0C0C0"/>
          </w:tcPr>
          <w:p>
            <w:pPr>
              <w:ind w:left="60"/>
              <w:spacing w:after="0"/>
              <w:rPr>
                <w:sz w:val="20"/>
                <w:szCs w:val="20"/>
                <w:color w:val="auto"/>
              </w:rPr>
            </w:pPr>
            <w:r>
              <w:rPr>
                <w:rFonts w:ascii="Arial" w:cs="Arial" w:eastAsia="Arial" w:hAnsi="Arial"/>
                <w:sz w:val="17"/>
                <w:szCs w:val="17"/>
                <w:b w:val="1"/>
                <w:bCs w:val="1"/>
                <w:color w:val="auto"/>
              </w:rPr>
              <w:t>Domestic</w:t>
            </w:r>
          </w:p>
        </w:tc>
        <w:tc>
          <w:tcPr>
            <w:tcW w:w="860" w:type="dxa"/>
            <w:vAlign w:val="bottom"/>
            <w:tcBorders>
              <w:top w:val="single" w:sz="8" w:color="C0C0C0"/>
              <w:bottom w:val="single" w:sz="8" w:color="C0C0C0"/>
            </w:tcBorders>
            <w:shd w:val="clear" w:color="auto" w:fill="C0C0C0"/>
          </w:tcPr>
          <w:p>
            <w:pPr>
              <w:spacing w:after="0"/>
              <w:rPr>
                <w:sz w:val="24"/>
                <w:szCs w:val="24"/>
                <w:color w:val="auto"/>
              </w:rPr>
            </w:pPr>
          </w:p>
        </w:tc>
        <w:tc>
          <w:tcPr>
            <w:tcW w:w="80" w:type="dxa"/>
            <w:vAlign w:val="bottom"/>
            <w:tcBorders>
              <w:top w:val="single" w:sz="8" w:color="C0C0C0"/>
              <w:bottom w:val="single" w:sz="8" w:color="C0C0C0"/>
              <w:right w:val="single" w:sz="8" w:color="C0C0C0"/>
            </w:tcBorders>
            <w:shd w:val="clear" w:color="auto" w:fill="C0C0C0"/>
          </w:tcPr>
          <w:p>
            <w:pPr>
              <w:spacing w:after="0"/>
              <w:rPr>
                <w:sz w:val="24"/>
                <w:szCs w:val="24"/>
                <w:color w:val="auto"/>
              </w:rPr>
            </w:pPr>
          </w:p>
        </w:tc>
        <w:tc>
          <w:tcPr>
            <w:tcW w:w="140" w:type="dxa"/>
            <w:vAlign w:val="bottom"/>
            <w:tcBorders>
              <w:top w:val="single" w:sz="8" w:color="C0C0C0"/>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tcBorders>
            <w:shd w:val="clear" w:color="auto" w:fill="C0C0C0"/>
          </w:tcPr>
          <w:p>
            <w:pPr>
              <w:spacing w:after="0"/>
              <w:rPr>
                <w:sz w:val="24"/>
                <w:szCs w:val="24"/>
                <w:color w:val="auto"/>
              </w:rPr>
            </w:pPr>
          </w:p>
        </w:tc>
        <w:tc>
          <w:tcPr>
            <w:tcW w:w="40" w:type="dxa"/>
            <w:vAlign w:val="bottom"/>
            <w:tcBorders>
              <w:top w:val="single" w:sz="8" w:color="auto"/>
              <w:bottom w:val="single" w:sz="8" w:color="C0C0C0"/>
            </w:tcBorders>
            <w:shd w:val="clear" w:color="auto" w:fill="C0C0C0"/>
          </w:tcPr>
          <w:p>
            <w:pPr>
              <w:spacing w:after="0"/>
              <w:rPr>
                <w:sz w:val="24"/>
                <w:szCs w:val="24"/>
                <w:color w:val="auto"/>
              </w:rPr>
            </w:pPr>
          </w:p>
        </w:tc>
        <w:tc>
          <w:tcPr>
            <w:tcW w:w="840" w:type="dxa"/>
            <w:vAlign w:val="bottom"/>
            <w:tcBorders>
              <w:top w:val="single" w:sz="8" w:color="C0C0C0"/>
              <w:bottom w:val="single" w:sz="8" w:color="C0C0C0"/>
              <w:right w:val="single" w:sz="8" w:color="C0C0C0"/>
            </w:tcBorders>
            <w:shd w:val="clear" w:color="auto" w:fill="C0C0C0"/>
          </w:tcPr>
          <w:p>
            <w:pPr>
              <w:spacing w:after="0"/>
              <w:rPr>
                <w:sz w:val="24"/>
                <w:szCs w:val="24"/>
                <w:color w:val="auto"/>
              </w:rPr>
            </w:pPr>
          </w:p>
        </w:tc>
        <w:tc>
          <w:tcPr>
            <w:tcW w:w="160" w:type="dxa"/>
            <w:vAlign w:val="bottom"/>
            <w:tcBorders>
              <w:top w:val="single" w:sz="8" w:color="C0C0C0"/>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tcBorders>
            <w:shd w:val="clear" w:color="auto" w:fill="C0C0C0"/>
          </w:tcPr>
          <w:p>
            <w:pPr>
              <w:spacing w:after="0"/>
              <w:rPr>
                <w:sz w:val="24"/>
                <w:szCs w:val="24"/>
                <w:color w:val="auto"/>
              </w:rPr>
            </w:pPr>
          </w:p>
        </w:tc>
        <w:tc>
          <w:tcPr>
            <w:tcW w:w="40" w:type="dxa"/>
            <w:vAlign w:val="bottom"/>
            <w:tcBorders>
              <w:top w:val="single" w:sz="8" w:color="auto"/>
              <w:bottom w:val="single" w:sz="8" w:color="C0C0C0"/>
            </w:tcBorders>
            <w:shd w:val="clear" w:color="auto" w:fill="C0C0C0"/>
          </w:tcPr>
          <w:p>
            <w:pPr>
              <w:spacing w:after="0"/>
              <w:rPr>
                <w:sz w:val="24"/>
                <w:szCs w:val="24"/>
                <w:color w:val="auto"/>
              </w:rPr>
            </w:pPr>
          </w:p>
        </w:tc>
        <w:tc>
          <w:tcPr>
            <w:tcW w:w="840" w:type="dxa"/>
            <w:vAlign w:val="bottom"/>
            <w:tcBorders>
              <w:top w:val="single" w:sz="8" w:color="C0C0C0"/>
              <w:bottom w:val="single" w:sz="8" w:color="C0C0C0"/>
              <w:right w:val="single" w:sz="8" w:color="C0C0C0"/>
            </w:tcBorders>
            <w:shd w:val="clear" w:color="auto" w:fill="C0C0C0"/>
          </w:tcPr>
          <w:p>
            <w:pPr>
              <w:spacing w:after="0"/>
              <w:rPr>
                <w:sz w:val="24"/>
                <w:szCs w:val="24"/>
                <w:color w:val="auto"/>
              </w:rPr>
            </w:pPr>
          </w:p>
        </w:tc>
        <w:tc>
          <w:tcPr>
            <w:tcW w:w="140" w:type="dxa"/>
            <w:vAlign w:val="bottom"/>
            <w:tcBorders>
              <w:top w:val="single" w:sz="8" w:color="C0C0C0"/>
              <w:bottom w:val="single" w:sz="8" w:color="C0C0C0"/>
            </w:tcBorders>
            <w:shd w:val="clear" w:color="auto" w:fill="C0C0C0"/>
          </w:tcPr>
          <w:p>
            <w:pPr>
              <w:spacing w:after="0"/>
              <w:rPr>
                <w:sz w:val="24"/>
                <w:szCs w:val="24"/>
                <w:color w:val="auto"/>
              </w:rPr>
            </w:pPr>
          </w:p>
        </w:tc>
        <w:tc>
          <w:tcPr>
            <w:tcW w:w="320" w:type="dxa"/>
            <w:vAlign w:val="bottom"/>
            <w:tcBorders>
              <w:top w:val="single" w:sz="8" w:color="auto"/>
              <w:bottom w:val="single" w:sz="8" w:color="C0C0C0"/>
            </w:tcBorders>
            <w:shd w:val="clear" w:color="auto" w:fill="C0C0C0"/>
          </w:tcPr>
          <w:p>
            <w:pPr>
              <w:spacing w:after="0"/>
              <w:rPr>
                <w:sz w:val="24"/>
                <w:szCs w:val="24"/>
                <w:color w:val="auto"/>
              </w:rPr>
            </w:pPr>
          </w:p>
        </w:tc>
        <w:tc>
          <w:tcPr>
            <w:tcW w:w="20" w:type="dxa"/>
            <w:vAlign w:val="bottom"/>
            <w:tcBorders>
              <w:top w:val="single" w:sz="8" w:color="auto"/>
              <w:bottom w:val="single" w:sz="8" w:color="C0C0C0"/>
            </w:tcBorders>
            <w:shd w:val="clear" w:color="auto" w:fill="C0C0C0"/>
          </w:tcPr>
          <w:p>
            <w:pPr>
              <w:spacing w:after="0"/>
              <w:rPr>
                <w:sz w:val="24"/>
                <w:szCs w:val="24"/>
                <w:color w:val="auto"/>
              </w:rPr>
            </w:pPr>
          </w:p>
        </w:tc>
        <w:tc>
          <w:tcPr>
            <w:tcW w:w="100" w:type="dxa"/>
            <w:vAlign w:val="bottom"/>
            <w:tcBorders>
              <w:top w:val="single" w:sz="8" w:color="C0C0C0"/>
              <w:bottom w:val="single" w:sz="8" w:color="C0C0C0"/>
            </w:tcBorders>
            <w:shd w:val="clear" w:color="auto" w:fill="C0C0C0"/>
          </w:tcPr>
          <w:p>
            <w:pPr>
              <w:spacing w:after="0"/>
              <w:rPr>
                <w:sz w:val="24"/>
                <w:szCs w:val="24"/>
                <w:color w:val="auto"/>
              </w:rPr>
            </w:pPr>
          </w:p>
        </w:tc>
      </w:tr>
      <w:tr>
        <w:trPr>
          <w:trHeight w:val="260"/>
        </w:trPr>
        <w:tc>
          <w:tcPr>
            <w:tcW w:w="5540" w:type="dxa"/>
            <w:vAlign w:val="bottom"/>
          </w:tcPr>
          <w:p>
            <w:pPr>
              <w:ind w:left="60"/>
              <w:spacing w:after="0"/>
              <w:rPr>
                <w:sz w:val="20"/>
                <w:szCs w:val="20"/>
                <w:color w:val="auto"/>
              </w:rPr>
            </w:pPr>
            <w:r>
              <w:rPr>
                <w:rFonts w:ascii="Arial" w:cs="Arial" w:eastAsia="Arial" w:hAnsi="Arial"/>
                <w:sz w:val="17"/>
                <w:szCs w:val="17"/>
                <w:color w:val="auto"/>
              </w:rPr>
              <w:t>Taxes currently payable</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5540" w:type="dxa"/>
            <w:vAlign w:val="bottom"/>
          </w:tcPr>
          <w:p>
            <w:pPr>
              <w:ind w:left="320"/>
              <w:spacing w:after="0"/>
              <w:rPr>
                <w:sz w:val="20"/>
                <w:szCs w:val="20"/>
                <w:color w:val="auto"/>
              </w:rPr>
            </w:pPr>
            <w:r>
              <w:rPr>
                <w:rFonts w:ascii="Arial" w:cs="Arial" w:eastAsia="Arial" w:hAnsi="Arial"/>
                <w:sz w:val="17"/>
                <w:szCs w:val="17"/>
                <w:color w:val="auto"/>
              </w:rPr>
              <w:t>Federal</w:t>
            </w:r>
          </w:p>
        </w:tc>
        <w:tc>
          <w:tcPr>
            <w:tcW w:w="1380" w:type="dxa"/>
            <w:vAlign w:val="bottom"/>
            <w:gridSpan w:val="4"/>
          </w:tcPr>
          <w:p>
            <w:pPr>
              <w:jc w:val="right"/>
              <w:spacing w:after="0"/>
              <w:rPr>
                <w:sz w:val="20"/>
                <w:szCs w:val="20"/>
                <w:color w:val="auto"/>
              </w:rPr>
            </w:pPr>
            <w:r>
              <w:rPr>
                <w:rFonts w:ascii="Arial" w:cs="Arial" w:eastAsia="Arial" w:hAnsi="Arial"/>
                <w:sz w:val="17"/>
                <w:szCs w:val="17"/>
                <w:color w:val="auto"/>
              </w:rPr>
              <w:t>$ 11,741</w:t>
            </w:r>
          </w:p>
        </w:tc>
        <w:tc>
          <w:tcPr>
            <w:tcW w:w="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$ 12,552</w:t>
            </w:r>
          </w:p>
        </w:tc>
        <w:tc>
          <w:tcPr>
            <w:tcW w:w="4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7"/>
                <w:szCs w:val="17"/>
                <w:color w:val="auto"/>
              </w:rPr>
              <w:t>$ 15,714</w:t>
            </w:r>
          </w:p>
        </w:tc>
        <w:tc>
          <w:tcPr>
            <w:tcW w:w="100" w:type="dxa"/>
            <w:vAlign w:val="bottom"/>
          </w:tcPr>
          <w:p>
            <w:pPr>
              <w:spacing w:after="0"/>
              <w:rPr>
                <w:sz w:val="20"/>
                <w:szCs w:val="20"/>
                <w:color w:val="auto"/>
              </w:rPr>
            </w:pPr>
          </w:p>
        </w:tc>
      </w:tr>
      <w:tr>
        <w:trPr>
          <w:trHeight w:val="314"/>
        </w:trPr>
        <w:tc>
          <w:tcPr>
            <w:tcW w:w="5540" w:type="dxa"/>
            <w:vAlign w:val="bottom"/>
          </w:tcPr>
          <w:p>
            <w:pPr>
              <w:ind w:left="320"/>
              <w:spacing w:after="0"/>
              <w:rPr>
                <w:sz w:val="20"/>
                <w:szCs w:val="20"/>
                <w:color w:val="auto"/>
              </w:rPr>
            </w:pPr>
            <w:r>
              <w:rPr>
                <w:rFonts w:ascii="Arial" w:cs="Arial" w:eastAsia="Arial" w:hAnsi="Arial"/>
                <w:sz w:val="17"/>
                <w:szCs w:val="17"/>
                <w:color w:val="auto"/>
              </w:rPr>
              <w:t>State and local</w:t>
            </w:r>
          </w:p>
        </w:tc>
        <w:tc>
          <w:tcPr>
            <w:tcW w:w="1380" w:type="dxa"/>
            <w:vAlign w:val="bottom"/>
            <w:gridSpan w:val="4"/>
          </w:tcPr>
          <w:p>
            <w:pPr>
              <w:jc w:val="right"/>
              <w:spacing w:after="0"/>
              <w:rPr>
                <w:sz w:val="20"/>
                <w:szCs w:val="20"/>
                <w:color w:val="auto"/>
              </w:rPr>
            </w:pPr>
            <w:r>
              <w:rPr>
                <w:rFonts w:ascii="Arial" w:cs="Arial" w:eastAsia="Arial" w:hAnsi="Arial"/>
                <w:sz w:val="17"/>
                <w:szCs w:val="17"/>
                <w:color w:val="auto"/>
              </w:rPr>
              <w:t>2,380</w:t>
            </w:r>
          </w:p>
        </w:tc>
        <w:tc>
          <w:tcPr>
            <w:tcW w:w="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2,735</w:t>
            </w:r>
          </w:p>
        </w:tc>
        <w:tc>
          <w:tcPr>
            <w:tcW w:w="4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Arial" w:cs="Arial" w:eastAsia="Arial" w:hAnsi="Arial"/>
                <w:sz w:val="17"/>
                <w:szCs w:val="17"/>
                <w:color w:val="auto"/>
              </w:rPr>
              <w:t>3,084</w:t>
            </w:r>
          </w:p>
        </w:tc>
        <w:tc>
          <w:tcPr>
            <w:tcW w:w="100" w:type="dxa"/>
            <w:vAlign w:val="bottom"/>
          </w:tcPr>
          <w:p>
            <w:pPr>
              <w:spacing w:after="0"/>
              <w:rPr>
                <w:sz w:val="24"/>
                <w:szCs w:val="24"/>
                <w:color w:val="auto"/>
              </w:rPr>
            </w:pPr>
          </w:p>
        </w:tc>
      </w:tr>
      <w:tr>
        <w:trPr>
          <w:trHeight w:val="277"/>
        </w:trPr>
        <w:tc>
          <w:tcPr>
            <w:tcW w:w="5540" w:type="dxa"/>
            <w:vAlign w:val="bottom"/>
          </w:tcPr>
          <w:p>
            <w:pPr>
              <w:ind w:left="60"/>
              <w:spacing w:after="0"/>
              <w:rPr>
                <w:sz w:val="20"/>
                <w:szCs w:val="20"/>
                <w:color w:val="auto"/>
              </w:rPr>
            </w:pPr>
            <w:r>
              <w:rPr>
                <w:rFonts w:ascii="Arial" w:cs="Arial" w:eastAsia="Arial" w:hAnsi="Arial"/>
                <w:sz w:val="17"/>
                <w:szCs w:val="17"/>
                <w:color w:val="auto"/>
              </w:rPr>
              <w:t>Deferred income taxes</w:t>
            </w:r>
          </w:p>
        </w:tc>
        <w:tc>
          <w:tcPr>
            <w:tcW w:w="940" w:type="dxa"/>
            <w:vAlign w:val="bottom"/>
            <w:gridSpan w:val="2"/>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406</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4,069</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7"/>
                <w:szCs w:val="17"/>
                <w:color w:val="auto"/>
              </w:rPr>
              <w:t>(524)</w:t>
            </w:r>
          </w:p>
        </w:tc>
      </w:tr>
      <w:tr>
        <w:trPr>
          <w:trHeight w:val="20"/>
        </w:trPr>
        <w:tc>
          <w:tcPr>
            <w:tcW w:w="5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4"/>
        </w:trPr>
        <w:tc>
          <w:tcPr>
            <w:tcW w:w="5540" w:type="dxa"/>
            <w:vAlign w:val="bottom"/>
          </w:tcPr>
          <w:p>
            <w:pPr>
              <w:ind w:left="60"/>
              <w:spacing w:after="0"/>
              <w:rPr>
                <w:sz w:val="20"/>
                <w:szCs w:val="20"/>
                <w:color w:val="auto"/>
              </w:rPr>
            </w:pPr>
            <w:r>
              <w:rPr>
                <w:rFonts w:ascii="Arial" w:cs="Arial" w:eastAsia="Arial" w:hAnsi="Arial"/>
                <w:sz w:val="17"/>
                <w:szCs w:val="17"/>
                <w:color w:val="auto"/>
              </w:rPr>
              <w:t>Domestic tax provision</w:t>
            </w:r>
          </w:p>
        </w:tc>
        <w:tc>
          <w:tcPr>
            <w:tcW w:w="940" w:type="dxa"/>
            <w:vAlign w:val="bottom"/>
            <w:gridSpan w:val="2"/>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w w:val="80"/>
              </w:rPr>
              <w:t>14,527</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19,356</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w w:val="88"/>
              </w:rPr>
              <w:t>18,274</w:t>
            </w:r>
          </w:p>
        </w:tc>
        <w:tc>
          <w:tcPr>
            <w:tcW w:w="100" w:type="dxa"/>
            <w:vAlign w:val="bottom"/>
          </w:tcPr>
          <w:p>
            <w:pPr>
              <w:spacing w:after="0"/>
              <w:rPr>
                <w:sz w:val="24"/>
                <w:szCs w:val="24"/>
                <w:color w:val="auto"/>
              </w:rPr>
            </w:pPr>
          </w:p>
        </w:tc>
      </w:tr>
      <w:tr>
        <w:trPr>
          <w:trHeight w:val="412"/>
        </w:trPr>
        <w:tc>
          <w:tcPr>
            <w:tcW w:w="5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20"/>
        </w:trPr>
        <w:tc>
          <w:tcPr>
            <w:tcW w:w="5540" w:type="dxa"/>
            <w:vAlign w:val="bottom"/>
            <w:tcBorders>
              <w:bottom w:val="single" w:sz="8" w:color="C0C0C0"/>
            </w:tcBorders>
            <w:shd w:val="clear" w:color="auto" w:fill="C0C0C0"/>
          </w:tcPr>
          <w:p>
            <w:pPr>
              <w:ind w:left="60"/>
              <w:spacing w:after="0"/>
              <w:rPr>
                <w:sz w:val="20"/>
                <w:szCs w:val="20"/>
                <w:color w:val="auto"/>
              </w:rPr>
            </w:pPr>
            <w:r>
              <w:rPr>
                <w:rFonts w:ascii="Arial" w:cs="Arial" w:eastAsia="Arial" w:hAnsi="Arial"/>
                <w:sz w:val="17"/>
                <w:szCs w:val="17"/>
                <w:b w:val="1"/>
                <w:bCs w:val="1"/>
                <w:color w:val="auto"/>
              </w:rPr>
              <w:t>Foreign</w:t>
            </w:r>
          </w:p>
        </w:tc>
        <w:tc>
          <w:tcPr>
            <w:tcW w:w="86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right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30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840" w:type="dxa"/>
            <w:vAlign w:val="bottom"/>
            <w:tcBorders>
              <w:bottom w:val="single" w:sz="8" w:color="C0C0C0"/>
              <w:right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30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840" w:type="dxa"/>
            <w:vAlign w:val="bottom"/>
            <w:tcBorders>
              <w:bottom w:val="single" w:sz="8" w:color="C0C0C0"/>
              <w:right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tcBorders>
            <w:shd w:val="clear" w:color="auto" w:fill="C0C0C0"/>
          </w:tcPr>
          <w:p>
            <w:pPr>
              <w:spacing w:after="0"/>
              <w:rPr>
                <w:sz w:val="24"/>
                <w:szCs w:val="24"/>
                <w:color w:val="auto"/>
              </w:rPr>
            </w:pPr>
          </w:p>
        </w:tc>
        <w:tc>
          <w:tcPr>
            <w:tcW w:w="2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r>
      <w:tr>
        <w:trPr>
          <w:trHeight w:val="260"/>
        </w:trPr>
        <w:tc>
          <w:tcPr>
            <w:tcW w:w="5540" w:type="dxa"/>
            <w:vAlign w:val="bottom"/>
          </w:tcPr>
          <w:p>
            <w:pPr>
              <w:ind w:left="60"/>
              <w:spacing w:after="0"/>
              <w:rPr>
                <w:sz w:val="20"/>
                <w:szCs w:val="20"/>
                <w:color w:val="auto"/>
              </w:rPr>
            </w:pPr>
            <w:r>
              <w:rPr>
                <w:rFonts w:ascii="Arial" w:cs="Arial" w:eastAsia="Arial" w:hAnsi="Arial"/>
                <w:sz w:val="17"/>
                <w:szCs w:val="17"/>
                <w:color w:val="auto"/>
              </w:rPr>
              <w:t>Taxes currently payable</w:t>
            </w:r>
          </w:p>
        </w:tc>
        <w:tc>
          <w:tcPr>
            <w:tcW w:w="1380" w:type="dxa"/>
            <w:vAlign w:val="bottom"/>
            <w:gridSpan w:val="4"/>
          </w:tcPr>
          <w:p>
            <w:pPr>
              <w:jc w:val="right"/>
              <w:spacing w:after="0"/>
              <w:rPr>
                <w:sz w:val="20"/>
                <w:szCs w:val="20"/>
                <w:color w:val="auto"/>
              </w:rPr>
            </w:pPr>
            <w:r>
              <w:rPr>
                <w:rFonts w:ascii="Arial" w:cs="Arial" w:eastAsia="Arial" w:hAnsi="Arial"/>
                <w:sz w:val="17"/>
                <w:szCs w:val="17"/>
                <w:color w:val="auto"/>
              </w:rPr>
              <w:t>8,412</w:t>
            </w:r>
          </w:p>
        </w:tc>
        <w:tc>
          <w:tcPr>
            <w:tcW w:w="4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7,771</w:t>
            </w:r>
          </w:p>
        </w:tc>
        <w:tc>
          <w:tcPr>
            <w:tcW w:w="40" w:type="dxa"/>
            <w:vAlign w:val="bottom"/>
          </w:tcPr>
          <w:p>
            <w:pPr>
              <w:spacing w:after="0"/>
              <w:rPr>
                <w:sz w:val="22"/>
                <w:szCs w:val="22"/>
                <w:color w:val="auto"/>
              </w:rPr>
            </w:pPr>
          </w:p>
        </w:tc>
        <w:tc>
          <w:tcPr>
            <w:tcW w:w="1320" w:type="dxa"/>
            <w:vAlign w:val="bottom"/>
            <w:gridSpan w:val="4"/>
          </w:tcPr>
          <w:p>
            <w:pPr>
              <w:jc w:val="right"/>
              <w:spacing w:after="0"/>
              <w:rPr>
                <w:sz w:val="20"/>
                <w:szCs w:val="20"/>
                <w:color w:val="auto"/>
              </w:rPr>
            </w:pPr>
            <w:r>
              <w:rPr>
                <w:rFonts w:ascii="Arial" w:cs="Arial" w:eastAsia="Arial" w:hAnsi="Arial"/>
                <w:sz w:val="17"/>
                <w:szCs w:val="17"/>
                <w:color w:val="auto"/>
              </w:rPr>
              <w:t>7,350</w:t>
            </w:r>
          </w:p>
        </w:tc>
        <w:tc>
          <w:tcPr>
            <w:tcW w:w="100" w:type="dxa"/>
            <w:vAlign w:val="bottom"/>
          </w:tcPr>
          <w:p>
            <w:pPr>
              <w:spacing w:after="0"/>
              <w:rPr>
                <w:sz w:val="22"/>
                <w:szCs w:val="22"/>
                <w:color w:val="auto"/>
              </w:rPr>
            </w:pPr>
          </w:p>
        </w:tc>
      </w:tr>
      <w:tr>
        <w:trPr>
          <w:trHeight w:val="277"/>
        </w:trPr>
        <w:tc>
          <w:tcPr>
            <w:tcW w:w="5540" w:type="dxa"/>
            <w:vAlign w:val="bottom"/>
          </w:tcPr>
          <w:p>
            <w:pPr>
              <w:ind w:left="60"/>
              <w:spacing w:after="0"/>
              <w:rPr>
                <w:sz w:val="20"/>
                <w:szCs w:val="20"/>
                <w:color w:val="auto"/>
              </w:rPr>
            </w:pPr>
            <w:r>
              <w:rPr>
                <w:rFonts w:ascii="Arial" w:cs="Arial" w:eastAsia="Arial" w:hAnsi="Arial"/>
                <w:sz w:val="17"/>
                <w:szCs w:val="17"/>
                <w:color w:val="auto"/>
              </w:rPr>
              <w:t>Deferred income taxes</w:t>
            </w:r>
          </w:p>
        </w:tc>
        <w:tc>
          <w:tcPr>
            <w:tcW w:w="94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796</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1,793</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1,736</w:t>
            </w:r>
          </w:p>
        </w:tc>
        <w:tc>
          <w:tcPr>
            <w:tcW w:w="100" w:type="dxa"/>
            <w:vAlign w:val="bottom"/>
          </w:tcPr>
          <w:p>
            <w:pPr>
              <w:spacing w:after="0"/>
              <w:rPr>
                <w:sz w:val="24"/>
                <w:szCs w:val="24"/>
                <w:color w:val="auto"/>
              </w:rPr>
            </w:pPr>
          </w:p>
        </w:tc>
      </w:tr>
      <w:tr>
        <w:trPr>
          <w:trHeight w:val="294"/>
        </w:trPr>
        <w:tc>
          <w:tcPr>
            <w:tcW w:w="5540" w:type="dxa"/>
            <w:vAlign w:val="bottom"/>
          </w:tcPr>
          <w:p>
            <w:pPr>
              <w:ind w:left="60"/>
              <w:spacing w:after="0"/>
              <w:rPr>
                <w:sz w:val="20"/>
                <w:szCs w:val="20"/>
                <w:color w:val="auto"/>
              </w:rPr>
            </w:pPr>
            <w:r>
              <w:rPr>
                <w:rFonts w:ascii="Arial" w:cs="Arial" w:eastAsia="Arial" w:hAnsi="Arial"/>
                <w:sz w:val="17"/>
                <w:szCs w:val="17"/>
                <w:color w:val="auto"/>
              </w:rPr>
              <w:t>Foreign tax provision</w:t>
            </w:r>
          </w:p>
        </w:tc>
        <w:tc>
          <w:tcPr>
            <w:tcW w:w="94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9,208</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9,564</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9,086</w:t>
            </w:r>
          </w:p>
        </w:tc>
        <w:tc>
          <w:tcPr>
            <w:tcW w:w="100" w:type="dxa"/>
            <w:vAlign w:val="bottom"/>
          </w:tcPr>
          <w:p>
            <w:pPr>
              <w:spacing w:after="0"/>
              <w:rPr>
                <w:sz w:val="24"/>
                <w:szCs w:val="24"/>
                <w:color w:val="auto"/>
              </w:rPr>
            </w:pPr>
          </w:p>
        </w:tc>
      </w:tr>
      <w:tr>
        <w:trPr>
          <w:trHeight w:val="325"/>
        </w:trPr>
        <w:tc>
          <w:tcPr>
            <w:tcW w:w="5540" w:type="dxa"/>
            <w:vAlign w:val="bottom"/>
          </w:tcPr>
          <w:p>
            <w:pPr>
              <w:ind w:left="60"/>
              <w:spacing w:after="0"/>
              <w:rPr>
                <w:sz w:val="20"/>
                <w:szCs w:val="20"/>
                <w:color w:val="auto"/>
              </w:rPr>
            </w:pPr>
            <w:r>
              <w:rPr>
                <w:rFonts w:ascii="Arial" w:cs="Arial" w:eastAsia="Arial" w:hAnsi="Arial"/>
                <w:sz w:val="17"/>
                <w:szCs w:val="17"/>
                <w:color w:val="auto"/>
              </w:rPr>
              <w:t>Total tax provision</w:t>
            </w:r>
          </w:p>
        </w:tc>
        <w:tc>
          <w:tcPr>
            <w:tcW w:w="1380" w:type="dxa"/>
            <w:vAlign w:val="bottom"/>
            <w:gridSpan w:val="4"/>
          </w:tcPr>
          <w:p>
            <w:pPr>
              <w:jc w:val="right"/>
              <w:spacing w:after="0"/>
              <w:rPr>
                <w:sz w:val="20"/>
                <w:szCs w:val="20"/>
                <w:color w:val="auto"/>
              </w:rPr>
            </w:pPr>
            <w:r>
              <w:rPr>
                <w:rFonts w:ascii="Arial" w:cs="Arial" w:eastAsia="Arial" w:hAnsi="Arial"/>
                <w:sz w:val="17"/>
                <w:szCs w:val="17"/>
                <w:color w:val="auto"/>
              </w:rPr>
              <w:t>$ 23,735</w:t>
            </w:r>
          </w:p>
        </w:tc>
        <w:tc>
          <w:tcPr>
            <w:tcW w:w="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$ 28,920</w:t>
            </w:r>
          </w:p>
        </w:tc>
        <w:tc>
          <w:tcPr>
            <w:tcW w:w="4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Arial" w:cs="Arial" w:eastAsia="Arial" w:hAnsi="Arial"/>
                <w:sz w:val="17"/>
                <w:szCs w:val="17"/>
                <w:color w:val="auto"/>
              </w:rPr>
              <w:t>$ 27,360</w:t>
            </w:r>
          </w:p>
        </w:tc>
        <w:tc>
          <w:tcPr>
            <w:tcW w:w="100" w:type="dxa"/>
            <w:vAlign w:val="bottom"/>
          </w:tcPr>
          <w:p>
            <w:pPr>
              <w:spacing w:after="0"/>
              <w:rPr>
                <w:sz w:val="24"/>
                <w:szCs w:val="24"/>
                <w:color w:val="auto"/>
              </w:rPr>
            </w:pPr>
          </w:p>
        </w:tc>
      </w:tr>
      <w:tr>
        <w:trPr>
          <w:trHeight w:val="216"/>
        </w:trPr>
        <w:tc>
          <w:tcPr>
            <w:tcW w:w="554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1420" w:type="dxa"/>
            <w:vAlign w:val="bottom"/>
            <w:gridSpan w:val="5"/>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16" w:lineRule="exact"/>
        <w:rPr>
          <w:sz w:val="20"/>
          <w:szCs w:val="20"/>
          <w:color w:val="auto"/>
        </w:rPr>
      </w:pPr>
    </w:p>
    <w:p>
      <w:pPr>
        <w:ind w:right="380" w:firstLine="210"/>
        <w:spacing w:after="0" w:line="282" w:lineRule="auto"/>
        <w:rPr>
          <w:sz w:val="20"/>
          <w:szCs w:val="20"/>
          <w:color w:val="auto"/>
        </w:rPr>
      </w:pPr>
      <w:r>
        <w:rPr>
          <w:rFonts w:ascii="Arial" w:cs="Arial" w:eastAsia="Arial" w:hAnsi="Arial"/>
          <w:sz w:val="17"/>
          <w:szCs w:val="17"/>
          <w:color w:val="auto"/>
        </w:rPr>
        <w:t>The provision for taxes on income shown in the previous table is classified based on the location of the taxing authority, regardless of the location in which the taxable income is generated.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ectPr>
          <w:pgSz w:w="11900" w:h="16838" w:orient="portrait"/>
          <w:cols w:equalWidth="0" w:num="1">
            <w:col w:w="11400"/>
          </w:cols>
          <w:pgMar w:left="240" w:top="131" w:right="259" w:bottom="0" w:gutter="0" w:footer="0" w:header="0"/>
          <w:type w:val="continuous"/>
        </w:sectPr>
      </w:pPr>
    </w:p>
    <w:bookmarkStart w:id="27" w:name="page28"/>
    <w:bookmarkEnd w:id="27"/>
    <w:p>
      <w:pPr>
        <w:ind w:left="220"/>
        <w:spacing w:after="0"/>
        <w:rPr>
          <w:sz w:val="20"/>
          <w:szCs w:val="20"/>
          <w:color w:val="auto"/>
        </w:rPr>
      </w:pPr>
      <w:r>
        <w:rPr>
          <w:rFonts w:ascii="Arial" w:cs="Arial" w:eastAsia="Arial" w:hAnsi="Arial"/>
          <w:sz w:val="17"/>
          <w:szCs w:val="17"/>
          <w:color w:val="auto"/>
        </w:rPr>
        <w:t>The major elements contributing to the difference between the U.S. federal statutory tax rate and the consolidated effective tax rate are as follows:</w:t>
      </w:r>
    </w:p>
    <w:p>
      <w:pPr>
        <w:spacing w:after="0" w:line="193" w:lineRule="exact"/>
        <w:rPr>
          <w:sz w:val="20"/>
          <w:szCs w:val="20"/>
          <w:color w:val="auto"/>
        </w:rPr>
      </w:pPr>
    </w:p>
    <w:tbl>
      <w:tblPr>
        <w:tblLayout w:type="fixed"/>
        <w:tblInd w:w="700" w:type="dxa"/>
        <w:tblCellMar>
          <w:top w:w="0" w:type="dxa"/>
          <w:left w:w="0" w:type="dxa"/>
          <w:bottom w:w="0" w:type="dxa"/>
          <w:right w:w="0" w:type="dxa"/>
        </w:tblCellMar>
      </w:tblPr>
      <w:tr>
        <w:trPr>
          <w:trHeight w:val="249"/>
        </w:trPr>
        <w:tc>
          <w:tcPr>
            <w:tcW w:w="4920" w:type="dxa"/>
            <w:vAlign w:val="bottom"/>
            <w:shd w:val="clear" w:color="auto" w:fill="C0C0C0"/>
          </w:tcPr>
          <w:p>
            <w:pPr>
              <w:ind w:left="100"/>
              <w:spacing w:after="0"/>
              <w:rPr>
                <w:sz w:val="20"/>
                <w:szCs w:val="20"/>
                <w:color w:val="auto"/>
              </w:rPr>
            </w:pPr>
            <w:r>
              <w:rPr>
                <w:rFonts w:ascii="Arial" w:cs="Arial" w:eastAsia="Arial" w:hAnsi="Arial"/>
                <w:sz w:val="17"/>
                <w:szCs w:val="17"/>
                <w:b w:val="1"/>
                <w:bCs w:val="1"/>
                <w:color w:val="auto"/>
              </w:rPr>
              <w:t>Percentages</w:t>
            </w:r>
          </w:p>
        </w:tc>
        <w:tc>
          <w:tcPr>
            <w:tcW w:w="2340" w:type="dxa"/>
            <w:vAlign w:val="bottom"/>
            <w:gridSpan w:val="4"/>
            <w:shd w:val="clear" w:color="auto" w:fill="C0C0C0"/>
          </w:tcPr>
          <w:p>
            <w:pPr>
              <w:ind w:left="2000"/>
              <w:spacing w:after="0"/>
              <w:rPr>
                <w:sz w:val="20"/>
                <w:szCs w:val="20"/>
                <w:color w:val="auto"/>
              </w:rPr>
            </w:pPr>
            <w:r>
              <w:rPr>
                <w:rFonts w:ascii="Arial" w:cs="Arial" w:eastAsia="Arial" w:hAnsi="Arial"/>
                <w:sz w:val="17"/>
                <w:szCs w:val="17"/>
                <w:b w:val="1"/>
                <w:bCs w:val="1"/>
                <w:color w:val="auto"/>
                <w:w w:val="84"/>
              </w:rPr>
              <w:t>2000</w:t>
            </w:r>
          </w:p>
        </w:tc>
        <w:tc>
          <w:tcPr>
            <w:tcW w:w="1840" w:type="dxa"/>
            <w:vAlign w:val="bottom"/>
            <w:gridSpan w:val="4"/>
            <w:shd w:val="clear" w:color="auto" w:fill="C0C0C0"/>
          </w:tcPr>
          <w:p>
            <w:pPr>
              <w:ind w:left="1060"/>
              <w:spacing w:after="0"/>
              <w:rPr>
                <w:sz w:val="20"/>
                <w:szCs w:val="20"/>
                <w:color w:val="auto"/>
              </w:rPr>
            </w:pPr>
            <w:r>
              <w:rPr>
                <w:rFonts w:ascii="Arial" w:cs="Arial" w:eastAsia="Arial" w:hAnsi="Arial"/>
                <w:sz w:val="17"/>
                <w:szCs w:val="17"/>
                <w:b w:val="1"/>
                <w:bCs w:val="1"/>
                <w:color w:val="auto"/>
              </w:rPr>
              <w:t>1999</w:t>
            </w:r>
          </w:p>
        </w:tc>
        <w:tc>
          <w:tcPr>
            <w:tcW w:w="840" w:type="dxa"/>
            <w:vAlign w:val="bottom"/>
            <w:gridSpan w:val="4"/>
            <w:shd w:val="clear" w:color="auto" w:fill="C0C0C0"/>
          </w:tcPr>
          <w:p>
            <w:pPr>
              <w:jc w:val="center"/>
              <w:ind w:left="415"/>
              <w:spacing w:after="0"/>
              <w:rPr>
                <w:sz w:val="20"/>
                <w:szCs w:val="20"/>
                <w:color w:val="auto"/>
              </w:rPr>
            </w:pPr>
            <w:r>
              <w:rPr>
                <w:rFonts w:ascii="Arial" w:cs="Arial" w:eastAsia="Arial" w:hAnsi="Arial"/>
                <w:sz w:val="17"/>
                <w:szCs w:val="17"/>
                <w:b w:val="1"/>
                <w:bCs w:val="1"/>
                <w:color w:val="auto"/>
                <w:w w:val="89"/>
              </w:rPr>
              <w:t>1998</w:t>
            </w:r>
          </w:p>
        </w:tc>
        <w:tc>
          <w:tcPr>
            <w:tcW w:w="80" w:type="dxa"/>
            <w:vAlign w:val="bottom"/>
            <w:shd w:val="clear" w:color="auto" w:fill="C0C0C0"/>
          </w:tcPr>
          <w:p>
            <w:pPr>
              <w:spacing w:after="0"/>
              <w:rPr>
                <w:sz w:val="21"/>
                <w:szCs w:val="21"/>
                <w:color w:val="auto"/>
              </w:rPr>
            </w:pPr>
          </w:p>
        </w:tc>
      </w:tr>
      <w:tr>
        <w:trPr>
          <w:trHeight w:val="72"/>
        </w:trPr>
        <w:tc>
          <w:tcPr>
            <w:tcW w:w="4920" w:type="dxa"/>
            <w:vAlign w:val="bottom"/>
            <w:tcBorders>
              <w:top w:val="single" w:sz="8" w:color="C0C0C0"/>
            </w:tcBorders>
            <w:shd w:val="clear" w:color="auto" w:fill="C0C0C0"/>
          </w:tcPr>
          <w:p>
            <w:pPr>
              <w:spacing w:after="0"/>
              <w:rPr>
                <w:sz w:val="6"/>
                <w:szCs w:val="6"/>
                <w:color w:val="auto"/>
              </w:rPr>
            </w:pPr>
          </w:p>
        </w:tc>
        <w:tc>
          <w:tcPr>
            <w:tcW w:w="196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220" w:type="dxa"/>
            <w:vAlign w:val="bottom"/>
            <w:tcBorders>
              <w:top w:val="single" w:sz="8" w:color="auto"/>
            </w:tcBorders>
            <w:shd w:val="clear" w:color="auto" w:fill="C0C0C0"/>
          </w:tcPr>
          <w:p>
            <w:pPr>
              <w:spacing w:after="0"/>
              <w:rPr>
                <w:sz w:val="6"/>
                <w:szCs w:val="6"/>
                <w:color w:val="auto"/>
              </w:rPr>
            </w:pPr>
          </w:p>
        </w:tc>
        <w:tc>
          <w:tcPr>
            <w:tcW w:w="120" w:type="dxa"/>
            <w:vAlign w:val="bottom"/>
            <w:tcBorders>
              <w:top w:val="single" w:sz="8" w:color="auto"/>
            </w:tcBorders>
            <w:shd w:val="clear" w:color="auto" w:fill="C0C0C0"/>
          </w:tcPr>
          <w:p>
            <w:pPr>
              <w:spacing w:after="0"/>
              <w:rPr>
                <w:sz w:val="6"/>
                <w:szCs w:val="6"/>
                <w:color w:val="auto"/>
              </w:rPr>
            </w:pPr>
          </w:p>
        </w:tc>
        <w:tc>
          <w:tcPr>
            <w:tcW w:w="1060" w:type="dxa"/>
            <w:vAlign w:val="bottom"/>
            <w:tcBorders>
              <w:top w:val="single" w:sz="8" w:color="C0C0C0"/>
            </w:tcBorders>
            <w:shd w:val="clear" w:color="auto" w:fill="C0C0C0"/>
          </w:tcPr>
          <w:p>
            <w:pPr>
              <w:spacing w:after="0"/>
              <w:rPr>
                <w:sz w:val="6"/>
                <w:szCs w:val="6"/>
                <w:color w:val="auto"/>
              </w:rPr>
            </w:pPr>
          </w:p>
        </w:tc>
        <w:tc>
          <w:tcPr>
            <w:tcW w:w="220" w:type="dxa"/>
            <w:vAlign w:val="bottom"/>
            <w:tcBorders>
              <w:top w:val="single" w:sz="8" w:color="auto"/>
            </w:tcBorders>
            <w:shd w:val="clear" w:color="auto" w:fill="C0C0C0"/>
          </w:tcPr>
          <w:p>
            <w:pPr>
              <w:spacing w:after="0"/>
              <w:rPr>
                <w:sz w:val="6"/>
                <w:szCs w:val="6"/>
                <w:color w:val="auto"/>
              </w:rPr>
            </w:pPr>
          </w:p>
        </w:tc>
        <w:tc>
          <w:tcPr>
            <w:tcW w:w="120" w:type="dxa"/>
            <w:vAlign w:val="bottom"/>
            <w:tcBorders>
              <w:top w:val="single" w:sz="8" w:color="auto"/>
            </w:tcBorders>
            <w:shd w:val="clear" w:color="auto" w:fill="C0C0C0"/>
          </w:tcPr>
          <w:p>
            <w:pPr>
              <w:spacing w:after="0"/>
              <w:rPr>
                <w:sz w:val="6"/>
                <w:szCs w:val="6"/>
                <w:color w:val="auto"/>
              </w:rPr>
            </w:pPr>
          </w:p>
        </w:tc>
        <w:tc>
          <w:tcPr>
            <w:tcW w:w="440" w:type="dxa"/>
            <w:vAlign w:val="bottom"/>
            <w:tcBorders>
              <w:top w:val="single" w:sz="8" w:color="C0C0C0"/>
            </w:tcBorders>
            <w:shd w:val="clear" w:color="auto" w:fill="C0C0C0"/>
          </w:tcPr>
          <w:p>
            <w:pPr>
              <w:spacing w:after="0"/>
              <w:rPr>
                <w:sz w:val="6"/>
                <w:szCs w:val="6"/>
                <w:color w:val="auto"/>
              </w:rPr>
            </w:pPr>
          </w:p>
        </w:tc>
        <w:tc>
          <w:tcPr>
            <w:tcW w:w="50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auto"/>
            </w:tcBorders>
            <w:shd w:val="clear" w:color="auto" w:fill="C0C0C0"/>
          </w:tcPr>
          <w:p>
            <w:pPr>
              <w:spacing w:after="0"/>
              <w:rPr>
                <w:sz w:val="6"/>
                <w:szCs w:val="6"/>
                <w:color w:val="auto"/>
              </w:rPr>
            </w:pPr>
          </w:p>
        </w:tc>
        <w:tc>
          <w:tcPr>
            <w:tcW w:w="200" w:type="dxa"/>
            <w:vAlign w:val="bottom"/>
            <w:tcBorders>
              <w:top w:val="single" w:sz="8" w:color="auto"/>
            </w:tcBorders>
            <w:shd w:val="clear" w:color="auto" w:fill="C0C0C0"/>
          </w:tcPr>
          <w:p>
            <w:pPr>
              <w:spacing w:after="0"/>
              <w:rPr>
                <w:sz w:val="6"/>
                <w:szCs w:val="6"/>
                <w:color w:val="auto"/>
              </w:rPr>
            </w:pPr>
          </w:p>
        </w:tc>
        <w:tc>
          <w:tcPr>
            <w:tcW w:w="100" w:type="dxa"/>
            <w:vAlign w:val="bottom"/>
            <w:tcBorders>
              <w:top w:val="single" w:sz="8" w:color="auto"/>
            </w:tcBorders>
            <w:shd w:val="clear" w:color="auto" w:fill="C0C0C0"/>
          </w:tcPr>
          <w:p>
            <w:pPr>
              <w:spacing w:after="0"/>
              <w:rPr>
                <w:sz w:val="6"/>
                <w:szCs w:val="6"/>
                <w:color w:val="auto"/>
              </w:rPr>
            </w:pPr>
          </w:p>
        </w:tc>
        <w:tc>
          <w:tcPr>
            <w:tcW w:w="80" w:type="dxa"/>
            <w:vAlign w:val="bottom"/>
            <w:tcBorders>
              <w:top w:val="single" w:sz="8" w:color="C0C0C0"/>
            </w:tcBorders>
            <w:shd w:val="clear" w:color="auto" w:fill="C0C0C0"/>
          </w:tcPr>
          <w:p>
            <w:pPr>
              <w:spacing w:after="0"/>
              <w:rPr>
                <w:sz w:val="6"/>
                <w:szCs w:val="6"/>
                <w:color w:val="auto"/>
              </w:rPr>
            </w:pPr>
          </w:p>
        </w:tc>
      </w:tr>
      <w:tr>
        <w:trPr>
          <w:trHeight w:val="260"/>
        </w:trPr>
        <w:tc>
          <w:tcPr>
            <w:tcW w:w="4920" w:type="dxa"/>
            <w:vAlign w:val="bottom"/>
          </w:tcPr>
          <w:p>
            <w:pPr>
              <w:ind w:left="60"/>
              <w:spacing w:after="0"/>
              <w:rPr>
                <w:sz w:val="20"/>
                <w:szCs w:val="20"/>
                <w:color w:val="auto"/>
              </w:rPr>
            </w:pPr>
            <w:r>
              <w:rPr>
                <w:rFonts w:ascii="Arial" w:cs="Arial" w:eastAsia="Arial" w:hAnsi="Arial"/>
                <w:sz w:val="17"/>
                <w:szCs w:val="17"/>
                <w:color w:val="auto"/>
              </w:rPr>
              <w:t>U.S. statutory tax rate</w:t>
            </w:r>
          </w:p>
        </w:tc>
        <w:tc>
          <w:tcPr>
            <w:tcW w:w="2340" w:type="dxa"/>
            <w:vAlign w:val="bottom"/>
            <w:gridSpan w:val="4"/>
          </w:tcPr>
          <w:p>
            <w:pPr>
              <w:jc w:val="right"/>
              <w:spacing w:after="0"/>
              <w:rPr>
                <w:sz w:val="20"/>
                <w:szCs w:val="20"/>
                <w:color w:val="auto"/>
              </w:rPr>
            </w:pPr>
            <w:r>
              <w:rPr>
                <w:rFonts w:ascii="Arial" w:cs="Arial" w:eastAsia="Arial" w:hAnsi="Arial"/>
                <w:sz w:val="17"/>
                <w:szCs w:val="17"/>
                <w:color w:val="auto"/>
              </w:rPr>
              <w:t>35.0%</w:t>
            </w:r>
          </w:p>
        </w:tc>
        <w:tc>
          <w:tcPr>
            <w:tcW w:w="1840" w:type="dxa"/>
            <w:vAlign w:val="bottom"/>
            <w:gridSpan w:val="4"/>
          </w:tcPr>
          <w:p>
            <w:pPr>
              <w:jc w:val="right"/>
              <w:ind w:right="440"/>
              <w:spacing w:after="0"/>
              <w:rPr>
                <w:sz w:val="20"/>
                <w:szCs w:val="20"/>
                <w:color w:val="auto"/>
              </w:rPr>
            </w:pPr>
            <w:r>
              <w:rPr>
                <w:rFonts w:ascii="Arial" w:cs="Arial" w:eastAsia="Arial" w:hAnsi="Arial"/>
                <w:sz w:val="17"/>
                <w:szCs w:val="17"/>
                <w:color w:val="auto"/>
              </w:rPr>
              <w:t>35.0%</w:t>
            </w:r>
          </w:p>
        </w:tc>
        <w:tc>
          <w:tcPr>
            <w:tcW w:w="920" w:type="dxa"/>
            <w:vAlign w:val="bottom"/>
            <w:gridSpan w:val="5"/>
          </w:tcPr>
          <w:p>
            <w:pPr>
              <w:jc w:val="right"/>
              <w:ind w:right="40"/>
              <w:spacing w:after="0"/>
              <w:rPr>
                <w:sz w:val="20"/>
                <w:szCs w:val="20"/>
                <w:color w:val="auto"/>
              </w:rPr>
            </w:pPr>
            <w:r>
              <w:rPr>
                <w:rFonts w:ascii="Arial" w:cs="Arial" w:eastAsia="Arial" w:hAnsi="Arial"/>
                <w:sz w:val="17"/>
                <w:szCs w:val="17"/>
                <w:color w:val="auto"/>
              </w:rPr>
              <w:t>35.0%</w:t>
            </w:r>
          </w:p>
        </w:tc>
      </w:tr>
      <w:tr>
        <w:trPr>
          <w:trHeight w:val="314"/>
        </w:trPr>
        <w:tc>
          <w:tcPr>
            <w:tcW w:w="4920" w:type="dxa"/>
            <w:vAlign w:val="bottom"/>
          </w:tcPr>
          <w:p>
            <w:pPr>
              <w:ind w:left="60"/>
              <w:spacing w:after="0"/>
              <w:rPr>
                <w:sz w:val="20"/>
                <w:szCs w:val="20"/>
                <w:color w:val="auto"/>
              </w:rPr>
            </w:pPr>
            <w:r>
              <w:rPr>
                <w:rFonts w:ascii="Arial" w:cs="Arial" w:eastAsia="Arial" w:hAnsi="Arial"/>
                <w:sz w:val="17"/>
                <w:szCs w:val="17"/>
                <w:color w:val="auto"/>
              </w:rPr>
              <w:t>Depletion</w:t>
            </w:r>
          </w:p>
        </w:tc>
        <w:tc>
          <w:tcPr>
            <w:tcW w:w="2340" w:type="dxa"/>
            <w:vAlign w:val="bottom"/>
            <w:gridSpan w:val="4"/>
          </w:tcPr>
          <w:p>
            <w:pPr>
              <w:jc w:val="right"/>
              <w:ind w:right="80"/>
              <w:spacing w:after="0"/>
              <w:rPr>
                <w:sz w:val="20"/>
                <w:szCs w:val="20"/>
                <w:color w:val="auto"/>
              </w:rPr>
            </w:pPr>
            <w:r>
              <w:rPr>
                <w:rFonts w:ascii="Arial" w:cs="Arial" w:eastAsia="Arial" w:hAnsi="Arial"/>
                <w:sz w:val="17"/>
                <w:szCs w:val="17"/>
                <w:color w:val="auto"/>
              </w:rPr>
              <w:t>( 5.0)</w:t>
            </w: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( 4.1)</w:t>
            </w:r>
          </w:p>
        </w:tc>
        <w:tc>
          <w:tcPr>
            <w:tcW w:w="440" w:type="dxa"/>
            <w:vAlign w:val="bottom"/>
          </w:tcPr>
          <w:p>
            <w:pPr>
              <w:spacing w:after="0"/>
              <w:rPr>
                <w:sz w:val="24"/>
                <w:szCs w:val="2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7"/>
                <w:szCs w:val="17"/>
                <w:color w:val="auto"/>
              </w:rPr>
              <w:t>( 3.5)</w:t>
            </w:r>
          </w:p>
        </w:tc>
        <w:tc>
          <w:tcPr>
            <w:tcW w:w="80" w:type="dxa"/>
            <w:vAlign w:val="bottom"/>
          </w:tcPr>
          <w:p>
            <w:pPr>
              <w:spacing w:after="0"/>
              <w:rPr>
                <w:sz w:val="24"/>
                <w:szCs w:val="24"/>
                <w:color w:val="auto"/>
              </w:rPr>
            </w:pPr>
          </w:p>
        </w:tc>
      </w:tr>
      <w:tr>
        <w:trPr>
          <w:trHeight w:val="518"/>
        </w:trPr>
        <w:tc>
          <w:tcPr>
            <w:tcW w:w="4920" w:type="dxa"/>
            <w:vAlign w:val="bottom"/>
          </w:tcPr>
          <w:p>
            <w:pPr>
              <w:ind w:left="60"/>
              <w:spacing w:after="0"/>
              <w:rPr>
                <w:sz w:val="20"/>
                <w:szCs w:val="20"/>
                <w:color w:val="auto"/>
              </w:rPr>
            </w:pPr>
            <w:r>
              <w:rPr>
                <w:rFonts w:ascii="Arial" w:cs="Arial" w:eastAsia="Arial" w:hAnsi="Arial"/>
                <w:sz w:val="17"/>
                <w:szCs w:val="17"/>
                <w:color w:val="auto"/>
              </w:rPr>
              <w:t>Difference between tax provided on foreign</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920" w:type="dxa"/>
            <w:vAlign w:val="bottom"/>
          </w:tcPr>
          <w:p>
            <w:pPr>
              <w:ind w:left="260"/>
              <w:spacing w:after="0"/>
              <w:rPr>
                <w:sz w:val="20"/>
                <w:szCs w:val="20"/>
                <w:color w:val="auto"/>
              </w:rPr>
            </w:pPr>
            <w:r>
              <w:rPr>
                <w:rFonts w:ascii="Arial" w:cs="Arial" w:eastAsia="Arial" w:hAnsi="Arial"/>
                <w:sz w:val="17"/>
                <w:szCs w:val="17"/>
                <w:color w:val="auto"/>
              </w:rPr>
              <w:t>earnings and the U.S. statutory rate</w:t>
            </w:r>
          </w:p>
        </w:tc>
        <w:tc>
          <w:tcPr>
            <w:tcW w:w="2340" w:type="dxa"/>
            <w:vAlign w:val="bottom"/>
            <w:gridSpan w:val="4"/>
          </w:tcPr>
          <w:p>
            <w:pPr>
              <w:jc w:val="right"/>
              <w:ind w:right="80"/>
              <w:spacing w:after="0"/>
              <w:rPr>
                <w:sz w:val="20"/>
                <w:szCs w:val="20"/>
                <w:color w:val="auto"/>
              </w:rPr>
            </w:pPr>
            <w:r>
              <w:rPr>
                <w:rFonts w:ascii="Arial" w:cs="Arial" w:eastAsia="Arial" w:hAnsi="Arial"/>
                <w:sz w:val="17"/>
                <w:szCs w:val="17"/>
                <w:color w:val="auto"/>
              </w:rPr>
              <w:t>( 1.0)</w:t>
            </w: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( 0.7)</w:t>
            </w:r>
          </w:p>
        </w:tc>
        <w:tc>
          <w:tcPr>
            <w:tcW w:w="44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7"/>
                <w:szCs w:val="17"/>
                <w:color w:val="auto"/>
              </w:rPr>
              <w:t>( 0.4)</w:t>
            </w:r>
          </w:p>
        </w:tc>
        <w:tc>
          <w:tcPr>
            <w:tcW w:w="80" w:type="dxa"/>
            <w:vAlign w:val="bottom"/>
          </w:tcPr>
          <w:p>
            <w:pPr>
              <w:spacing w:after="0"/>
              <w:rPr>
                <w:sz w:val="18"/>
                <w:szCs w:val="18"/>
                <w:color w:val="auto"/>
              </w:rPr>
            </w:pPr>
          </w:p>
        </w:tc>
      </w:tr>
      <w:tr>
        <w:trPr>
          <w:trHeight w:val="314"/>
        </w:trPr>
        <w:tc>
          <w:tcPr>
            <w:tcW w:w="4920" w:type="dxa"/>
            <w:vAlign w:val="bottom"/>
          </w:tcPr>
          <w:p>
            <w:pPr>
              <w:ind w:left="60"/>
              <w:spacing w:after="0"/>
              <w:rPr>
                <w:sz w:val="20"/>
                <w:szCs w:val="20"/>
                <w:color w:val="auto"/>
              </w:rPr>
            </w:pPr>
            <w:r>
              <w:rPr>
                <w:rFonts w:ascii="Arial" w:cs="Arial" w:eastAsia="Arial" w:hAnsi="Arial"/>
                <w:sz w:val="17"/>
                <w:szCs w:val="17"/>
                <w:color w:val="auto"/>
              </w:rPr>
              <w:t>State and local taxes</w:t>
            </w:r>
          </w:p>
        </w:tc>
        <w:tc>
          <w:tcPr>
            <w:tcW w:w="2220" w:type="dxa"/>
            <w:vAlign w:val="bottom"/>
            <w:gridSpan w:val="3"/>
          </w:tcPr>
          <w:p>
            <w:pPr>
              <w:ind w:left="2000"/>
              <w:spacing w:after="0"/>
              <w:rPr>
                <w:sz w:val="20"/>
                <w:szCs w:val="20"/>
                <w:color w:val="auto"/>
              </w:rPr>
            </w:pPr>
            <w:r>
              <w:rPr>
                <w:rFonts w:ascii="Arial" w:cs="Arial" w:eastAsia="Arial" w:hAnsi="Arial"/>
                <w:sz w:val="17"/>
                <w:szCs w:val="17"/>
                <w:color w:val="auto"/>
                <w:w w:val="84"/>
              </w:rPr>
              <w:t>1.9</w:t>
            </w:r>
          </w:p>
        </w:tc>
        <w:tc>
          <w:tcPr>
            <w:tcW w:w="120" w:type="dxa"/>
            <w:vAlign w:val="bottom"/>
          </w:tcPr>
          <w:p>
            <w:pPr>
              <w:spacing w:after="0"/>
              <w:rPr>
                <w:sz w:val="24"/>
                <w:szCs w:val="24"/>
                <w:color w:val="auto"/>
              </w:rPr>
            </w:pPr>
          </w:p>
        </w:tc>
        <w:tc>
          <w:tcPr>
            <w:tcW w:w="1400" w:type="dxa"/>
            <w:vAlign w:val="bottom"/>
            <w:gridSpan w:val="3"/>
          </w:tcPr>
          <w:p>
            <w:pPr>
              <w:ind w:left="1060"/>
              <w:spacing w:after="0"/>
              <w:rPr>
                <w:sz w:val="20"/>
                <w:szCs w:val="20"/>
                <w:color w:val="auto"/>
              </w:rPr>
            </w:pPr>
            <w:r>
              <w:rPr>
                <w:rFonts w:ascii="Arial" w:cs="Arial" w:eastAsia="Arial" w:hAnsi="Arial"/>
                <w:sz w:val="17"/>
                <w:szCs w:val="17"/>
                <w:color w:val="auto"/>
              </w:rPr>
              <w:t>2.6</w:t>
            </w:r>
          </w:p>
        </w:tc>
        <w:tc>
          <w:tcPr>
            <w:tcW w:w="440" w:type="dxa"/>
            <w:vAlign w:val="bottom"/>
          </w:tcPr>
          <w:p>
            <w:pPr>
              <w:spacing w:after="0"/>
              <w:rPr>
                <w:sz w:val="24"/>
                <w:szCs w:val="24"/>
                <w:color w:val="auto"/>
              </w:rPr>
            </w:pPr>
          </w:p>
        </w:tc>
        <w:tc>
          <w:tcPr>
            <w:tcW w:w="840" w:type="dxa"/>
            <w:vAlign w:val="bottom"/>
            <w:gridSpan w:val="4"/>
          </w:tcPr>
          <w:p>
            <w:pPr>
              <w:jc w:val="center"/>
              <w:ind w:left="355"/>
              <w:spacing w:after="0"/>
              <w:rPr>
                <w:sz w:val="20"/>
                <w:szCs w:val="20"/>
                <w:color w:val="auto"/>
              </w:rPr>
            </w:pPr>
            <w:r>
              <w:rPr>
                <w:rFonts w:ascii="Arial" w:cs="Arial" w:eastAsia="Arial" w:hAnsi="Arial"/>
                <w:sz w:val="17"/>
                <w:szCs w:val="17"/>
                <w:color w:val="auto"/>
                <w:w w:val="84"/>
              </w:rPr>
              <w:t>2.0</w:t>
            </w:r>
          </w:p>
        </w:tc>
        <w:tc>
          <w:tcPr>
            <w:tcW w:w="80" w:type="dxa"/>
            <w:vAlign w:val="bottom"/>
          </w:tcPr>
          <w:p>
            <w:pPr>
              <w:spacing w:after="0"/>
              <w:rPr>
                <w:sz w:val="24"/>
                <w:szCs w:val="24"/>
                <w:color w:val="auto"/>
              </w:rPr>
            </w:pPr>
          </w:p>
        </w:tc>
      </w:tr>
      <w:tr>
        <w:trPr>
          <w:trHeight w:val="314"/>
        </w:trPr>
        <w:tc>
          <w:tcPr>
            <w:tcW w:w="4920" w:type="dxa"/>
            <w:vAlign w:val="bottom"/>
          </w:tcPr>
          <w:p>
            <w:pPr>
              <w:ind w:left="60"/>
              <w:spacing w:after="0"/>
              <w:rPr>
                <w:sz w:val="20"/>
                <w:szCs w:val="20"/>
                <w:color w:val="auto"/>
              </w:rPr>
            </w:pPr>
            <w:r>
              <w:rPr>
                <w:rFonts w:ascii="Arial" w:cs="Arial" w:eastAsia="Arial" w:hAnsi="Arial"/>
                <w:sz w:val="17"/>
                <w:szCs w:val="17"/>
                <w:color w:val="auto"/>
              </w:rPr>
              <w:t>Tax credits</w:t>
            </w:r>
          </w:p>
        </w:tc>
        <w:tc>
          <w:tcPr>
            <w:tcW w:w="2340" w:type="dxa"/>
            <w:vAlign w:val="bottom"/>
            <w:gridSpan w:val="4"/>
          </w:tcPr>
          <w:p>
            <w:pPr>
              <w:jc w:val="right"/>
              <w:ind w:right="80"/>
              <w:spacing w:after="0"/>
              <w:rPr>
                <w:sz w:val="20"/>
                <w:szCs w:val="20"/>
                <w:color w:val="auto"/>
              </w:rPr>
            </w:pPr>
            <w:r>
              <w:rPr>
                <w:rFonts w:ascii="Arial" w:cs="Arial" w:eastAsia="Arial" w:hAnsi="Arial"/>
                <w:sz w:val="17"/>
                <w:szCs w:val="17"/>
                <w:color w:val="auto"/>
              </w:rPr>
              <w:t>( 1.3)</w:t>
            </w: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( 1.9)</w:t>
            </w:r>
          </w:p>
        </w:tc>
        <w:tc>
          <w:tcPr>
            <w:tcW w:w="440" w:type="dxa"/>
            <w:vAlign w:val="bottom"/>
          </w:tcPr>
          <w:p>
            <w:pPr>
              <w:spacing w:after="0"/>
              <w:rPr>
                <w:sz w:val="24"/>
                <w:szCs w:val="2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7"/>
                <w:szCs w:val="17"/>
                <w:color w:val="auto"/>
              </w:rPr>
              <w:t>( 2.2)</w:t>
            </w:r>
          </w:p>
        </w:tc>
        <w:tc>
          <w:tcPr>
            <w:tcW w:w="80" w:type="dxa"/>
            <w:vAlign w:val="bottom"/>
          </w:tcPr>
          <w:p>
            <w:pPr>
              <w:spacing w:after="0"/>
              <w:rPr>
                <w:sz w:val="24"/>
                <w:szCs w:val="24"/>
                <w:color w:val="auto"/>
              </w:rPr>
            </w:pPr>
          </w:p>
        </w:tc>
      </w:tr>
      <w:tr>
        <w:trPr>
          <w:trHeight w:val="277"/>
        </w:trPr>
        <w:tc>
          <w:tcPr>
            <w:tcW w:w="4920" w:type="dxa"/>
            <w:vAlign w:val="bottom"/>
          </w:tcPr>
          <w:p>
            <w:pPr>
              <w:ind w:left="60"/>
              <w:spacing w:after="0"/>
              <w:rPr>
                <w:sz w:val="20"/>
                <w:szCs w:val="20"/>
                <w:color w:val="auto"/>
              </w:rPr>
            </w:pPr>
            <w:r>
              <w:rPr>
                <w:rFonts w:ascii="Arial" w:cs="Arial" w:eastAsia="Arial" w:hAnsi="Arial"/>
                <w:sz w:val="17"/>
                <w:szCs w:val="17"/>
                <w:color w:val="auto"/>
              </w:rPr>
              <w:t>Other</w:t>
            </w:r>
          </w:p>
        </w:tc>
        <w:tc>
          <w:tcPr>
            <w:tcW w:w="196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Arial" w:cs="Arial" w:eastAsia="Arial" w:hAnsi="Arial"/>
                <w:sz w:val="17"/>
                <w:szCs w:val="17"/>
                <w:color w:val="auto"/>
                <w:w w:val="84"/>
              </w:rPr>
              <w:t>0.2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7"/>
                <w:szCs w:val="17"/>
                <w:color w:val="auto"/>
                <w:w w:val="84"/>
              </w:rPr>
              <w:t>0.</w:t>
            </w:r>
            <w:r>
              <w:rPr>
                <w:rFonts w:ascii="Arial" w:cs="Arial" w:eastAsia="Arial" w:hAnsi="Arial"/>
                <w:sz w:val="17"/>
                <w:szCs w:val="17"/>
                <w:u w:val="single" w:color="auto"/>
                <w:color w:val="auto"/>
                <w:w w:val="84"/>
              </w:rPr>
              <w:t>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left="355"/>
              <w:spacing w:after="0"/>
              <w:rPr>
                <w:sz w:val="20"/>
                <w:szCs w:val="20"/>
                <w:color w:val="auto"/>
              </w:rPr>
            </w:pPr>
            <w:r>
              <w:rPr>
                <w:rFonts w:ascii="Arial" w:cs="Arial" w:eastAsia="Arial" w:hAnsi="Arial"/>
                <w:sz w:val="17"/>
                <w:szCs w:val="17"/>
                <w:color w:val="auto"/>
                <w:w w:val="84"/>
              </w:rPr>
              <w:t>0.</w:t>
            </w:r>
            <w:r>
              <w:rPr>
                <w:rFonts w:ascii="Arial" w:cs="Arial" w:eastAsia="Arial" w:hAnsi="Arial"/>
                <w:sz w:val="17"/>
                <w:szCs w:val="17"/>
                <w:u w:val="single" w:color="auto"/>
                <w:color w:val="auto"/>
                <w:w w:val="84"/>
              </w:rPr>
              <w:t>8</w:t>
            </w:r>
          </w:p>
        </w:tc>
        <w:tc>
          <w:tcPr>
            <w:tcW w:w="80" w:type="dxa"/>
            <w:vAlign w:val="bottom"/>
          </w:tcPr>
          <w:p>
            <w:pPr>
              <w:spacing w:after="0"/>
              <w:rPr>
                <w:sz w:val="24"/>
                <w:szCs w:val="24"/>
                <w:color w:val="auto"/>
              </w:rPr>
            </w:pPr>
          </w:p>
        </w:tc>
      </w:tr>
      <w:tr>
        <w:trPr>
          <w:trHeight w:val="20"/>
        </w:trPr>
        <w:tc>
          <w:tcPr>
            <w:tcW w:w="4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25"/>
        </w:trPr>
        <w:tc>
          <w:tcPr>
            <w:tcW w:w="4920" w:type="dxa"/>
            <w:vAlign w:val="bottom"/>
          </w:tcPr>
          <w:p>
            <w:pPr>
              <w:ind w:left="60"/>
              <w:spacing w:after="0"/>
              <w:rPr>
                <w:sz w:val="20"/>
                <w:szCs w:val="20"/>
                <w:color w:val="auto"/>
              </w:rPr>
            </w:pPr>
            <w:r>
              <w:rPr>
                <w:rFonts w:ascii="Arial" w:cs="Arial" w:eastAsia="Arial" w:hAnsi="Arial"/>
                <w:sz w:val="17"/>
                <w:szCs w:val="17"/>
                <w:color w:val="auto"/>
              </w:rPr>
              <w:t>Consolidated effective tax rate</w:t>
            </w:r>
          </w:p>
        </w:tc>
        <w:tc>
          <w:tcPr>
            <w:tcW w:w="2340" w:type="dxa"/>
            <w:vAlign w:val="bottom"/>
            <w:gridSpan w:val="4"/>
          </w:tcPr>
          <w:p>
            <w:pPr>
              <w:jc w:val="right"/>
              <w:spacing w:after="0"/>
              <w:rPr>
                <w:sz w:val="20"/>
                <w:szCs w:val="20"/>
                <w:color w:val="auto"/>
              </w:rPr>
            </w:pPr>
            <w:r>
              <w:rPr>
                <w:rFonts w:ascii="Arial" w:cs="Arial" w:eastAsia="Arial" w:hAnsi="Arial"/>
                <w:sz w:val="17"/>
                <w:szCs w:val="17"/>
                <w:color w:val="auto"/>
              </w:rPr>
              <w:t>29.8%</w:t>
            </w:r>
          </w:p>
        </w:tc>
        <w:tc>
          <w:tcPr>
            <w:tcW w:w="1840" w:type="dxa"/>
            <w:vAlign w:val="bottom"/>
            <w:gridSpan w:val="4"/>
          </w:tcPr>
          <w:p>
            <w:pPr>
              <w:jc w:val="right"/>
              <w:ind w:right="440"/>
              <w:spacing w:after="0"/>
              <w:rPr>
                <w:sz w:val="20"/>
                <w:szCs w:val="20"/>
                <w:color w:val="auto"/>
              </w:rPr>
            </w:pPr>
            <w:r>
              <w:rPr>
                <w:rFonts w:ascii="Arial" w:cs="Arial" w:eastAsia="Arial" w:hAnsi="Arial"/>
                <w:sz w:val="17"/>
                <w:szCs w:val="17"/>
                <w:color w:val="auto"/>
              </w:rPr>
              <w:t>31.3%</w:t>
            </w:r>
          </w:p>
        </w:tc>
        <w:tc>
          <w:tcPr>
            <w:tcW w:w="920" w:type="dxa"/>
            <w:vAlign w:val="bottom"/>
            <w:gridSpan w:val="5"/>
          </w:tcPr>
          <w:p>
            <w:pPr>
              <w:jc w:val="right"/>
              <w:ind w:right="40"/>
              <w:spacing w:after="0"/>
              <w:rPr>
                <w:sz w:val="20"/>
                <w:szCs w:val="20"/>
                <w:color w:val="auto"/>
              </w:rPr>
            </w:pPr>
            <w:r>
              <w:rPr>
                <w:rFonts w:ascii="Arial" w:cs="Arial" w:eastAsia="Arial" w:hAnsi="Arial"/>
                <w:sz w:val="17"/>
                <w:szCs w:val="17"/>
                <w:color w:val="auto"/>
              </w:rPr>
              <w:t>31.7%</w:t>
            </w:r>
          </w:p>
        </w:tc>
      </w:tr>
      <w:tr>
        <w:trPr>
          <w:trHeight w:val="216"/>
        </w:trPr>
        <w:tc>
          <w:tcPr>
            <w:tcW w:w="4920" w:type="dxa"/>
            <w:vAlign w:val="bottom"/>
          </w:tcPr>
          <w:p>
            <w:pPr>
              <w:spacing w:after="0"/>
              <w:rPr>
                <w:sz w:val="18"/>
                <w:szCs w:val="18"/>
                <w:color w:val="auto"/>
              </w:rPr>
            </w:pPr>
          </w:p>
        </w:tc>
        <w:tc>
          <w:tcPr>
            <w:tcW w:w="234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40" w:type="dxa"/>
            <w:vAlign w:val="bottom"/>
            <w:gridSpan w:val="4"/>
          </w:tcPr>
          <w:p>
            <w:pPr>
              <w:jc w:val="center"/>
              <w:ind w:left="37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bl>
    <w:p>
      <w:pPr>
        <w:spacing w:after="0" w:line="216" w:lineRule="exact"/>
        <w:rPr>
          <w:sz w:val="20"/>
          <w:szCs w:val="20"/>
          <w:color w:val="auto"/>
        </w:rPr>
      </w:pPr>
    </w:p>
    <w:p>
      <w:pPr>
        <w:jc w:val="both"/>
        <w:ind w:firstLine="212"/>
        <w:spacing w:after="0" w:line="282" w:lineRule="auto"/>
        <w:rPr>
          <w:sz w:val="20"/>
          <w:szCs w:val="20"/>
          <w:color w:val="auto"/>
        </w:rPr>
      </w:pPr>
      <w:r>
        <w:rPr>
          <w:rFonts w:ascii="Arial" w:cs="Arial" w:eastAsia="Arial" w:hAnsi="Arial"/>
          <w:sz w:val="17"/>
          <w:szCs w:val="17"/>
          <w:color w:val="auto"/>
        </w:rPr>
        <w:t>The Company believes that its accrued liabilities are sufficient to cover its U.S. and foreign tax contingencies. The tax effects of temporary differences that give rise to significant portions of the deferred tax assets and deferred tax liabilities are presented below:</w:t>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249"/>
        </w:trPr>
        <w:tc>
          <w:tcPr>
            <w:tcW w:w="6580" w:type="dxa"/>
            <w:vAlign w:val="bottom"/>
            <w:shd w:val="clear" w:color="auto" w:fill="C0C0C0"/>
          </w:tcPr>
          <w:p>
            <w:pPr>
              <w:ind w:left="100"/>
              <w:spacing w:after="0"/>
              <w:rPr>
                <w:sz w:val="20"/>
                <w:szCs w:val="20"/>
                <w:color w:val="auto"/>
              </w:rPr>
            </w:pPr>
            <w:r>
              <w:rPr>
                <w:rFonts w:ascii="Arial" w:cs="Arial" w:eastAsia="Arial" w:hAnsi="Arial"/>
                <w:sz w:val="17"/>
                <w:szCs w:val="17"/>
                <w:b w:val="1"/>
                <w:bCs w:val="1"/>
                <w:color w:val="auto"/>
              </w:rPr>
              <w:t>Thousands of Dollars</w:t>
            </w:r>
          </w:p>
        </w:tc>
        <w:tc>
          <w:tcPr>
            <w:tcW w:w="1660" w:type="dxa"/>
            <w:vAlign w:val="bottom"/>
            <w:shd w:val="clear" w:color="auto" w:fill="C0C0C0"/>
          </w:tcPr>
          <w:p>
            <w:pPr>
              <w:spacing w:after="0"/>
              <w:rPr>
                <w:sz w:val="21"/>
                <w:szCs w:val="21"/>
                <w:color w:val="auto"/>
              </w:rPr>
            </w:pPr>
          </w:p>
        </w:tc>
        <w:tc>
          <w:tcPr>
            <w:tcW w:w="460" w:type="dxa"/>
            <w:vAlign w:val="bottom"/>
            <w:gridSpan w:val="3"/>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840" w:type="dxa"/>
            <w:vAlign w:val="bottom"/>
            <w:shd w:val="clear" w:color="auto" w:fill="C0C0C0"/>
          </w:tcPr>
          <w:p>
            <w:pPr>
              <w:spacing w:after="0"/>
              <w:rPr>
                <w:sz w:val="21"/>
                <w:szCs w:val="21"/>
                <w:color w:val="auto"/>
              </w:rPr>
            </w:pPr>
          </w:p>
        </w:tc>
        <w:tc>
          <w:tcPr>
            <w:tcW w:w="480" w:type="dxa"/>
            <w:vAlign w:val="bottom"/>
            <w:gridSpan w:val="4"/>
            <w:shd w:val="clear" w:color="auto" w:fill="C0C0C0"/>
          </w:tcPr>
          <w:p>
            <w:pPr>
              <w:jc w:val="right"/>
              <w:ind w:right="40"/>
              <w:spacing w:after="0"/>
              <w:rPr>
                <w:sz w:val="20"/>
                <w:szCs w:val="20"/>
                <w:color w:val="auto"/>
              </w:rPr>
            </w:pPr>
            <w:r>
              <w:rPr>
                <w:rFonts w:ascii="Arial" w:cs="Arial" w:eastAsia="Arial" w:hAnsi="Arial"/>
                <w:sz w:val="17"/>
                <w:szCs w:val="17"/>
                <w:b w:val="1"/>
                <w:bCs w:val="1"/>
                <w:color w:val="auto"/>
              </w:rPr>
              <w:t>1999</w:t>
            </w:r>
          </w:p>
        </w:tc>
        <w:tc>
          <w:tcPr>
            <w:tcW w:w="60" w:type="dxa"/>
            <w:vAlign w:val="bottom"/>
            <w:shd w:val="clear" w:color="auto" w:fill="C0C0C0"/>
          </w:tcPr>
          <w:p>
            <w:pPr>
              <w:spacing w:after="0"/>
              <w:rPr>
                <w:sz w:val="21"/>
                <w:szCs w:val="21"/>
                <w:color w:val="auto"/>
              </w:rPr>
            </w:pPr>
          </w:p>
        </w:tc>
      </w:tr>
      <w:tr>
        <w:trPr>
          <w:trHeight w:val="72"/>
        </w:trPr>
        <w:tc>
          <w:tcPr>
            <w:tcW w:w="6580" w:type="dxa"/>
            <w:vAlign w:val="bottom"/>
            <w:tcBorders>
              <w:top w:val="single" w:sz="8" w:color="C0C0C0"/>
            </w:tcBorders>
            <w:shd w:val="clear" w:color="auto" w:fill="C0C0C0"/>
          </w:tcPr>
          <w:p>
            <w:pPr>
              <w:spacing w:after="0"/>
              <w:rPr>
                <w:sz w:val="6"/>
                <w:szCs w:val="6"/>
                <w:color w:val="auto"/>
              </w:rPr>
            </w:pPr>
          </w:p>
        </w:tc>
        <w:tc>
          <w:tcPr>
            <w:tcW w:w="166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8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840" w:type="dxa"/>
            <w:vAlign w:val="bottom"/>
            <w:tcBorders>
              <w:top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r>
      <w:tr>
        <w:trPr>
          <w:trHeight w:val="286"/>
        </w:trPr>
        <w:tc>
          <w:tcPr>
            <w:tcW w:w="6580" w:type="dxa"/>
            <w:vAlign w:val="bottom"/>
          </w:tcPr>
          <w:p>
            <w:pPr>
              <w:ind w:left="60"/>
              <w:spacing w:after="0"/>
              <w:rPr>
                <w:sz w:val="20"/>
                <w:szCs w:val="20"/>
                <w:color w:val="auto"/>
              </w:rPr>
            </w:pPr>
            <w:r>
              <w:rPr>
                <w:rFonts w:ascii="Arial" w:cs="Arial" w:eastAsia="Arial" w:hAnsi="Arial"/>
                <w:sz w:val="17"/>
                <w:szCs w:val="17"/>
                <w:color w:val="auto"/>
              </w:rPr>
              <w:t>Deferred tax assets:</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8"/>
        </w:trPr>
        <w:tc>
          <w:tcPr>
            <w:tcW w:w="6580" w:type="dxa"/>
            <w:vAlign w:val="bottom"/>
          </w:tcPr>
          <w:p>
            <w:pPr>
              <w:ind w:left="60"/>
              <w:spacing w:after="0"/>
              <w:rPr>
                <w:sz w:val="20"/>
                <w:szCs w:val="20"/>
                <w:color w:val="auto"/>
              </w:rPr>
            </w:pPr>
            <w:r>
              <w:rPr>
                <w:rFonts w:ascii="Arial" w:cs="Arial" w:eastAsia="Arial" w:hAnsi="Arial"/>
                <w:sz w:val="17"/>
                <w:szCs w:val="17"/>
                <w:color w:val="auto"/>
              </w:rPr>
              <w:t>Pension and postretirement benefits cost reported for financial statement</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80" w:type="dxa"/>
            <w:vAlign w:val="bottom"/>
          </w:tcPr>
          <w:p>
            <w:pPr>
              <w:ind w:left="260"/>
              <w:spacing w:after="0"/>
              <w:rPr>
                <w:sz w:val="20"/>
                <w:szCs w:val="20"/>
                <w:color w:val="auto"/>
              </w:rPr>
            </w:pPr>
            <w:r>
              <w:rPr>
                <w:rFonts w:ascii="Arial" w:cs="Arial" w:eastAsia="Arial" w:hAnsi="Arial"/>
                <w:sz w:val="17"/>
                <w:szCs w:val="17"/>
                <w:color w:val="auto"/>
              </w:rPr>
              <w:t>purposes in excess of amounts deductible for tax purposes</w:t>
            </w: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4,123</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4"/>
          </w:tcPr>
          <w:p>
            <w:pPr>
              <w:jc w:val="right"/>
              <w:spacing w:after="0"/>
              <w:rPr>
                <w:sz w:val="20"/>
                <w:szCs w:val="20"/>
                <w:color w:val="auto"/>
              </w:rPr>
            </w:pPr>
            <w:r>
              <w:rPr>
                <w:rFonts w:ascii="Arial" w:cs="Arial" w:eastAsia="Arial" w:hAnsi="Arial"/>
                <w:sz w:val="17"/>
                <w:szCs w:val="17"/>
                <w:color w:val="auto"/>
              </w:rPr>
              <w:t>5,219</w:t>
            </w:r>
          </w:p>
        </w:tc>
        <w:tc>
          <w:tcPr>
            <w:tcW w:w="60" w:type="dxa"/>
            <w:vAlign w:val="bottom"/>
          </w:tcPr>
          <w:p>
            <w:pPr>
              <w:spacing w:after="0"/>
              <w:rPr>
                <w:sz w:val="18"/>
                <w:szCs w:val="18"/>
                <w:color w:val="auto"/>
              </w:rPr>
            </w:pPr>
          </w:p>
        </w:tc>
      </w:tr>
      <w:tr>
        <w:trPr>
          <w:trHeight w:val="314"/>
        </w:trPr>
        <w:tc>
          <w:tcPr>
            <w:tcW w:w="6580" w:type="dxa"/>
            <w:vAlign w:val="bottom"/>
          </w:tcPr>
          <w:p>
            <w:pPr>
              <w:ind w:left="60"/>
              <w:spacing w:after="0"/>
              <w:rPr>
                <w:sz w:val="20"/>
                <w:szCs w:val="20"/>
                <w:color w:val="auto"/>
              </w:rPr>
            </w:pPr>
            <w:r>
              <w:rPr>
                <w:rFonts w:ascii="Arial" w:cs="Arial" w:eastAsia="Arial" w:hAnsi="Arial"/>
                <w:sz w:val="17"/>
                <w:szCs w:val="17"/>
                <w:color w:val="auto"/>
              </w:rPr>
              <w:t>State and local taxes</w:t>
            </w:r>
          </w:p>
        </w:tc>
        <w:tc>
          <w:tcPr>
            <w:tcW w:w="16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2,869</w:t>
            </w:r>
          </w:p>
        </w:tc>
        <w:tc>
          <w:tcPr>
            <w:tcW w:w="84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rPr>
              <w:t>2,935</w:t>
            </w:r>
          </w:p>
        </w:tc>
        <w:tc>
          <w:tcPr>
            <w:tcW w:w="60" w:type="dxa"/>
            <w:vAlign w:val="bottom"/>
          </w:tcPr>
          <w:p>
            <w:pPr>
              <w:spacing w:after="0"/>
              <w:rPr>
                <w:sz w:val="24"/>
                <w:szCs w:val="24"/>
                <w:color w:val="auto"/>
              </w:rPr>
            </w:pPr>
          </w:p>
        </w:tc>
      </w:tr>
      <w:tr>
        <w:trPr>
          <w:trHeight w:val="314"/>
        </w:trPr>
        <w:tc>
          <w:tcPr>
            <w:tcW w:w="6580" w:type="dxa"/>
            <w:vAlign w:val="bottom"/>
          </w:tcPr>
          <w:p>
            <w:pPr>
              <w:ind w:left="60"/>
              <w:spacing w:after="0"/>
              <w:rPr>
                <w:sz w:val="20"/>
                <w:szCs w:val="20"/>
                <w:color w:val="auto"/>
              </w:rPr>
            </w:pPr>
            <w:r>
              <w:rPr>
                <w:rFonts w:ascii="Arial" w:cs="Arial" w:eastAsia="Arial" w:hAnsi="Arial"/>
                <w:sz w:val="17"/>
                <w:szCs w:val="17"/>
                <w:color w:val="auto"/>
              </w:rPr>
              <w:t>Accrued expenses</w:t>
            </w:r>
          </w:p>
        </w:tc>
        <w:tc>
          <w:tcPr>
            <w:tcW w:w="16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2,489</w:t>
            </w:r>
          </w:p>
        </w:tc>
        <w:tc>
          <w:tcPr>
            <w:tcW w:w="84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rPr>
              <w:t>2,747</w:t>
            </w:r>
          </w:p>
        </w:tc>
        <w:tc>
          <w:tcPr>
            <w:tcW w:w="60" w:type="dxa"/>
            <w:vAlign w:val="bottom"/>
          </w:tcPr>
          <w:p>
            <w:pPr>
              <w:spacing w:after="0"/>
              <w:rPr>
                <w:sz w:val="24"/>
                <w:szCs w:val="24"/>
                <w:color w:val="auto"/>
              </w:rPr>
            </w:pPr>
          </w:p>
        </w:tc>
      </w:tr>
      <w:tr>
        <w:trPr>
          <w:trHeight w:val="277"/>
        </w:trPr>
        <w:tc>
          <w:tcPr>
            <w:tcW w:w="6580" w:type="dxa"/>
            <w:vAlign w:val="bottom"/>
          </w:tcPr>
          <w:p>
            <w:pPr>
              <w:ind w:left="60"/>
              <w:spacing w:after="0"/>
              <w:rPr>
                <w:sz w:val="20"/>
                <w:szCs w:val="20"/>
                <w:color w:val="auto"/>
              </w:rPr>
            </w:pPr>
            <w:r>
              <w:rPr>
                <w:rFonts w:ascii="Arial" w:cs="Arial" w:eastAsia="Arial" w:hAnsi="Arial"/>
                <w:sz w:val="17"/>
                <w:szCs w:val="17"/>
                <w:color w:val="auto"/>
              </w:rPr>
              <w:t>Other</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3,657</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3"/>
              </w:rPr>
              <w:t>3,778</w:t>
            </w:r>
          </w:p>
        </w:tc>
        <w:tc>
          <w:tcPr>
            <w:tcW w:w="60" w:type="dxa"/>
            <w:vAlign w:val="bottom"/>
          </w:tcPr>
          <w:p>
            <w:pPr>
              <w:spacing w:after="0"/>
              <w:rPr>
                <w:sz w:val="24"/>
                <w:szCs w:val="24"/>
                <w:color w:val="auto"/>
              </w:rPr>
            </w:pPr>
          </w:p>
        </w:tc>
      </w:tr>
      <w:tr>
        <w:trPr>
          <w:trHeight w:val="294"/>
        </w:trPr>
        <w:tc>
          <w:tcPr>
            <w:tcW w:w="6580" w:type="dxa"/>
            <w:vAlign w:val="bottom"/>
          </w:tcPr>
          <w:p>
            <w:pPr>
              <w:ind w:left="60"/>
              <w:spacing w:after="0"/>
              <w:rPr>
                <w:sz w:val="20"/>
                <w:szCs w:val="20"/>
                <w:color w:val="auto"/>
              </w:rPr>
            </w:pPr>
            <w:r>
              <w:rPr>
                <w:rFonts w:ascii="Arial" w:cs="Arial" w:eastAsia="Arial" w:hAnsi="Arial"/>
                <w:sz w:val="17"/>
                <w:szCs w:val="17"/>
                <w:color w:val="auto"/>
              </w:rPr>
              <w:t>Total deferred tax assets</w:t>
            </w:r>
          </w:p>
        </w:tc>
        <w:tc>
          <w:tcPr>
            <w:tcW w:w="1660" w:type="dxa"/>
            <w:vAlign w:val="bottom"/>
          </w:tcPr>
          <w:p>
            <w:pPr>
              <w:spacing w:after="0"/>
              <w:rPr>
                <w:sz w:val="24"/>
                <w:szCs w:val="24"/>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4"/>
              </w:rPr>
              <w:t>13,138</w:t>
            </w:r>
          </w:p>
        </w:tc>
        <w:tc>
          <w:tcPr>
            <w:tcW w:w="840" w:type="dxa"/>
            <w:vAlign w:val="bottom"/>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88"/>
              </w:rPr>
              <w:t>14,679</w:t>
            </w:r>
          </w:p>
        </w:tc>
        <w:tc>
          <w:tcPr>
            <w:tcW w:w="60" w:type="dxa"/>
            <w:vAlign w:val="bottom"/>
          </w:tcPr>
          <w:p>
            <w:pPr>
              <w:spacing w:after="0"/>
              <w:rPr>
                <w:sz w:val="24"/>
                <w:szCs w:val="24"/>
                <w:color w:val="auto"/>
              </w:rPr>
            </w:pPr>
          </w:p>
        </w:tc>
      </w:tr>
      <w:tr>
        <w:trPr>
          <w:trHeight w:val="698"/>
        </w:trPr>
        <w:tc>
          <w:tcPr>
            <w:tcW w:w="6580" w:type="dxa"/>
            <w:vAlign w:val="bottom"/>
          </w:tcPr>
          <w:p>
            <w:pPr>
              <w:ind w:left="60"/>
              <w:spacing w:after="0"/>
              <w:rPr>
                <w:sz w:val="20"/>
                <w:szCs w:val="20"/>
                <w:color w:val="auto"/>
              </w:rPr>
            </w:pPr>
            <w:r>
              <w:rPr>
                <w:rFonts w:ascii="Arial" w:cs="Arial" w:eastAsia="Arial" w:hAnsi="Arial"/>
                <w:sz w:val="17"/>
                <w:szCs w:val="17"/>
                <w:color w:val="auto"/>
              </w:rPr>
              <w:t>Deferred tax liabilities:</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4"/>
        </w:trPr>
        <w:tc>
          <w:tcPr>
            <w:tcW w:w="6580" w:type="dxa"/>
            <w:vAlign w:val="bottom"/>
          </w:tcPr>
          <w:p>
            <w:pPr>
              <w:ind w:left="60"/>
              <w:spacing w:after="0"/>
              <w:rPr>
                <w:sz w:val="20"/>
                <w:szCs w:val="20"/>
                <w:color w:val="auto"/>
              </w:rPr>
            </w:pPr>
            <w:r>
              <w:rPr>
                <w:rFonts w:ascii="Arial" w:cs="Arial" w:eastAsia="Arial" w:hAnsi="Arial"/>
                <w:sz w:val="17"/>
                <w:szCs w:val="17"/>
                <w:color w:val="auto"/>
              </w:rPr>
              <w:t>Plant and equipment, principally due to differences in depreciation</w:t>
            </w:r>
          </w:p>
        </w:tc>
        <w:tc>
          <w:tcPr>
            <w:tcW w:w="16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w w:val="84"/>
              </w:rPr>
              <w:t>61,114</w:t>
            </w:r>
          </w:p>
        </w:tc>
        <w:tc>
          <w:tcPr>
            <w:tcW w:w="84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7"/>
                <w:szCs w:val="17"/>
                <w:color w:val="auto"/>
                <w:w w:val="88"/>
              </w:rPr>
              <w:t>60,838</w:t>
            </w:r>
          </w:p>
        </w:tc>
        <w:tc>
          <w:tcPr>
            <w:tcW w:w="60" w:type="dxa"/>
            <w:vAlign w:val="bottom"/>
          </w:tcPr>
          <w:p>
            <w:pPr>
              <w:spacing w:after="0"/>
              <w:rPr>
                <w:sz w:val="24"/>
                <w:szCs w:val="24"/>
                <w:color w:val="auto"/>
              </w:rPr>
            </w:pPr>
          </w:p>
        </w:tc>
      </w:tr>
      <w:tr>
        <w:trPr>
          <w:trHeight w:val="277"/>
        </w:trPr>
        <w:tc>
          <w:tcPr>
            <w:tcW w:w="6580" w:type="dxa"/>
            <w:vAlign w:val="bottom"/>
          </w:tcPr>
          <w:p>
            <w:pPr>
              <w:ind w:left="60"/>
              <w:spacing w:after="0"/>
              <w:rPr>
                <w:sz w:val="20"/>
                <w:szCs w:val="20"/>
                <w:color w:val="auto"/>
              </w:rPr>
            </w:pPr>
            <w:r>
              <w:rPr>
                <w:rFonts w:ascii="Arial" w:cs="Arial" w:eastAsia="Arial" w:hAnsi="Arial"/>
                <w:sz w:val="17"/>
                <w:szCs w:val="17"/>
                <w:color w:val="auto"/>
              </w:rPr>
              <w:t>Other</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2,462</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3"/>
              </w:rPr>
              <w:t>3,856</w:t>
            </w:r>
          </w:p>
        </w:tc>
        <w:tc>
          <w:tcPr>
            <w:tcW w:w="60" w:type="dxa"/>
            <w:vAlign w:val="bottom"/>
          </w:tcPr>
          <w:p>
            <w:pPr>
              <w:spacing w:after="0"/>
              <w:rPr>
                <w:sz w:val="24"/>
                <w:szCs w:val="24"/>
                <w:color w:val="auto"/>
              </w:rPr>
            </w:pPr>
          </w:p>
        </w:tc>
      </w:tr>
      <w:tr>
        <w:trPr>
          <w:trHeight w:val="294"/>
        </w:trPr>
        <w:tc>
          <w:tcPr>
            <w:tcW w:w="6580" w:type="dxa"/>
            <w:vAlign w:val="bottom"/>
          </w:tcPr>
          <w:p>
            <w:pPr>
              <w:ind w:left="60"/>
              <w:spacing w:after="0"/>
              <w:rPr>
                <w:sz w:val="20"/>
                <w:szCs w:val="20"/>
                <w:color w:val="auto"/>
              </w:rPr>
            </w:pPr>
            <w:r>
              <w:rPr>
                <w:rFonts w:ascii="Arial" w:cs="Arial" w:eastAsia="Arial" w:hAnsi="Arial"/>
                <w:sz w:val="17"/>
                <w:szCs w:val="17"/>
                <w:color w:val="auto"/>
              </w:rPr>
              <w:t>Total deferred tax liabilities</w:t>
            </w:r>
          </w:p>
        </w:tc>
        <w:tc>
          <w:tcPr>
            <w:tcW w:w="1660" w:type="dxa"/>
            <w:vAlign w:val="bottom"/>
          </w:tcPr>
          <w:p>
            <w:pPr>
              <w:spacing w:after="0"/>
              <w:rPr>
                <w:sz w:val="24"/>
                <w:szCs w:val="24"/>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4"/>
              </w:rPr>
              <w:t>63,576</w:t>
            </w:r>
          </w:p>
        </w:tc>
        <w:tc>
          <w:tcPr>
            <w:tcW w:w="840" w:type="dxa"/>
            <w:vAlign w:val="bottom"/>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88"/>
              </w:rPr>
              <w:t>64,694</w:t>
            </w:r>
          </w:p>
        </w:tc>
        <w:tc>
          <w:tcPr>
            <w:tcW w:w="60" w:type="dxa"/>
            <w:vAlign w:val="bottom"/>
          </w:tcPr>
          <w:p>
            <w:pPr>
              <w:spacing w:after="0"/>
              <w:rPr>
                <w:sz w:val="24"/>
                <w:szCs w:val="24"/>
                <w:color w:val="auto"/>
              </w:rPr>
            </w:pPr>
          </w:p>
        </w:tc>
      </w:tr>
      <w:tr>
        <w:trPr>
          <w:trHeight w:val="665"/>
        </w:trPr>
        <w:tc>
          <w:tcPr>
            <w:tcW w:w="6580" w:type="dxa"/>
            <w:vAlign w:val="bottom"/>
          </w:tcPr>
          <w:p>
            <w:pPr>
              <w:ind w:left="60"/>
              <w:spacing w:after="0"/>
              <w:rPr>
                <w:sz w:val="20"/>
                <w:szCs w:val="20"/>
                <w:color w:val="auto"/>
              </w:rPr>
            </w:pPr>
            <w:r>
              <w:rPr>
                <w:rFonts w:ascii="Arial" w:cs="Arial" w:eastAsia="Arial" w:hAnsi="Arial"/>
                <w:sz w:val="17"/>
                <w:szCs w:val="17"/>
                <w:color w:val="auto"/>
              </w:rPr>
              <w:t>Net deferred tax liabilities</w:t>
            </w: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w w:val="84"/>
              </w:rPr>
              <w:t>50,438</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4"/>
          </w:tcPr>
          <w:p>
            <w:pPr>
              <w:jc w:val="right"/>
              <w:spacing w:after="0"/>
              <w:rPr>
                <w:sz w:val="20"/>
                <w:szCs w:val="20"/>
                <w:color w:val="auto"/>
              </w:rPr>
            </w:pPr>
            <w:r>
              <w:rPr>
                <w:rFonts w:ascii="Arial" w:cs="Arial" w:eastAsia="Arial" w:hAnsi="Arial"/>
                <w:sz w:val="17"/>
                <w:szCs w:val="17"/>
                <w:color w:val="auto"/>
                <w:w w:val="88"/>
              </w:rPr>
              <w:t>50,015</w:t>
            </w:r>
          </w:p>
        </w:tc>
        <w:tc>
          <w:tcPr>
            <w:tcW w:w="60" w:type="dxa"/>
            <w:vAlign w:val="bottom"/>
          </w:tcPr>
          <w:p>
            <w:pPr>
              <w:spacing w:after="0"/>
              <w:rPr>
                <w:sz w:val="24"/>
                <w:szCs w:val="24"/>
                <w:color w:val="auto"/>
              </w:rPr>
            </w:pPr>
          </w:p>
        </w:tc>
      </w:tr>
      <w:tr>
        <w:trPr>
          <w:trHeight w:val="216"/>
        </w:trPr>
        <w:tc>
          <w:tcPr>
            <w:tcW w:w="658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6"/>
          </w:tcPr>
          <w:p>
            <w:pPr>
              <w:jc w:val="right"/>
              <w:ind w:right="60"/>
              <w:spacing w:after="0"/>
              <w:rPr>
                <w:sz w:val="20"/>
                <w:szCs w:val="20"/>
                <w:color w:val="auto"/>
              </w:rPr>
            </w:pPr>
            <w:r>
              <w:rPr>
                <w:rFonts w:ascii="Arial" w:cs="Arial" w:eastAsia="Arial" w:hAnsi="Arial"/>
                <w:sz w:val="17"/>
                <w:szCs w:val="17"/>
                <w:color w:val="auto"/>
              </w:rPr>
              <w:t>=====</w:t>
            </w:r>
          </w:p>
        </w:tc>
      </w:tr>
    </w:tbl>
    <w:p>
      <w:pPr>
        <w:spacing w:after="0" w:line="216" w:lineRule="exact"/>
        <w:rPr>
          <w:sz w:val="20"/>
          <w:szCs w:val="20"/>
          <w:color w:val="auto"/>
        </w:rPr>
      </w:pPr>
    </w:p>
    <w:p>
      <w:pPr>
        <w:jc w:val="both"/>
        <w:ind w:firstLine="223"/>
        <w:spacing w:after="0" w:line="282" w:lineRule="auto"/>
        <w:rPr>
          <w:sz w:val="20"/>
          <w:szCs w:val="20"/>
          <w:color w:val="auto"/>
        </w:rPr>
      </w:pPr>
      <w:r>
        <w:rPr>
          <w:rFonts w:ascii="Arial" w:cs="Arial" w:eastAsia="Arial" w:hAnsi="Arial"/>
          <w:sz w:val="17"/>
          <w:szCs w:val="17"/>
          <w:color w:val="auto"/>
        </w:rPr>
        <w:t>A valuation allowance for deferred tax assets has not been recorded since management believes it is more likely than not that the existing net deductible temporary differences will reverse during periods in which the Company generates net taxable income.</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cash paid for income taxes was $24.9 million, $14.7 million, and $18.3 million for the years ended December 31, 2000, 1999 and 1998,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Operations</w:t>
      </w:r>
    </w:p>
    <w:p>
      <w:pPr>
        <w:spacing w:after="0" w:line="188" w:lineRule="exact"/>
        <w:rPr>
          <w:sz w:val="20"/>
          <w:szCs w:val="20"/>
          <w:color w:val="auto"/>
        </w:rPr>
      </w:pPr>
    </w:p>
    <w:p>
      <w:pPr>
        <w:jc w:val="both"/>
        <w:ind w:firstLine="242"/>
        <w:spacing w:after="0" w:line="263" w:lineRule="auto"/>
        <w:rPr>
          <w:sz w:val="20"/>
          <w:szCs w:val="20"/>
          <w:color w:val="auto"/>
        </w:rPr>
      </w:pPr>
      <w:r>
        <w:rPr>
          <w:rFonts w:ascii="Arial" w:cs="Arial" w:eastAsia="Arial" w:hAnsi="Arial"/>
          <w:sz w:val="17"/>
          <w:szCs w:val="17"/>
          <w:color w:val="auto"/>
        </w:rPr>
        <w:t>The Company has not provided for U.S. federal and foreign withholding taxes on $82.9 million of foreign subsidiaries' undistributed earnings as of December 31, 2000 because such earnings, for the most part, are intended to be reinvested overseas. To the extent the parent company has received foreign earnings as dividends, the foreign taxes paid on those earnings have generated tax credits, which have substantially offset related U.S. income taxes. On repatriation, certain foreign countries impose withholding taxes. The amount of withholding tax that would be payable on remittance of the entire amount of undistributed earnings would approximate $2.0 million.</w:t>
      </w:r>
    </w:p>
    <w:p>
      <w:pPr>
        <w:spacing w:after="0" w:line="147"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7"/>
          <w:szCs w:val="17"/>
          <w:color w:val="auto"/>
        </w:rPr>
        <w:t>Net foreign currency exchange losses, included in other deductions in the Consolidated Statement of Income, were $425,000, $427,000, and $932,000 for the years ended December 31, 2000, 1999 and 1998, respectively.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is a summary of inventories by major category: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660" w:type="dxa"/>
            <w:vAlign w:val="bottom"/>
            <w:shd w:val="clear" w:color="auto" w:fill="C0C0C0"/>
          </w:tcPr>
          <w:p>
            <w:pPr>
              <w:ind w:left="100"/>
              <w:spacing w:after="0"/>
              <w:rPr>
                <w:sz w:val="20"/>
                <w:szCs w:val="20"/>
                <w:color w:val="auto"/>
              </w:rPr>
            </w:pPr>
            <w:r>
              <w:rPr>
                <w:rFonts w:ascii="Arial" w:cs="Arial" w:eastAsia="Arial" w:hAnsi="Arial"/>
                <w:sz w:val="17"/>
                <w:szCs w:val="17"/>
                <w:b w:val="1"/>
                <w:bCs w:val="1"/>
                <w:color w:val="auto"/>
              </w:rPr>
              <w:t>Thousands of Dollars</w:t>
            </w:r>
          </w:p>
        </w:tc>
        <w:tc>
          <w:tcPr>
            <w:tcW w:w="156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142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b w:val="1"/>
                <w:bCs w:val="1"/>
                <w:color w:val="auto"/>
              </w:rPr>
              <w:t>1999</w:t>
            </w:r>
          </w:p>
        </w:tc>
      </w:tr>
      <w:tr>
        <w:trPr>
          <w:trHeight w:val="72"/>
        </w:trPr>
        <w:tc>
          <w:tcPr>
            <w:tcW w:w="2660" w:type="dxa"/>
            <w:vAlign w:val="bottom"/>
            <w:tcBorders>
              <w:top w:val="single" w:sz="8" w:color="C0C0C0"/>
            </w:tcBorders>
            <w:shd w:val="clear" w:color="auto" w:fill="C0C0C0"/>
          </w:tcPr>
          <w:p>
            <w:pPr>
              <w:spacing w:after="0"/>
              <w:rPr>
                <w:sz w:val="6"/>
                <w:szCs w:val="6"/>
                <w:color w:val="auto"/>
              </w:rPr>
            </w:pPr>
          </w:p>
        </w:tc>
        <w:tc>
          <w:tcPr>
            <w:tcW w:w="122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104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r>
      <w:tr>
        <w:trPr>
          <w:trHeight w:val="260"/>
        </w:trPr>
        <w:tc>
          <w:tcPr>
            <w:tcW w:w="2660" w:type="dxa"/>
            <w:vAlign w:val="bottom"/>
          </w:tcPr>
          <w:p>
            <w:pPr>
              <w:ind w:left="60"/>
              <w:spacing w:after="0"/>
              <w:rPr>
                <w:sz w:val="20"/>
                <w:szCs w:val="20"/>
                <w:color w:val="auto"/>
              </w:rPr>
            </w:pPr>
            <w:r>
              <w:rPr>
                <w:rFonts w:ascii="Arial" w:cs="Arial" w:eastAsia="Arial" w:hAnsi="Arial"/>
                <w:sz w:val="17"/>
                <w:szCs w:val="17"/>
                <w:color w:val="auto"/>
              </w:rPr>
              <w:t>Raw materials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$24,717</w:t>
            </w:r>
          </w:p>
        </w:tc>
        <w:tc>
          <w:tcPr>
            <w:tcW w:w="1420" w:type="dxa"/>
            <w:vAlign w:val="bottom"/>
            <w:gridSpan w:val="3"/>
          </w:tcPr>
          <w:p>
            <w:pPr>
              <w:jc w:val="right"/>
              <w:ind w:right="40"/>
              <w:spacing w:after="0"/>
              <w:rPr>
                <w:sz w:val="20"/>
                <w:szCs w:val="20"/>
                <w:color w:val="auto"/>
              </w:rPr>
            </w:pPr>
            <w:r>
              <w:rPr>
                <w:rFonts w:ascii="Arial" w:cs="Arial" w:eastAsia="Arial" w:hAnsi="Arial"/>
                <w:sz w:val="17"/>
                <w:szCs w:val="17"/>
                <w:color w:val="auto"/>
              </w:rPr>
              <w:t>$25,049</w:t>
            </w:r>
          </w:p>
        </w:tc>
      </w:tr>
      <w:tr>
        <w:trPr>
          <w:trHeight w:val="314"/>
        </w:trPr>
        <w:tc>
          <w:tcPr>
            <w:tcW w:w="2660" w:type="dxa"/>
            <w:vAlign w:val="bottom"/>
          </w:tcPr>
          <w:p>
            <w:pPr>
              <w:ind w:left="60"/>
              <w:spacing w:after="0"/>
              <w:rPr>
                <w:sz w:val="20"/>
                <w:szCs w:val="20"/>
                <w:color w:val="auto"/>
              </w:rPr>
            </w:pPr>
            <w:r>
              <w:rPr>
                <w:rFonts w:ascii="Arial" w:cs="Arial" w:eastAsia="Arial" w:hAnsi="Arial"/>
                <w:sz w:val="17"/>
                <w:szCs w:val="17"/>
                <w:color w:val="auto"/>
              </w:rPr>
              <w:t>Work in process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7,541</w:t>
            </w:r>
          </w:p>
        </w:tc>
        <w:tc>
          <w:tcPr>
            <w:tcW w:w="1420" w:type="dxa"/>
            <w:vAlign w:val="bottom"/>
            <w:gridSpan w:val="3"/>
          </w:tcPr>
          <w:p>
            <w:pPr>
              <w:jc w:val="right"/>
              <w:ind w:right="40"/>
              <w:spacing w:after="0"/>
              <w:rPr>
                <w:sz w:val="20"/>
                <w:szCs w:val="20"/>
                <w:color w:val="auto"/>
              </w:rPr>
            </w:pPr>
            <w:r>
              <w:rPr>
                <w:rFonts w:ascii="Arial" w:cs="Arial" w:eastAsia="Arial" w:hAnsi="Arial"/>
                <w:sz w:val="17"/>
                <w:szCs w:val="17"/>
                <w:color w:val="auto"/>
              </w:rPr>
              <w:t>5,171</w:t>
            </w:r>
          </w:p>
        </w:tc>
      </w:tr>
      <w:tr>
        <w:trPr>
          <w:trHeight w:val="314"/>
        </w:trPr>
        <w:tc>
          <w:tcPr>
            <w:tcW w:w="2660" w:type="dxa"/>
            <w:vAlign w:val="bottom"/>
          </w:tcPr>
          <w:p>
            <w:pPr>
              <w:ind w:left="60"/>
              <w:spacing w:after="0"/>
              <w:rPr>
                <w:sz w:val="20"/>
                <w:szCs w:val="20"/>
                <w:color w:val="auto"/>
              </w:rPr>
            </w:pPr>
            <w:r>
              <w:rPr>
                <w:rFonts w:ascii="Arial" w:cs="Arial" w:eastAsia="Arial" w:hAnsi="Arial"/>
                <w:sz w:val="17"/>
                <w:szCs w:val="17"/>
                <w:color w:val="auto"/>
              </w:rPr>
              <w:t>Finished goods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20,700</w:t>
            </w:r>
          </w:p>
        </w:tc>
        <w:tc>
          <w:tcPr>
            <w:tcW w:w="1420" w:type="dxa"/>
            <w:vAlign w:val="bottom"/>
            <w:gridSpan w:val="3"/>
          </w:tcPr>
          <w:p>
            <w:pPr>
              <w:jc w:val="right"/>
              <w:ind w:right="40"/>
              <w:spacing w:after="0"/>
              <w:rPr>
                <w:sz w:val="20"/>
                <w:szCs w:val="20"/>
                <w:color w:val="auto"/>
              </w:rPr>
            </w:pPr>
            <w:r>
              <w:rPr>
                <w:rFonts w:ascii="Arial" w:cs="Arial" w:eastAsia="Arial" w:hAnsi="Arial"/>
                <w:sz w:val="17"/>
                <w:szCs w:val="17"/>
                <w:color w:val="auto"/>
              </w:rPr>
              <w:t>19,913</w:t>
            </w:r>
          </w:p>
        </w:tc>
      </w:tr>
    </w:tbl>
    <w:p>
      <w:pPr>
        <w:sectPr>
          <w:pgSz w:w="11900" w:h="16838" w:orient="portrait"/>
          <w:cols w:equalWidth="0" w:num="1">
            <w:col w:w="11420"/>
          </w:cols>
          <w:pgMar w:left="240" w:top="131" w:right="239" w:bottom="0" w:gutter="0" w:footer="0" w:header="0"/>
        </w:sectPr>
      </w:pPr>
    </w:p>
    <w:bookmarkStart w:id="28" w:name="page29"/>
    <w:bookmarkEnd w:id="28"/>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600" w:type="dxa"/>
            <w:vAlign w:val="bottom"/>
          </w:tcPr>
          <w:p>
            <w:pPr>
              <w:spacing w:after="0"/>
              <w:rPr>
                <w:sz w:val="20"/>
                <w:szCs w:val="20"/>
                <w:color w:val="auto"/>
              </w:rPr>
            </w:pPr>
            <w:r>
              <w:rPr>
                <w:rFonts w:ascii="Arial" w:cs="Arial" w:eastAsia="Arial" w:hAnsi="Arial"/>
                <w:sz w:val="17"/>
                <w:szCs w:val="17"/>
                <w:color w:val="auto"/>
              </w:rPr>
              <w:t>Packaging and supplies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18,925</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17,294</w:t>
            </w:r>
          </w:p>
        </w:tc>
      </w:tr>
      <w:tr>
        <w:trPr>
          <w:trHeight w:val="20"/>
        </w:trPr>
        <w:tc>
          <w:tcPr>
            <w:tcW w:w="2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325"/>
        </w:trPr>
        <w:tc>
          <w:tcPr>
            <w:tcW w:w="2600" w:type="dxa"/>
            <w:vAlign w:val="bottom"/>
          </w:tcPr>
          <w:p>
            <w:pPr>
              <w:spacing w:after="0"/>
              <w:rPr>
                <w:sz w:val="20"/>
                <w:szCs w:val="20"/>
                <w:color w:val="auto"/>
              </w:rPr>
            </w:pPr>
            <w:r>
              <w:rPr>
                <w:rFonts w:ascii="Arial" w:cs="Arial" w:eastAsia="Arial" w:hAnsi="Arial"/>
                <w:sz w:val="17"/>
                <w:szCs w:val="17"/>
                <w:color w:val="auto"/>
              </w:rPr>
              <w:t>Total inventories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$71,883</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$67,427</w:t>
            </w:r>
          </w:p>
        </w:tc>
      </w:tr>
      <w:tr>
        <w:trPr>
          <w:trHeight w:val="216"/>
        </w:trPr>
        <w:tc>
          <w:tcPr>
            <w:tcW w:w="26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major categories of property, plant and equipment and accumulated depreciation and depletion are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160" w:type="dxa"/>
            <w:vAlign w:val="bottom"/>
            <w:shd w:val="clear" w:color="auto" w:fill="C0C0C0"/>
          </w:tcPr>
          <w:p>
            <w:pPr>
              <w:ind w:left="100"/>
              <w:spacing w:after="0"/>
              <w:rPr>
                <w:sz w:val="20"/>
                <w:szCs w:val="20"/>
                <w:color w:val="auto"/>
              </w:rPr>
            </w:pPr>
            <w:r>
              <w:rPr>
                <w:rFonts w:ascii="Arial" w:cs="Arial" w:eastAsia="Arial" w:hAnsi="Arial"/>
                <w:sz w:val="17"/>
                <w:szCs w:val="17"/>
                <w:b w:val="1"/>
                <w:bCs w:val="1"/>
                <w:color w:val="auto"/>
              </w:rPr>
              <w:t>Thousands of Dollars</w:t>
            </w:r>
          </w:p>
        </w:tc>
        <w:tc>
          <w:tcPr>
            <w:tcW w:w="1720" w:type="dxa"/>
            <w:vAlign w:val="bottom"/>
            <w:gridSpan w:val="4"/>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2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0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b w:val="1"/>
                <w:bCs w:val="1"/>
                <w:color w:val="auto"/>
              </w:rPr>
              <w:t>1999</w:t>
            </w:r>
          </w:p>
        </w:tc>
      </w:tr>
      <w:tr>
        <w:trPr>
          <w:trHeight w:val="72"/>
        </w:trPr>
        <w:tc>
          <w:tcPr>
            <w:tcW w:w="4160" w:type="dxa"/>
            <w:vAlign w:val="bottom"/>
            <w:tcBorders>
              <w:top w:val="single" w:sz="8" w:color="C0C0C0"/>
            </w:tcBorders>
            <w:shd w:val="clear" w:color="auto" w:fill="C0C0C0"/>
          </w:tcPr>
          <w:p>
            <w:pPr>
              <w:spacing w:after="0"/>
              <w:rPr>
                <w:sz w:val="6"/>
                <w:szCs w:val="6"/>
                <w:color w:val="auto"/>
              </w:rPr>
            </w:pPr>
          </w:p>
        </w:tc>
        <w:tc>
          <w:tcPr>
            <w:tcW w:w="104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30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26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C0C0C0"/>
            </w:tcBorders>
            <w:shd w:val="clear" w:color="auto" w:fill="C0C0C0"/>
          </w:tcPr>
          <w:p>
            <w:pPr>
              <w:spacing w:after="0"/>
              <w:rPr>
                <w:sz w:val="6"/>
                <w:szCs w:val="6"/>
                <w:color w:val="auto"/>
              </w:rPr>
            </w:pPr>
          </w:p>
        </w:tc>
        <w:tc>
          <w:tcPr>
            <w:tcW w:w="22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r>
      <w:tr>
        <w:trPr>
          <w:trHeight w:val="260"/>
        </w:trPr>
        <w:tc>
          <w:tcPr>
            <w:tcW w:w="4160" w:type="dxa"/>
            <w:vAlign w:val="bottom"/>
          </w:tcPr>
          <w:p>
            <w:pPr>
              <w:ind w:left="60"/>
              <w:spacing w:after="0"/>
              <w:rPr>
                <w:sz w:val="20"/>
                <w:szCs w:val="20"/>
                <w:color w:val="auto"/>
              </w:rPr>
            </w:pPr>
            <w:r>
              <w:rPr>
                <w:rFonts w:ascii="Arial" w:cs="Arial" w:eastAsia="Arial" w:hAnsi="Arial"/>
                <w:sz w:val="17"/>
                <w:szCs w:val="17"/>
                <w:color w:val="auto"/>
              </w:rPr>
              <w:t>Land</w:t>
            </w: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   20,664</w:t>
            </w:r>
          </w:p>
        </w:tc>
        <w:tc>
          <w:tcPr>
            <w:tcW w:w="2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21,998</w:t>
            </w:r>
          </w:p>
        </w:tc>
      </w:tr>
      <w:tr>
        <w:trPr>
          <w:trHeight w:val="314"/>
        </w:trPr>
        <w:tc>
          <w:tcPr>
            <w:tcW w:w="4160" w:type="dxa"/>
            <w:vAlign w:val="bottom"/>
          </w:tcPr>
          <w:p>
            <w:pPr>
              <w:ind w:left="60"/>
              <w:spacing w:after="0"/>
              <w:rPr>
                <w:sz w:val="20"/>
                <w:szCs w:val="20"/>
                <w:color w:val="auto"/>
              </w:rPr>
            </w:pPr>
            <w:r>
              <w:rPr>
                <w:rFonts w:ascii="Arial" w:cs="Arial" w:eastAsia="Arial" w:hAnsi="Arial"/>
                <w:sz w:val="17"/>
                <w:szCs w:val="17"/>
                <w:color w:val="auto"/>
              </w:rPr>
              <w:t>Quarries/mining properties</w:t>
            </w: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22,455</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20,211</w:t>
            </w:r>
          </w:p>
        </w:tc>
      </w:tr>
      <w:tr>
        <w:trPr>
          <w:trHeight w:val="314"/>
        </w:trPr>
        <w:tc>
          <w:tcPr>
            <w:tcW w:w="4160" w:type="dxa"/>
            <w:vAlign w:val="bottom"/>
          </w:tcPr>
          <w:p>
            <w:pPr>
              <w:ind w:left="60"/>
              <w:spacing w:after="0"/>
              <w:rPr>
                <w:sz w:val="20"/>
                <w:szCs w:val="20"/>
                <w:color w:val="auto"/>
              </w:rPr>
            </w:pPr>
            <w:r>
              <w:rPr>
                <w:rFonts w:ascii="Arial" w:cs="Arial" w:eastAsia="Arial" w:hAnsi="Arial"/>
                <w:sz w:val="17"/>
                <w:szCs w:val="17"/>
                <w:color w:val="auto"/>
              </w:rPr>
              <w:t>Buildings</w:t>
            </w: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135,146</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w w:val="87"/>
              </w:rPr>
              <w:t>121,435</w:t>
            </w:r>
          </w:p>
        </w:tc>
      </w:tr>
      <w:tr>
        <w:trPr>
          <w:trHeight w:val="314"/>
        </w:trPr>
        <w:tc>
          <w:tcPr>
            <w:tcW w:w="4160" w:type="dxa"/>
            <w:vAlign w:val="bottom"/>
          </w:tcPr>
          <w:p>
            <w:pPr>
              <w:ind w:left="60"/>
              <w:spacing w:after="0"/>
              <w:rPr>
                <w:sz w:val="20"/>
                <w:szCs w:val="20"/>
                <w:color w:val="auto"/>
              </w:rPr>
            </w:pPr>
            <w:r>
              <w:rPr>
                <w:rFonts w:ascii="Arial" w:cs="Arial" w:eastAsia="Arial" w:hAnsi="Arial"/>
                <w:sz w:val="17"/>
                <w:szCs w:val="17"/>
                <w:color w:val="auto"/>
              </w:rPr>
              <w:t>Machinery and equipment</w:t>
            </w: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710,794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w w:val="87"/>
              </w:rPr>
              <w:t>681,060</w:t>
            </w:r>
          </w:p>
        </w:tc>
      </w:tr>
      <w:tr>
        <w:trPr>
          <w:trHeight w:val="314"/>
        </w:trPr>
        <w:tc>
          <w:tcPr>
            <w:tcW w:w="4160" w:type="dxa"/>
            <w:vAlign w:val="bottom"/>
          </w:tcPr>
          <w:p>
            <w:pPr>
              <w:ind w:left="60"/>
              <w:spacing w:after="0"/>
              <w:rPr>
                <w:sz w:val="20"/>
                <w:szCs w:val="20"/>
                <w:color w:val="auto"/>
              </w:rPr>
            </w:pPr>
            <w:r>
              <w:rPr>
                <w:rFonts w:ascii="Arial" w:cs="Arial" w:eastAsia="Arial" w:hAnsi="Arial"/>
                <w:sz w:val="17"/>
                <w:szCs w:val="17"/>
                <w:color w:val="auto"/>
              </w:rPr>
              <w:t>Construction in progress</w:t>
            </w: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54,330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43,726</w:t>
            </w:r>
          </w:p>
        </w:tc>
      </w:tr>
      <w:tr>
        <w:trPr>
          <w:trHeight w:val="277"/>
        </w:trPr>
        <w:tc>
          <w:tcPr>
            <w:tcW w:w="4160" w:type="dxa"/>
            <w:vAlign w:val="bottom"/>
          </w:tcPr>
          <w:p>
            <w:pPr>
              <w:ind w:left="60"/>
              <w:spacing w:after="0"/>
              <w:rPr>
                <w:sz w:val="20"/>
                <w:szCs w:val="20"/>
                <w:color w:val="auto"/>
              </w:rPr>
            </w:pPr>
            <w:r>
              <w:rPr>
                <w:rFonts w:ascii="Arial" w:cs="Arial" w:eastAsia="Arial" w:hAnsi="Arial"/>
                <w:sz w:val="17"/>
                <w:szCs w:val="17"/>
                <w:color w:val="auto"/>
              </w:rPr>
              <w:t>Furniture and fixtures and other</w:t>
            </w:r>
          </w:p>
        </w:tc>
        <w:tc>
          <w:tcPr>
            <w:tcW w:w="1040" w:type="dxa"/>
            <w:vAlign w:val="bottom"/>
          </w:tcPr>
          <w:p>
            <w:pPr>
              <w:spacing w:after="0"/>
              <w:rPr>
                <w:sz w:val="24"/>
                <w:szCs w:val="2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71,354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66,613</w:t>
            </w:r>
          </w:p>
        </w:tc>
        <w:tc>
          <w:tcPr>
            <w:tcW w:w="40" w:type="dxa"/>
            <w:vAlign w:val="bottom"/>
          </w:tcPr>
          <w:p>
            <w:pPr>
              <w:spacing w:after="0"/>
              <w:rPr>
                <w:sz w:val="24"/>
                <w:szCs w:val="24"/>
                <w:color w:val="auto"/>
              </w:rPr>
            </w:pPr>
          </w:p>
        </w:tc>
      </w:tr>
      <w:tr>
        <w:trPr>
          <w:trHeight w:val="357"/>
        </w:trPr>
        <w:tc>
          <w:tcPr>
            <w:tcW w:w="416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1,014,743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w w:val="87"/>
              </w:rPr>
              <w:t>955,043</w:t>
            </w:r>
          </w:p>
        </w:tc>
      </w:tr>
      <w:tr>
        <w:trPr>
          <w:trHeight w:val="277"/>
        </w:trPr>
        <w:tc>
          <w:tcPr>
            <w:tcW w:w="4160" w:type="dxa"/>
            <w:vAlign w:val="bottom"/>
          </w:tcPr>
          <w:p>
            <w:pPr>
              <w:ind w:left="60"/>
              <w:spacing w:after="0"/>
              <w:rPr>
                <w:sz w:val="20"/>
                <w:szCs w:val="20"/>
                <w:color w:val="auto"/>
              </w:rPr>
            </w:pPr>
            <w:r>
              <w:rPr>
                <w:rFonts w:ascii="Arial" w:cs="Arial" w:eastAsia="Arial" w:hAnsi="Arial"/>
                <w:sz w:val="17"/>
                <w:szCs w:val="17"/>
                <w:color w:val="auto"/>
              </w:rPr>
              <w:t>Less: Accumulated depreciation and depletion</w:t>
            </w:r>
          </w:p>
        </w:tc>
        <w:tc>
          <w:tcPr>
            <w:tcW w:w="1080" w:type="dxa"/>
            <w:vAlign w:val="bottom"/>
            <w:gridSpan w:val="2"/>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466,534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7"/>
              </w:rPr>
              <w:t>433,047</w:t>
            </w:r>
          </w:p>
        </w:tc>
        <w:tc>
          <w:tcPr>
            <w:tcW w:w="40" w:type="dxa"/>
            <w:vAlign w:val="bottom"/>
          </w:tcPr>
          <w:p>
            <w:pPr>
              <w:spacing w:after="0"/>
              <w:rPr>
                <w:sz w:val="24"/>
                <w:szCs w:val="24"/>
                <w:color w:val="auto"/>
              </w:rPr>
            </w:pPr>
          </w:p>
        </w:tc>
      </w:tr>
      <w:tr>
        <w:trPr>
          <w:trHeight w:val="325"/>
        </w:trPr>
        <w:tc>
          <w:tcPr>
            <w:tcW w:w="416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$ 548,209</w:t>
            </w:r>
          </w:p>
        </w:tc>
        <w:tc>
          <w:tcPr>
            <w:tcW w:w="2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w w:val="87"/>
              </w:rPr>
              <w:t>521,996</w:t>
            </w:r>
          </w:p>
        </w:tc>
      </w:tr>
      <w:tr>
        <w:trPr>
          <w:trHeight w:val="216"/>
        </w:trPr>
        <w:tc>
          <w:tcPr>
            <w:tcW w:w="4160" w:type="dxa"/>
            <w:vAlign w:val="bottom"/>
          </w:tcPr>
          <w:p>
            <w:pPr>
              <w:spacing w:after="0"/>
              <w:rPr>
                <w:sz w:val="18"/>
                <w:szCs w:val="18"/>
                <w:color w:val="auto"/>
              </w:rPr>
            </w:pPr>
          </w:p>
        </w:tc>
        <w:tc>
          <w:tcPr>
            <w:tcW w:w="1980" w:type="dxa"/>
            <w:vAlign w:val="bottom"/>
            <w:gridSpan w:val="5"/>
          </w:tcPr>
          <w:p>
            <w:pPr>
              <w:jc w:val="right"/>
              <w:ind w:right="260"/>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and Divestiture</w:t>
      </w:r>
    </w:p>
    <w:p>
      <w:pPr>
        <w:spacing w:after="0" w:line="188" w:lineRule="exact"/>
        <w:rPr>
          <w:sz w:val="20"/>
          <w:szCs w:val="20"/>
          <w:color w:val="auto"/>
        </w:rPr>
      </w:pPr>
    </w:p>
    <w:p>
      <w:pPr>
        <w:ind w:firstLine="213"/>
        <w:spacing w:after="0" w:line="269" w:lineRule="auto"/>
        <w:rPr>
          <w:sz w:val="20"/>
          <w:szCs w:val="20"/>
          <w:color w:val="auto"/>
        </w:rPr>
      </w:pPr>
      <w:r>
        <w:rPr>
          <w:rFonts w:ascii="Arial" w:cs="Arial" w:eastAsia="Arial" w:hAnsi="Arial"/>
          <w:sz w:val="17"/>
          <w:szCs w:val="17"/>
          <w:color w:val="auto"/>
        </w:rPr>
        <w:t>In April 2000 the Company acquired, for approximately $12.6 million, Ferrotron Elektronik GmbH, a manufacturer of advanced laser scanning devices, sensors and other instrumentation specially designed for the steel industry. The transaction was accounted for as a purchase. The purchase price exceeded the fair value of the net assets acquired by approximately $5 million, which is being amortized on a straight-line basis over 20 years.</w:t>
      </w:r>
    </w:p>
    <w:p>
      <w:pPr>
        <w:spacing w:after="0" w:line="141" w:lineRule="exact"/>
        <w:rPr>
          <w:sz w:val="20"/>
          <w:szCs w:val="20"/>
          <w:color w:val="auto"/>
        </w:rPr>
      </w:pPr>
    </w:p>
    <w:p>
      <w:pPr>
        <w:ind w:right="40" w:firstLine="213"/>
        <w:spacing w:after="0" w:line="265" w:lineRule="auto"/>
        <w:rPr>
          <w:sz w:val="20"/>
          <w:szCs w:val="20"/>
          <w:color w:val="auto"/>
        </w:rPr>
      </w:pPr>
      <w:r>
        <w:rPr>
          <w:rFonts w:ascii="Arial" w:cs="Arial" w:eastAsia="Arial" w:hAnsi="Arial"/>
          <w:sz w:val="17"/>
          <w:szCs w:val="17"/>
          <w:color w:val="auto"/>
        </w:rPr>
        <w:t>On April 30, 1998 the Company acquired, for approximately $34 million in cash, a precipitated calcium carbonate (PCC) manufacturing facility in the United Kingdom from Rhodia Limited. This acquisition allowed the Company to establish a base for its specialty PCC business in Europe. The transaction was accounted for as a purchase. The purchase price exceeded the fair value of the net assets acquired by approximately $8 million, which is being amortized on a straight-line basis over 25 years.</w:t>
      </w:r>
    </w:p>
    <w:p>
      <w:pPr>
        <w:spacing w:after="0" w:line="145" w:lineRule="exact"/>
        <w:rPr>
          <w:sz w:val="20"/>
          <w:szCs w:val="20"/>
          <w:color w:val="auto"/>
        </w:rPr>
      </w:pPr>
    </w:p>
    <w:p>
      <w:pPr>
        <w:ind w:right="280" w:firstLine="213"/>
        <w:spacing w:after="0" w:line="282" w:lineRule="auto"/>
        <w:rPr>
          <w:sz w:val="20"/>
          <w:szCs w:val="20"/>
          <w:color w:val="auto"/>
        </w:rPr>
      </w:pPr>
      <w:r>
        <w:rPr>
          <w:rFonts w:ascii="Arial" w:cs="Arial" w:eastAsia="Arial" w:hAnsi="Arial"/>
          <w:sz w:val="17"/>
          <w:szCs w:val="17"/>
          <w:color w:val="auto"/>
        </w:rPr>
        <w:t>On April 28, 1998 the Company sold its limestone operation in Port Inland, Michigan, to Oglebay Norton Company for cash and receivables approximating $34 million. The sales price approximated the net book value of the assets.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and Concentrations of Credit Risk</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methods and assumptions were used to estimate the fair value of each class of financial instrument:</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Cash and cash equivalents, accounts receivable and payable, and accrued liabilities: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carrying amounts approximate fair value because of the short maturity of these instruments.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Available-for-sale securities: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Available-for-sale securities are presented in accordance with SFAS No. 115, "Accounting for Certain Investments in Debt and Equity Securities."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values are based on quoted market prices and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6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b w:val="1"/>
                <w:bCs w:val="1"/>
                <w:color w:val="auto"/>
              </w:rPr>
              <w:t>Thousands of Dollars</w:t>
            </w:r>
          </w:p>
        </w:tc>
        <w:tc>
          <w:tcPr>
            <w:tcW w:w="180" w:type="dxa"/>
            <w:vAlign w:val="bottom"/>
            <w:tcBorders>
              <w:bottom w:val="single" w:sz="8" w:color="auto"/>
            </w:tcBorders>
            <w:shd w:val="clear" w:color="auto" w:fill="C0C0C0"/>
          </w:tcPr>
          <w:p>
            <w:pPr>
              <w:spacing w:after="0"/>
              <w:rPr>
                <w:sz w:val="22"/>
                <w:szCs w:val="22"/>
                <w:color w:val="auto"/>
              </w:rPr>
            </w:pPr>
          </w:p>
        </w:tc>
        <w:tc>
          <w:tcPr>
            <w:tcW w:w="400" w:type="dxa"/>
            <w:vAlign w:val="bottom"/>
            <w:tcBorders>
              <w:bottom w:val="single" w:sz="8" w:color="auto"/>
            </w:tcBorders>
            <w:shd w:val="clear" w:color="auto" w:fill="C0C0C0"/>
          </w:tcPr>
          <w:p>
            <w:pPr>
              <w:spacing w:after="0"/>
              <w:rPr>
                <w:sz w:val="22"/>
                <w:szCs w:val="22"/>
                <w:color w:val="auto"/>
              </w:rPr>
            </w:pPr>
          </w:p>
        </w:tc>
        <w:tc>
          <w:tcPr>
            <w:tcW w:w="200" w:type="dxa"/>
            <w:vAlign w:val="bottom"/>
            <w:tcBorders>
              <w:bottom w:val="single" w:sz="8" w:color="auto"/>
            </w:tcBorders>
            <w:shd w:val="clear" w:color="auto" w:fill="C0C0C0"/>
          </w:tcPr>
          <w:p>
            <w:pPr>
              <w:spacing w:after="0"/>
              <w:rPr>
                <w:sz w:val="22"/>
                <w:szCs w:val="22"/>
                <w:color w:val="auto"/>
              </w:rPr>
            </w:pPr>
          </w:p>
        </w:tc>
        <w:tc>
          <w:tcPr>
            <w:tcW w:w="1060" w:type="dxa"/>
            <w:vAlign w:val="bottom"/>
            <w:tcBorders>
              <w:bottom w:val="single" w:sz="8" w:color="auto"/>
            </w:tcBorders>
            <w:shd w:val="clear" w:color="auto" w:fill="C0C0C0"/>
          </w:tcPr>
          <w:p>
            <w:pPr>
              <w:jc w:val="right"/>
              <w:ind w:right="475"/>
              <w:spacing w:after="0"/>
              <w:rPr>
                <w:sz w:val="20"/>
                <w:szCs w:val="20"/>
                <w:color w:val="auto"/>
              </w:rPr>
            </w:pPr>
            <w:r>
              <w:rPr>
                <w:rFonts w:ascii="Arial" w:cs="Arial" w:eastAsia="Arial" w:hAnsi="Arial"/>
                <w:sz w:val="17"/>
                <w:szCs w:val="17"/>
                <w:b w:val="1"/>
                <w:bCs w:val="1"/>
                <w:color w:val="auto"/>
              </w:rPr>
              <w:t>2000</w:t>
            </w:r>
          </w:p>
        </w:tc>
        <w:tc>
          <w:tcPr>
            <w:tcW w:w="420" w:type="dxa"/>
            <w:vAlign w:val="bottom"/>
            <w:tcBorders>
              <w:bottom w:val="single" w:sz="8" w:color="auto"/>
            </w:tcBorders>
            <w:shd w:val="clear" w:color="auto" w:fill="C0C0C0"/>
          </w:tcPr>
          <w:p>
            <w:pPr>
              <w:spacing w:after="0"/>
              <w:rPr>
                <w:sz w:val="22"/>
                <w:szCs w:val="22"/>
                <w:color w:val="auto"/>
              </w:rPr>
            </w:pPr>
          </w:p>
        </w:tc>
        <w:tc>
          <w:tcPr>
            <w:tcW w:w="140" w:type="dxa"/>
            <w:vAlign w:val="bottom"/>
            <w:tcBorders>
              <w:bottom w:val="single" w:sz="8" w:color="auto"/>
            </w:tcBorders>
            <w:shd w:val="clear" w:color="auto" w:fill="C0C0C0"/>
          </w:tcPr>
          <w:p>
            <w:pPr>
              <w:spacing w:after="0"/>
              <w:rPr>
                <w:sz w:val="22"/>
                <w:szCs w:val="22"/>
                <w:color w:val="auto"/>
              </w:rPr>
            </w:pPr>
          </w:p>
        </w:tc>
        <w:tc>
          <w:tcPr>
            <w:tcW w:w="40" w:type="dxa"/>
            <w:vAlign w:val="bottom"/>
            <w:tcBorders>
              <w:bottom w:val="single" w:sz="8" w:color="auto"/>
            </w:tcBorders>
            <w:shd w:val="clear" w:color="auto" w:fill="C0C0C0"/>
          </w:tcPr>
          <w:p>
            <w:pPr>
              <w:spacing w:after="0"/>
              <w:rPr>
                <w:sz w:val="22"/>
                <w:szCs w:val="22"/>
                <w:color w:val="auto"/>
              </w:rPr>
            </w:pPr>
          </w:p>
        </w:tc>
        <w:tc>
          <w:tcPr>
            <w:tcW w:w="54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24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auto"/>
            </w:tcBorders>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1300" w:type="dxa"/>
            <w:vAlign w:val="bottom"/>
            <w:tcBorders>
              <w:bottom w:val="single" w:sz="8" w:color="auto"/>
            </w:tcBorders>
            <w:gridSpan w:val="2"/>
            <w:shd w:val="clear" w:color="auto" w:fill="C0C0C0"/>
          </w:tcPr>
          <w:p>
            <w:pPr>
              <w:jc w:val="right"/>
              <w:ind w:right="295"/>
              <w:spacing w:after="0"/>
              <w:rPr>
                <w:sz w:val="20"/>
                <w:szCs w:val="20"/>
                <w:color w:val="auto"/>
              </w:rPr>
            </w:pPr>
            <w:r>
              <w:rPr>
                <w:rFonts w:ascii="Arial" w:cs="Arial" w:eastAsia="Arial" w:hAnsi="Arial"/>
                <w:sz w:val="17"/>
                <w:szCs w:val="17"/>
                <w:b w:val="1"/>
                <w:bCs w:val="1"/>
                <w:color w:val="auto"/>
              </w:rPr>
              <w:t>1999</w:t>
            </w:r>
          </w:p>
        </w:tc>
        <w:tc>
          <w:tcPr>
            <w:tcW w:w="140" w:type="dxa"/>
            <w:vAlign w:val="bottom"/>
            <w:tcBorders>
              <w:bottom w:val="single" w:sz="8" w:color="auto"/>
            </w:tcBorders>
            <w:shd w:val="clear" w:color="auto" w:fill="C0C0C0"/>
          </w:tcPr>
          <w:p>
            <w:pPr>
              <w:spacing w:after="0"/>
              <w:rPr>
                <w:sz w:val="22"/>
                <w:szCs w:val="22"/>
                <w:color w:val="auto"/>
              </w:rPr>
            </w:pPr>
          </w:p>
        </w:tc>
        <w:tc>
          <w:tcPr>
            <w:tcW w:w="440" w:type="dxa"/>
            <w:vAlign w:val="bottom"/>
            <w:tcBorders>
              <w:bottom w:val="single" w:sz="8" w:color="auto"/>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280" w:type="dxa"/>
            <w:vAlign w:val="bottom"/>
            <w:tcBorders>
              <w:bottom w:val="single" w:sz="8" w:color="auto"/>
            </w:tcBorders>
            <w:shd w:val="clear" w:color="auto" w:fill="C0C0C0"/>
          </w:tcPr>
          <w:p>
            <w:pPr>
              <w:spacing w:after="0"/>
              <w:rPr>
                <w:sz w:val="22"/>
                <w:szCs w:val="22"/>
                <w:color w:val="auto"/>
              </w:rPr>
            </w:pPr>
          </w:p>
        </w:tc>
        <w:tc>
          <w:tcPr>
            <w:tcW w:w="1400" w:type="dxa"/>
            <w:vAlign w:val="bottom"/>
            <w:tcBorders>
              <w:bottom w:val="single" w:sz="8" w:color="auto"/>
            </w:tcBorders>
            <w:gridSpan w:val="2"/>
            <w:shd w:val="clear" w:color="auto" w:fill="C0C0C0"/>
          </w:tcPr>
          <w:p>
            <w:pPr>
              <w:jc w:val="right"/>
              <w:ind w:right="695"/>
              <w:spacing w:after="0"/>
              <w:rPr>
                <w:sz w:val="20"/>
                <w:szCs w:val="20"/>
                <w:color w:val="auto"/>
              </w:rPr>
            </w:pPr>
            <w:r>
              <w:rPr>
                <w:rFonts w:ascii="Arial" w:cs="Arial" w:eastAsia="Arial" w:hAnsi="Arial"/>
                <w:sz w:val="17"/>
                <w:szCs w:val="17"/>
                <w:b w:val="1"/>
                <w:bCs w:val="1"/>
                <w:color w:val="auto"/>
              </w:rPr>
              <w:t>1998</w:t>
            </w:r>
          </w:p>
        </w:tc>
        <w:tc>
          <w:tcPr>
            <w:tcW w:w="280" w:type="dxa"/>
            <w:vAlign w:val="bottom"/>
            <w:tcBorders>
              <w:bottom w:val="single" w:sz="8" w:color="C0C0C0"/>
            </w:tcBorders>
            <w:shd w:val="clear" w:color="auto" w:fill="C0C0C0"/>
          </w:tcPr>
          <w:p>
            <w:pPr>
              <w:spacing w:after="0"/>
              <w:rPr>
                <w:sz w:val="22"/>
                <w:szCs w:val="22"/>
                <w:color w:val="auto"/>
              </w:rPr>
            </w:pPr>
          </w:p>
        </w:tc>
      </w:tr>
      <w:tr>
        <w:trPr>
          <w:trHeight w:val="170"/>
        </w:trPr>
        <w:tc>
          <w:tcPr>
            <w:tcW w:w="2620" w:type="dxa"/>
            <w:vAlign w:val="bottom"/>
            <w:shd w:val="clear" w:color="auto" w:fill="C0C0C0"/>
          </w:tcPr>
          <w:p>
            <w:pPr>
              <w:spacing w:after="0"/>
              <w:rPr>
                <w:sz w:val="14"/>
                <w:szCs w:val="14"/>
                <w:color w:val="auto"/>
              </w:rPr>
            </w:pPr>
          </w:p>
        </w:tc>
        <w:tc>
          <w:tcPr>
            <w:tcW w:w="780" w:type="dxa"/>
            <w:vAlign w:val="bottom"/>
            <w:gridSpan w:val="3"/>
            <w:shd w:val="clear" w:color="auto" w:fill="C0C0C0"/>
          </w:tcPr>
          <w:p>
            <w:pPr>
              <w:ind w:left="60"/>
              <w:spacing w:after="0" w:line="171" w:lineRule="exact"/>
              <w:rPr>
                <w:sz w:val="20"/>
                <w:szCs w:val="20"/>
                <w:color w:val="auto"/>
              </w:rPr>
            </w:pPr>
            <w:r>
              <w:rPr>
                <w:rFonts w:ascii="Arial" w:cs="Arial" w:eastAsia="Arial" w:hAnsi="Arial"/>
                <w:sz w:val="17"/>
                <w:szCs w:val="17"/>
                <w:b w:val="1"/>
                <w:bCs w:val="1"/>
                <w:color w:val="auto"/>
              </w:rPr>
              <w:t>Market</w:t>
            </w:r>
          </w:p>
        </w:tc>
        <w:tc>
          <w:tcPr>
            <w:tcW w:w="2360" w:type="dxa"/>
            <w:vAlign w:val="bottom"/>
            <w:gridSpan w:val="6"/>
            <w:shd w:val="clear" w:color="auto" w:fill="C0C0C0"/>
          </w:tcPr>
          <w:p>
            <w:pPr>
              <w:jc w:val="center"/>
              <w:ind w:left="75"/>
              <w:spacing w:after="0" w:line="171" w:lineRule="exact"/>
              <w:rPr>
                <w:sz w:val="20"/>
                <w:szCs w:val="20"/>
                <w:color w:val="auto"/>
              </w:rPr>
            </w:pPr>
            <w:r>
              <w:rPr>
                <w:rFonts w:ascii="Arial" w:cs="Arial" w:eastAsia="Arial" w:hAnsi="Arial"/>
                <w:sz w:val="17"/>
                <w:szCs w:val="17"/>
                <w:b w:val="1"/>
                <w:bCs w:val="1"/>
                <w:color w:val="auto"/>
                <w:w w:val="90"/>
              </w:rPr>
              <w:t>Gross Unrealized Holding</w:t>
            </w:r>
          </w:p>
        </w:tc>
        <w:tc>
          <w:tcPr>
            <w:tcW w:w="820" w:type="dxa"/>
            <w:vAlign w:val="bottom"/>
            <w:gridSpan w:val="4"/>
            <w:shd w:val="clear" w:color="auto" w:fill="C0C0C0"/>
          </w:tcPr>
          <w:p>
            <w:pPr>
              <w:ind w:left="140"/>
              <w:spacing w:after="0" w:line="171" w:lineRule="exact"/>
              <w:rPr>
                <w:sz w:val="20"/>
                <w:szCs w:val="20"/>
                <w:color w:val="auto"/>
              </w:rPr>
            </w:pPr>
            <w:r>
              <w:rPr>
                <w:rFonts w:ascii="Arial" w:cs="Arial" w:eastAsia="Arial" w:hAnsi="Arial"/>
                <w:sz w:val="17"/>
                <w:szCs w:val="17"/>
                <w:b w:val="1"/>
                <w:bCs w:val="1"/>
                <w:color w:val="auto"/>
              </w:rPr>
              <w:t>Market</w:t>
            </w:r>
          </w:p>
        </w:tc>
        <w:tc>
          <w:tcPr>
            <w:tcW w:w="2200" w:type="dxa"/>
            <w:vAlign w:val="bottom"/>
            <w:gridSpan w:val="6"/>
            <w:shd w:val="clear" w:color="auto" w:fill="C0C0C0"/>
          </w:tcPr>
          <w:p>
            <w:pPr>
              <w:jc w:val="center"/>
              <w:ind w:right="20"/>
              <w:spacing w:after="0" w:line="171" w:lineRule="exact"/>
              <w:rPr>
                <w:sz w:val="20"/>
                <w:szCs w:val="20"/>
                <w:color w:val="auto"/>
              </w:rPr>
            </w:pPr>
            <w:r>
              <w:rPr>
                <w:rFonts w:ascii="Arial" w:cs="Arial" w:eastAsia="Arial" w:hAnsi="Arial"/>
                <w:sz w:val="17"/>
                <w:szCs w:val="17"/>
                <w:b w:val="1"/>
                <w:bCs w:val="1"/>
                <w:color w:val="auto"/>
                <w:w w:val="91"/>
              </w:rPr>
              <w:t>Gross Unrealized Holding</w:t>
            </w:r>
          </w:p>
        </w:tc>
        <w:tc>
          <w:tcPr>
            <w:tcW w:w="960" w:type="dxa"/>
            <w:vAlign w:val="bottom"/>
            <w:gridSpan w:val="4"/>
            <w:shd w:val="clear" w:color="auto" w:fill="C0C0C0"/>
          </w:tcPr>
          <w:p>
            <w:pPr>
              <w:ind w:left="160"/>
              <w:spacing w:after="0" w:line="171" w:lineRule="exact"/>
              <w:rPr>
                <w:sz w:val="20"/>
                <w:szCs w:val="20"/>
                <w:color w:val="auto"/>
              </w:rPr>
            </w:pPr>
            <w:r>
              <w:rPr>
                <w:rFonts w:ascii="Arial" w:cs="Arial" w:eastAsia="Arial" w:hAnsi="Arial"/>
                <w:sz w:val="17"/>
                <w:szCs w:val="17"/>
                <w:b w:val="1"/>
                <w:bCs w:val="1"/>
                <w:color w:val="auto"/>
              </w:rPr>
              <w:t>Market</w:t>
            </w:r>
          </w:p>
        </w:tc>
        <w:tc>
          <w:tcPr>
            <w:tcW w:w="1680" w:type="dxa"/>
            <w:vAlign w:val="bottom"/>
            <w:gridSpan w:val="3"/>
            <w:shd w:val="clear" w:color="auto" w:fill="C0C0C0"/>
          </w:tcPr>
          <w:p>
            <w:pPr>
              <w:jc w:val="center"/>
              <w:spacing w:after="0" w:line="171" w:lineRule="exact"/>
              <w:rPr>
                <w:sz w:val="20"/>
                <w:szCs w:val="20"/>
                <w:color w:val="auto"/>
              </w:rPr>
            </w:pPr>
            <w:r>
              <w:rPr>
                <w:rFonts w:ascii="Arial" w:cs="Arial" w:eastAsia="Arial" w:hAnsi="Arial"/>
                <w:sz w:val="17"/>
                <w:szCs w:val="17"/>
                <w:b w:val="1"/>
                <w:bCs w:val="1"/>
                <w:color w:val="auto"/>
                <w:w w:val="90"/>
              </w:rPr>
              <w:t>Gross Unrealized</w:t>
            </w:r>
          </w:p>
        </w:tc>
      </w:tr>
      <w:tr>
        <w:trPr>
          <w:trHeight w:val="209"/>
        </w:trPr>
        <w:tc>
          <w:tcPr>
            <w:tcW w:w="2620" w:type="dxa"/>
            <w:vAlign w:val="bottom"/>
            <w:tcBorders>
              <w:top w:val="single" w:sz="8" w:color="C0C0C0"/>
            </w:tcBorders>
            <w:shd w:val="clear" w:color="auto" w:fill="C0C0C0"/>
          </w:tcPr>
          <w:p>
            <w:pPr>
              <w:spacing w:after="0"/>
              <w:rPr>
                <w:sz w:val="18"/>
                <w:szCs w:val="18"/>
                <w:color w:val="auto"/>
              </w:rPr>
            </w:pPr>
          </w:p>
        </w:tc>
        <w:tc>
          <w:tcPr>
            <w:tcW w:w="180" w:type="dxa"/>
            <w:vAlign w:val="bottom"/>
            <w:tcBorders>
              <w:top w:val="single" w:sz="8" w:color="C0C0C0"/>
            </w:tcBorders>
            <w:shd w:val="clear" w:color="auto" w:fill="C0C0C0"/>
          </w:tcPr>
          <w:p>
            <w:pPr>
              <w:spacing w:after="0"/>
              <w:rPr>
                <w:sz w:val="18"/>
                <w:szCs w:val="18"/>
                <w:color w:val="auto"/>
              </w:rPr>
            </w:pPr>
          </w:p>
        </w:tc>
        <w:tc>
          <w:tcPr>
            <w:tcW w:w="600" w:type="dxa"/>
            <w:vAlign w:val="bottom"/>
            <w:tcBorders>
              <w:top w:val="single" w:sz="8" w:color="C0C0C0"/>
            </w:tcBorders>
            <w:gridSpan w:val="2"/>
            <w:shd w:val="clear" w:color="auto" w:fill="C0C0C0"/>
          </w:tcPr>
          <w:p>
            <w:pPr>
              <w:spacing w:after="0" w:line="189" w:lineRule="exact"/>
              <w:rPr>
                <w:sz w:val="20"/>
                <w:szCs w:val="20"/>
                <w:color w:val="auto"/>
              </w:rPr>
            </w:pPr>
            <w:r>
              <w:rPr>
                <w:rFonts w:ascii="Arial" w:cs="Arial" w:eastAsia="Arial" w:hAnsi="Arial"/>
                <w:sz w:val="17"/>
                <w:szCs w:val="17"/>
                <w:b w:val="1"/>
                <w:bCs w:val="1"/>
                <w:color w:val="auto"/>
              </w:rPr>
              <w:t>Value</w:t>
            </w:r>
          </w:p>
        </w:tc>
        <w:tc>
          <w:tcPr>
            <w:tcW w:w="1620" w:type="dxa"/>
            <w:vAlign w:val="bottom"/>
            <w:tcBorders>
              <w:top w:val="single" w:sz="8" w:color="C0C0C0"/>
            </w:tcBorders>
            <w:gridSpan w:val="3"/>
            <w:shd w:val="clear" w:color="auto" w:fill="C0C0C0"/>
          </w:tcPr>
          <w:p>
            <w:pPr>
              <w:jc w:val="center"/>
              <w:ind w:left="835"/>
              <w:spacing w:after="0" w:line="189" w:lineRule="exact"/>
              <w:rPr>
                <w:sz w:val="20"/>
                <w:szCs w:val="20"/>
                <w:color w:val="auto"/>
              </w:rPr>
            </w:pPr>
            <w:r>
              <w:rPr>
                <w:rFonts w:ascii="Arial" w:cs="Arial" w:eastAsia="Arial" w:hAnsi="Arial"/>
                <w:sz w:val="17"/>
                <w:szCs w:val="17"/>
                <w:b w:val="1"/>
                <w:bCs w:val="1"/>
                <w:color w:val="auto"/>
                <w:w w:val="88"/>
              </w:rPr>
              <w:t>Gains</w:t>
            </w:r>
          </w:p>
        </w:tc>
        <w:tc>
          <w:tcPr>
            <w:tcW w:w="580" w:type="dxa"/>
            <w:vAlign w:val="bottom"/>
            <w:tcBorders>
              <w:top w:val="single" w:sz="8" w:color="auto"/>
            </w:tcBorders>
            <w:gridSpan w:val="2"/>
            <w:shd w:val="clear" w:color="auto" w:fill="C0C0C0"/>
          </w:tcPr>
          <w:p>
            <w:pPr>
              <w:spacing w:after="0"/>
              <w:rPr>
                <w:sz w:val="18"/>
                <w:szCs w:val="18"/>
                <w:color w:val="auto"/>
              </w:rPr>
            </w:pPr>
          </w:p>
        </w:tc>
        <w:tc>
          <w:tcPr>
            <w:tcW w:w="160" w:type="dxa"/>
            <w:vAlign w:val="bottom"/>
            <w:tcBorders>
              <w:top w:val="single" w:sz="8" w:color="C0C0C0"/>
            </w:tcBorders>
            <w:shd w:val="clear" w:color="auto" w:fill="C0C0C0"/>
          </w:tcPr>
          <w:p>
            <w:pPr>
              <w:spacing w:after="0"/>
              <w:rPr>
                <w:sz w:val="18"/>
                <w:szCs w:val="18"/>
                <w:color w:val="auto"/>
              </w:rPr>
            </w:pPr>
          </w:p>
        </w:tc>
        <w:tc>
          <w:tcPr>
            <w:tcW w:w="240" w:type="dxa"/>
            <w:vAlign w:val="bottom"/>
            <w:tcBorders>
              <w:top w:val="single" w:sz="8" w:color="C0C0C0"/>
            </w:tcBorders>
            <w:shd w:val="clear" w:color="auto" w:fill="C0C0C0"/>
          </w:tcPr>
          <w:p>
            <w:pPr>
              <w:spacing w:after="0"/>
              <w:rPr>
                <w:sz w:val="18"/>
                <w:szCs w:val="18"/>
                <w:color w:val="auto"/>
              </w:rPr>
            </w:pPr>
          </w:p>
        </w:tc>
        <w:tc>
          <w:tcPr>
            <w:tcW w:w="580" w:type="dxa"/>
            <w:vAlign w:val="bottom"/>
            <w:tcBorders>
              <w:top w:val="single" w:sz="8" w:color="C0C0C0"/>
            </w:tcBorders>
            <w:gridSpan w:val="3"/>
            <w:shd w:val="clear" w:color="auto" w:fill="C0C0C0"/>
          </w:tcPr>
          <w:p>
            <w:pPr>
              <w:spacing w:after="0" w:line="189" w:lineRule="exact"/>
              <w:rPr>
                <w:sz w:val="20"/>
                <w:szCs w:val="20"/>
                <w:color w:val="auto"/>
              </w:rPr>
            </w:pPr>
            <w:r>
              <w:rPr>
                <w:rFonts w:ascii="Arial" w:cs="Arial" w:eastAsia="Arial" w:hAnsi="Arial"/>
                <w:sz w:val="17"/>
                <w:szCs w:val="17"/>
                <w:b w:val="1"/>
                <w:bCs w:val="1"/>
                <w:color w:val="auto"/>
              </w:rPr>
              <w:t>Value</w:t>
            </w:r>
          </w:p>
        </w:tc>
        <w:tc>
          <w:tcPr>
            <w:tcW w:w="1440" w:type="dxa"/>
            <w:vAlign w:val="bottom"/>
            <w:tcBorders>
              <w:top w:val="single" w:sz="8" w:color="C0C0C0"/>
            </w:tcBorders>
            <w:gridSpan w:val="3"/>
            <w:shd w:val="clear" w:color="auto" w:fill="C0C0C0"/>
          </w:tcPr>
          <w:p>
            <w:pPr>
              <w:jc w:val="center"/>
              <w:ind w:left="655"/>
              <w:spacing w:after="0" w:line="189" w:lineRule="exact"/>
              <w:rPr>
                <w:sz w:val="20"/>
                <w:szCs w:val="20"/>
                <w:color w:val="auto"/>
              </w:rPr>
            </w:pPr>
            <w:r>
              <w:rPr>
                <w:rFonts w:ascii="Arial" w:cs="Arial" w:eastAsia="Arial" w:hAnsi="Arial"/>
                <w:sz w:val="17"/>
                <w:szCs w:val="17"/>
                <w:b w:val="1"/>
                <w:bCs w:val="1"/>
                <w:color w:val="auto"/>
                <w:w w:val="88"/>
              </w:rPr>
              <w:t>Gains</w:t>
            </w:r>
          </w:p>
        </w:tc>
        <w:tc>
          <w:tcPr>
            <w:tcW w:w="600" w:type="dxa"/>
            <w:vAlign w:val="bottom"/>
            <w:tcBorders>
              <w:top w:val="single" w:sz="8" w:color="auto"/>
            </w:tcBorders>
            <w:gridSpan w:val="2"/>
            <w:shd w:val="clear" w:color="auto" w:fill="C0C0C0"/>
          </w:tcPr>
          <w:p>
            <w:pPr>
              <w:spacing w:after="0"/>
              <w:rPr>
                <w:sz w:val="18"/>
                <w:szCs w:val="18"/>
                <w:color w:val="auto"/>
              </w:rPr>
            </w:pPr>
          </w:p>
        </w:tc>
        <w:tc>
          <w:tcPr>
            <w:tcW w:w="160" w:type="dxa"/>
            <w:vAlign w:val="bottom"/>
            <w:tcBorders>
              <w:top w:val="single" w:sz="8" w:color="C0C0C0"/>
            </w:tcBorders>
            <w:shd w:val="clear" w:color="auto" w:fill="C0C0C0"/>
          </w:tcPr>
          <w:p>
            <w:pPr>
              <w:spacing w:after="0"/>
              <w:rPr>
                <w:sz w:val="18"/>
                <w:szCs w:val="18"/>
                <w:color w:val="auto"/>
              </w:rPr>
            </w:pPr>
          </w:p>
        </w:tc>
        <w:tc>
          <w:tcPr>
            <w:tcW w:w="960" w:type="dxa"/>
            <w:vAlign w:val="bottom"/>
            <w:tcBorders>
              <w:top w:val="single" w:sz="8" w:color="C0C0C0"/>
            </w:tcBorders>
            <w:gridSpan w:val="4"/>
            <w:shd w:val="clear" w:color="auto" w:fill="C0C0C0"/>
          </w:tcPr>
          <w:p>
            <w:pPr>
              <w:ind w:left="260"/>
              <w:spacing w:after="0" w:line="189" w:lineRule="exact"/>
              <w:rPr>
                <w:sz w:val="20"/>
                <w:szCs w:val="20"/>
                <w:color w:val="auto"/>
              </w:rPr>
            </w:pPr>
            <w:r>
              <w:rPr>
                <w:rFonts w:ascii="Arial" w:cs="Arial" w:eastAsia="Arial" w:hAnsi="Arial"/>
                <w:sz w:val="17"/>
                <w:szCs w:val="17"/>
                <w:b w:val="1"/>
                <w:bCs w:val="1"/>
                <w:color w:val="auto"/>
              </w:rPr>
              <w:t>Value</w:t>
            </w:r>
          </w:p>
        </w:tc>
        <w:tc>
          <w:tcPr>
            <w:tcW w:w="340" w:type="dxa"/>
            <w:vAlign w:val="bottom"/>
            <w:tcBorders>
              <w:top w:val="single" w:sz="8" w:color="C0C0C0"/>
            </w:tcBorders>
            <w:shd w:val="clear" w:color="auto" w:fill="C0C0C0"/>
          </w:tcPr>
          <w:p>
            <w:pPr>
              <w:spacing w:after="0"/>
              <w:rPr>
                <w:sz w:val="18"/>
                <w:szCs w:val="18"/>
                <w:color w:val="auto"/>
              </w:rPr>
            </w:pPr>
          </w:p>
        </w:tc>
        <w:tc>
          <w:tcPr>
            <w:tcW w:w="1340" w:type="dxa"/>
            <w:vAlign w:val="bottom"/>
            <w:tcBorders>
              <w:top w:val="single" w:sz="8" w:color="C0C0C0"/>
            </w:tcBorders>
            <w:gridSpan w:val="2"/>
            <w:shd w:val="clear" w:color="auto" w:fill="C0C0C0"/>
          </w:tcPr>
          <w:p>
            <w:pPr>
              <w:jc w:val="center"/>
              <w:ind w:right="280"/>
              <w:spacing w:after="0" w:line="189" w:lineRule="exact"/>
              <w:rPr>
                <w:sz w:val="20"/>
                <w:szCs w:val="20"/>
                <w:color w:val="auto"/>
              </w:rPr>
            </w:pPr>
            <w:r>
              <w:rPr>
                <w:rFonts w:ascii="Arial" w:cs="Arial" w:eastAsia="Arial" w:hAnsi="Arial"/>
                <w:sz w:val="17"/>
                <w:szCs w:val="17"/>
                <w:b w:val="1"/>
                <w:bCs w:val="1"/>
                <w:color w:val="auto"/>
                <w:w w:val="91"/>
              </w:rPr>
              <w:t>Holding Gains</w:t>
            </w:r>
          </w:p>
        </w:tc>
      </w:tr>
      <w:tr>
        <w:trPr>
          <w:trHeight w:val="443"/>
        </w:trPr>
        <w:tc>
          <w:tcPr>
            <w:tcW w:w="2620" w:type="dxa"/>
            <w:vAlign w:val="bottom"/>
            <w:tcBorders>
              <w:top w:val="single" w:sz="8" w:color="C0C0C0"/>
            </w:tcBorders>
          </w:tcPr>
          <w:p>
            <w:pPr>
              <w:spacing w:after="0"/>
              <w:rPr>
                <w:sz w:val="20"/>
                <w:szCs w:val="20"/>
                <w:color w:val="auto"/>
              </w:rPr>
            </w:pPr>
            <w:r>
              <w:rPr>
                <w:rFonts w:ascii="Arial" w:cs="Arial" w:eastAsia="Arial" w:hAnsi="Arial"/>
                <w:sz w:val="17"/>
                <w:szCs w:val="17"/>
                <w:color w:val="auto"/>
              </w:rPr>
              <w:t>Common Stock</w:t>
            </w:r>
          </w:p>
        </w:tc>
        <w:tc>
          <w:tcPr>
            <w:tcW w:w="180" w:type="dxa"/>
            <w:vAlign w:val="bottom"/>
            <w:tcBorders>
              <w:top w:val="single" w:sz="8" w:color="C0C0C0"/>
            </w:tcBorders>
          </w:tcPr>
          <w:p>
            <w:pPr>
              <w:spacing w:after="0"/>
              <w:rPr>
                <w:sz w:val="24"/>
                <w:szCs w:val="24"/>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 --</w:t>
            </w:r>
          </w:p>
        </w:tc>
        <w:tc>
          <w:tcPr>
            <w:tcW w:w="200" w:type="dxa"/>
            <w:vAlign w:val="bottom"/>
            <w:tcBorders>
              <w:top w:val="single" w:sz="8" w:color="C0C0C0"/>
            </w:tcBorders>
          </w:tcPr>
          <w:p>
            <w:pPr>
              <w:spacing w:after="0"/>
              <w:rPr>
                <w:sz w:val="24"/>
                <w:szCs w:val="24"/>
                <w:color w:val="auto"/>
              </w:rPr>
            </w:pPr>
          </w:p>
        </w:tc>
        <w:tc>
          <w:tcPr>
            <w:tcW w:w="1060" w:type="dxa"/>
            <w:vAlign w:val="bottom"/>
            <w:tcBorders>
              <w:top w:val="single" w:sz="8" w:color="C0C0C0"/>
            </w:tcBorders>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 --</w:t>
            </w:r>
          </w:p>
        </w:tc>
        <w:tc>
          <w:tcPr>
            <w:tcW w:w="140" w:type="dxa"/>
            <w:vAlign w:val="bottom"/>
            <w:tcBorders>
              <w:top w:val="single" w:sz="8" w:color="C0C0C0"/>
            </w:tcBorders>
          </w:tcPr>
          <w:p>
            <w:pPr>
              <w:spacing w:after="0"/>
              <w:rPr>
                <w:sz w:val="24"/>
                <w:szCs w:val="24"/>
                <w:color w:val="auto"/>
              </w:rPr>
            </w:pPr>
          </w:p>
        </w:tc>
        <w:tc>
          <w:tcPr>
            <w:tcW w:w="40" w:type="dxa"/>
            <w:vAlign w:val="bottom"/>
            <w:tcBorders>
              <w:top w:val="single" w:sz="8" w:color="C0C0C0"/>
            </w:tcBorders>
          </w:tcPr>
          <w:p>
            <w:pPr>
              <w:spacing w:after="0"/>
              <w:rPr>
                <w:sz w:val="24"/>
                <w:szCs w:val="24"/>
                <w:color w:val="auto"/>
              </w:rPr>
            </w:pPr>
          </w:p>
        </w:tc>
        <w:tc>
          <w:tcPr>
            <w:tcW w:w="54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4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 --</w:t>
            </w:r>
          </w:p>
        </w:tc>
        <w:tc>
          <w:tcPr>
            <w:tcW w:w="160" w:type="dxa"/>
            <w:vAlign w:val="bottom"/>
            <w:tcBorders>
              <w:top w:val="single" w:sz="8" w:color="C0C0C0"/>
            </w:tcBorders>
          </w:tcPr>
          <w:p>
            <w:pPr>
              <w:spacing w:after="0"/>
              <w:rPr>
                <w:sz w:val="24"/>
                <w:szCs w:val="24"/>
                <w:color w:val="auto"/>
              </w:rPr>
            </w:pPr>
          </w:p>
        </w:tc>
        <w:tc>
          <w:tcPr>
            <w:tcW w:w="880" w:type="dxa"/>
            <w:vAlign w:val="bottom"/>
            <w:tcBorders>
              <w:top w:val="single" w:sz="8" w:color="C0C0C0"/>
            </w:tcBorders>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 --</w:t>
            </w:r>
          </w:p>
        </w:tc>
        <w:tc>
          <w:tcPr>
            <w:tcW w:w="140" w:type="dxa"/>
            <w:vAlign w:val="bottom"/>
            <w:tcBorders>
              <w:top w:val="single" w:sz="8" w:color="C0C0C0"/>
            </w:tcBorders>
          </w:tcPr>
          <w:p>
            <w:pPr>
              <w:spacing w:after="0"/>
              <w:rPr>
                <w:sz w:val="24"/>
                <w:szCs w:val="24"/>
                <w:color w:val="auto"/>
              </w:rPr>
            </w:pPr>
          </w:p>
        </w:tc>
        <w:tc>
          <w:tcPr>
            <w:tcW w:w="44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4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$389</w:t>
            </w:r>
          </w:p>
        </w:tc>
        <w:tc>
          <w:tcPr>
            <w:tcW w:w="280" w:type="dxa"/>
            <w:vAlign w:val="bottom"/>
            <w:tcBorders>
              <w:top w:val="single" w:sz="8" w:color="C0C0C0"/>
            </w:tcBorders>
          </w:tcPr>
          <w:p>
            <w:pPr>
              <w:spacing w:after="0"/>
              <w:rPr>
                <w:sz w:val="24"/>
                <w:szCs w:val="24"/>
                <w:color w:val="auto"/>
              </w:rPr>
            </w:pPr>
          </w:p>
        </w:tc>
        <w:tc>
          <w:tcPr>
            <w:tcW w:w="340" w:type="dxa"/>
            <w:vAlign w:val="bottom"/>
            <w:tcBorders>
              <w:top w:val="single" w:sz="8" w:color="C0C0C0"/>
            </w:tcBorders>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$174</w:t>
            </w:r>
          </w:p>
        </w:tc>
        <w:tc>
          <w:tcPr>
            <w:tcW w:w="280" w:type="dxa"/>
            <w:vAlign w:val="bottom"/>
            <w:tcBorders>
              <w:top w:val="single" w:sz="8" w:color="C0C0C0"/>
            </w:tcBorders>
          </w:tcPr>
          <w:p>
            <w:pPr>
              <w:spacing w:after="0"/>
              <w:rPr>
                <w:sz w:val="24"/>
                <w:szCs w:val="24"/>
                <w:color w:val="auto"/>
              </w:rPr>
            </w:pPr>
          </w:p>
        </w:tc>
      </w:tr>
    </w:tbl>
    <w:p>
      <w:pPr>
        <w:spacing w:after="0" w:line="164" w:lineRule="exact"/>
        <w:rPr>
          <w:sz w:val="20"/>
          <w:szCs w:val="20"/>
          <w:color w:val="auto"/>
        </w:rPr>
      </w:pPr>
    </w:p>
    <w:p>
      <w:pPr>
        <w:ind w:right="300" w:firstLine="210"/>
        <w:spacing w:after="0" w:line="282" w:lineRule="auto"/>
        <w:rPr>
          <w:sz w:val="20"/>
          <w:szCs w:val="20"/>
          <w:color w:val="auto"/>
        </w:rPr>
      </w:pPr>
      <w:r>
        <w:rPr>
          <w:rFonts w:ascii="Arial" w:cs="Arial" w:eastAsia="Arial" w:hAnsi="Arial"/>
          <w:sz w:val="17"/>
          <w:szCs w:val="17"/>
          <w:color w:val="auto"/>
        </w:rPr>
        <w:t>The Company recognized gains from sale of securities aggregating $174,000 in 1999. The unrealized holding gains, net of taxes, were $86,000 at December 31, 1998 and are included in accumulated other comprehensive loss in the statement of shareholders' equity.</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Short-term debt and other liabilities:</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carrying amounts of short-term debt and other liabilities approximate fair value because of the short maturity of these instruments.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Long-term debt:</w:t>
      </w:r>
    </w:p>
    <w:p>
      <w:pPr>
        <w:spacing w:after="0" w:line="20" w:lineRule="exact"/>
        <w:rPr>
          <w:sz w:val="20"/>
          <w:szCs w:val="20"/>
          <w:color w:val="auto"/>
        </w:rPr>
      </w:pPr>
    </w:p>
    <w:p>
      <w:pPr>
        <w:ind w:right="400" w:firstLine="210"/>
        <w:spacing w:after="0" w:line="274" w:lineRule="auto"/>
        <w:rPr>
          <w:sz w:val="20"/>
          <w:szCs w:val="20"/>
          <w:color w:val="auto"/>
        </w:rPr>
      </w:pPr>
      <w:r>
        <w:rPr>
          <w:rFonts w:ascii="Arial" w:cs="Arial" w:eastAsia="Arial" w:hAnsi="Arial"/>
          <w:sz w:val="17"/>
          <w:szCs w:val="17"/>
          <w:color w:val="auto"/>
        </w:rPr>
        <w:t>The fair value of the long-term debt of the Company is estimated based on the quoted market prices for that debt or similar debt and approximates the carrying amount.</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Forward exchange contracts</w:t>
      </w:r>
      <w:r>
        <w:rPr>
          <w:rFonts w:ascii="Arial" w:cs="Arial" w:eastAsia="Arial" w:hAnsi="Arial"/>
          <w:sz w:val="17"/>
          <w:szCs w:val="17"/>
          <w:color w:val="auto"/>
        </w:rPr>
        <w:t>:</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 of forward exchange contracts (used for hedging purposes) is estimated by obtaining quotes from brokers.</w:t>
      </w:r>
    </w:p>
    <w:p>
      <w:pPr>
        <w:sectPr>
          <w:pgSz w:w="11900" w:h="16838" w:orient="portrait"/>
          <w:cols w:equalWidth="0" w:num="1">
            <w:col w:w="11420"/>
          </w:cols>
          <w:pgMar w:left="240" w:top="140" w:right="239" w:bottom="123" w:gutter="0" w:footer="0" w:header="0"/>
        </w:sectPr>
      </w:pPr>
    </w:p>
    <w:bookmarkStart w:id="29" w:name="page30"/>
    <w:bookmarkEnd w:id="29"/>
    <w:p>
      <w:pPr>
        <w:ind w:firstLine="213"/>
        <w:spacing w:after="0" w:line="263" w:lineRule="auto"/>
        <w:rPr>
          <w:sz w:val="20"/>
          <w:szCs w:val="20"/>
          <w:color w:val="auto"/>
        </w:rPr>
      </w:pPr>
      <w:r>
        <w:rPr>
          <w:rFonts w:ascii="Arial" w:cs="Arial" w:eastAsia="Arial" w:hAnsi="Arial"/>
          <w:sz w:val="17"/>
          <w:szCs w:val="17"/>
          <w:color w:val="auto"/>
        </w:rPr>
        <w:t>If appropriate, the Company would enter into forward exchange contracts to mitigate the impact of foreign exchange rate movements on the Company's operating results. It does not engage in speculation. Such foreign exchange contracts would not subject the Company to additional risk from exchange rate movements because gains and losses on these contracts would offset losses and gains on the assets, liabilities and transactions being hedged. At December 31, 2000, the Company had open forward exchange contracts to purchase $0.8 million of foreign currencies. These contracts mature on March 31, 2001. The fair value of these instruments was not significant at December 31, 2000.</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Credit risk:</w:t>
      </w:r>
    </w:p>
    <w:p>
      <w:pPr>
        <w:spacing w:after="0" w:line="20" w:lineRule="exact"/>
        <w:rPr>
          <w:sz w:val="20"/>
          <w:szCs w:val="20"/>
          <w:color w:val="auto"/>
        </w:rPr>
      </w:pPr>
    </w:p>
    <w:p>
      <w:pPr>
        <w:jc w:val="both"/>
        <w:ind w:firstLine="213"/>
        <w:spacing w:after="0" w:line="262" w:lineRule="auto"/>
        <w:rPr>
          <w:sz w:val="20"/>
          <w:szCs w:val="20"/>
          <w:color w:val="auto"/>
        </w:rPr>
      </w:pPr>
      <w:r>
        <w:rPr>
          <w:rFonts w:ascii="Arial" w:cs="Arial" w:eastAsia="Arial" w:hAnsi="Arial"/>
          <w:sz w:val="17"/>
          <w:szCs w:val="17"/>
          <w:color w:val="auto"/>
        </w:rPr>
        <w:t>Substantially all of the Company's accounts receivable are due from companies in the paper, construction and steel industries. Credit risk results from the possibility that a loss may occur from the failure of another party to perform according to the terms of the contract. The Company regularly monitors its credit risk exposures and takes steps to mitigate the likelihood of these exposures resulting in actual loss. The Company's extension of credit is based on an evaluation of the customer's financial condition and collateral is generally not required.</w:t>
      </w:r>
    </w:p>
    <w:p>
      <w:pPr>
        <w:spacing w:after="0" w:line="162" w:lineRule="exact"/>
        <w:rPr>
          <w:sz w:val="20"/>
          <w:szCs w:val="20"/>
          <w:color w:val="auto"/>
        </w:rPr>
      </w:pPr>
    </w:p>
    <w:p>
      <w:pPr>
        <w:jc w:val="both"/>
        <w:ind w:right="220" w:firstLine="210"/>
        <w:spacing w:after="0" w:line="269" w:lineRule="auto"/>
        <w:rPr>
          <w:sz w:val="20"/>
          <w:szCs w:val="20"/>
          <w:color w:val="auto"/>
        </w:rPr>
      </w:pPr>
      <w:r>
        <w:rPr>
          <w:rFonts w:ascii="Arial" w:cs="Arial" w:eastAsia="Arial" w:hAnsi="Arial"/>
          <w:sz w:val="17"/>
          <w:szCs w:val="17"/>
          <w:color w:val="auto"/>
        </w:rPr>
        <w:t>The Company recognized an additional bad debt expense of $5.6 million in the fourth quarter of 2000. This charge was primarily related to bankruptcy filings by several of the Company's major customers serving the steel, paper and construction industries. Total bad debt expense for the years ended December 31, 2000, 1999 and 1998 was $6.0 million, $1.2 million and $0.5 million,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Debt and Commitments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is a summary of long-term debt: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120" w:type="dxa"/>
            <w:vAlign w:val="bottom"/>
            <w:shd w:val="clear" w:color="auto" w:fill="C0C0C0"/>
          </w:tcPr>
          <w:p>
            <w:pPr>
              <w:ind w:left="100"/>
              <w:spacing w:after="0"/>
              <w:rPr>
                <w:sz w:val="20"/>
                <w:szCs w:val="20"/>
                <w:color w:val="auto"/>
              </w:rPr>
            </w:pPr>
            <w:r>
              <w:rPr>
                <w:rFonts w:ascii="Arial" w:cs="Arial" w:eastAsia="Arial" w:hAnsi="Arial"/>
                <w:sz w:val="17"/>
                <w:szCs w:val="17"/>
                <w:b w:val="1"/>
                <w:bCs w:val="1"/>
                <w:color w:val="auto"/>
              </w:rPr>
              <w:t>Thousands of Dollars</w:t>
            </w:r>
          </w:p>
        </w:tc>
        <w:tc>
          <w:tcPr>
            <w:tcW w:w="4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40" w:type="dxa"/>
            <w:vAlign w:val="bottom"/>
            <w:shd w:val="clear" w:color="auto" w:fill="C0C0C0"/>
          </w:tcPr>
          <w:p>
            <w:pPr>
              <w:spacing w:after="0"/>
              <w:rPr>
                <w:sz w:val="21"/>
                <w:szCs w:val="21"/>
                <w:color w:val="auto"/>
              </w:rPr>
            </w:pPr>
          </w:p>
        </w:tc>
      </w:tr>
      <w:tr>
        <w:trPr>
          <w:trHeight w:val="72"/>
        </w:trPr>
        <w:tc>
          <w:tcPr>
            <w:tcW w:w="6120" w:type="dxa"/>
            <w:vAlign w:val="bottom"/>
            <w:tcBorders>
              <w:top w:val="single" w:sz="8" w:color="C0C0C0"/>
            </w:tcBorders>
            <w:shd w:val="clear" w:color="auto" w:fill="C0C0C0"/>
          </w:tcPr>
          <w:p>
            <w:pPr>
              <w:spacing w:after="0"/>
              <w:rPr>
                <w:sz w:val="6"/>
                <w:szCs w:val="6"/>
                <w:color w:val="auto"/>
              </w:rPr>
            </w:pPr>
          </w:p>
        </w:tc>
        <w:tc>
          <w:tcPr>
            <w:tcW w:w="420" w:type="dxa"/>
            <w:vAlign w:val="bottom"/>
            <w:tcBorders>
              <w:top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c>
          <w:tcPr>
            <w:tcW w:w="12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280" w:type="dxa"/>
            <w:vAlign w:val="bottom"/>
            <w:tcBorders>
              <w:top w:val="single" w:sz="8" w:color="C0C0C0"/>
            </w:tcBorders>
            <w:shd w:val="clear" w:color="auto" w:fill="C0C0C0"/>
          </w:tcPr>
          <w:p>
            <w:pPr>
              <w:spacing w:after="0"/>
              <w:rPr>
                <w:sz w:val="6"/>
                <w:szCs w:val="6"/>
                <w:color w:val="auto"/>
              </w:rPr>
            </w:pPr>
          </w:p>
        </w:tc>
        <w:tc>
          <w:tcPr>
            <w:tcW w:w="440" w:type="dxa"/>
            <w:vAlign w:val="bottom"/>
            <w:tcBorders>
              <w:top w:val="single" w:sz="8" w:color="C0C0C0"/>
            </w:tcBorders>
            <w:shd w:val="clear" w:color="auto" w:fill="C0C0C0"/>
          </w:tcPr>
          <w:p>
            <w:pPr>
              <w:spacing w:after="0"/>
              <w:rPr>
                <w:sz w:val="6"/>
                <w:szCs w:val="6"/>
                <w:color w:val="auto"/>
              </w:rPr>
            </w:pPr>
          </w:p>
        </w:tc>
        <w:tc>
          <w:tcPr>
            <w:tcW w:w="140" w:type="dxa"/>
            <w:vAlign w:val="bottom"/>
            <w:tcBorders>
              <w:top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r>
      <w:tr>
        <w:trPr>
          <w:trHeight w:val="260"/>
        </w:trPr>
        <w:tc>
          <w:tcPr>
            <w:tcW w:w="6120" w:type="dxa"/>
            <w:vAlign w:val="bottom"/>
          </w:tcPr>
          <w:p>
            <w:pPr>
              <w:ind w:left="60"/>
              <w:spacing w:after="0"/>
              <w:rPr>
                <w:sz w:val="20"/>
                <w:szCs w:val="20"/>
                <w:color w:val="auto"/>
              </w:rPr>
            </w:pPr>
            <w:r>
              <w:rPr>
                <w:rFonts w:ascii="Arial" w:cs="Arial" w:eastAsia="Arial" w:hAnsi="Arial"/>
                <w:sz w:val="17"/>
                <w:szCs w:val="17"/>
                <w:color w:val="auto"/>
              </w:rPr>
              <w:t>6.04% Guarantied Senior Notes Due June 11, 2000</w:t>
            </w: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13,000</w:t>
            </w:r>
          </w:p>
        </w:tc>
        <w:tc>
          <w:tcPr>
            <w:tcW w:w="40" w:type="dxa"/>
            <w:vAlign w:val="bottom"/>
          </w:tcPr>
          <w:p>
            <w:pPr>
              <w:spacing w:after="0"/>
              <w:rPr>
                <w:sz w:val="22"/>
                <w:szCs w:val="22"/>
                <w:color w:val="auto"/>
              </w:rPr>
            </w:pPr>
          </w:p>
        </w:tc>
      </w:tr>
      <w:tr>
        <w:trPr>
          <w:trHeight w:val="314"/>
        </w:trPr>
        <w:tc>
          <w:tcPr>
            <w:tcW w:w="6120" w:type="dxa"/>
            <w:vAlign w:val="bottom"/>
          </w:tcPr>
          <w:p>
            <w:pPr>
              <w:ind w:left="60"/>
              <w:spacing w:after="0"/>
              <w:rPr>
                <w:sz w:val="20"/>
                <w:szCs w:val="20"/>
                <w:color w:val="auto"/>
              </w:rPr>
            </w:pPr>
            <w:r>
              <w:rPr>
                <w:rFonts w:ascii="Arial" w:cs="Arial" w:eastAsia="Arial" w:hAnsi="Arial"/>
                <w:sz w:val="17"/>
                <w:szCs w:val="17"/>
                <w:color w:val="auto"/>
              </w:rPr>
              <w:t>7.49% Guaranteed Senior Notes Due July 24, 2006</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2"/>
              </w:rPr>
              <w:t>50,000</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50,000</w:t>
            </w:r>
          </w:p>
        </w:tc>
        <w:tc>
          <w:tcPr>
            <w:tcW w:w="40" w:type="dxa"/>
            <w:vAlign w:val="bottom"/>
          </w:tcPr>
          <w:p>
            <w:pPr>
              <w:spacing w:after="0"/>
              <w:rPr>
                <w:sz w:val="24"/>
                <w:szCs w:val="24"/>
                <w:color w:val="auto"/>
              </w:rPr>
            </w:pPr>
          </w:p>
        </w:tc>
      </w:tr>
      <w:tr>
        <w:trPr>
          <w:trHeight w:val="314"/>
        </w:trPr>
        <w:tc>
          <w:tcPr>
            <w:tcW w:w="6120" w:type="dxa"/>
            <w:vAlign w:val="bottom"/>
          </w:tcPr>
          <w:p>
            <w:pPr>
              <w:ind w:left="60"/>
              <w:spacing w:after="0"/>
              <w:rPr>
                <w:sz w:val="20"/>
                <w:szCs w:val="20"/>
                <w:color w:val="auto"/>
              </w:rPr>
            </w:pPr>
            <w:r>
              <w:rPr>
                <w:rFonts w:ascii="Arial" w:cs="Arial" w:eastAsia="Arial" w:hAnsi="Arial"/>
                <w:sz w:val="17"/>
                <w:szCs w:val="17"/>
                <w:color w:val="auto"/>
              </w:rPr>
              <w:t>Yen-denominated Guaranteed Credit Agreement Due March 31, 2007</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2"/>
              </w:rPr>
              <w:t>10,057</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r>
      <w:tr>
        <w:trPr>
          <w:trHeight w:val="314"/>
        </w:trPr>
        <w:tc>
          <w:tcPr>
            <w:tcW w:w="6120" w:type="dxa"/>
            <w:vAlign w:val="bottom"/>
          </w:tcPr>
          <w:p>
            <w:pPr>
              <w:ind w:left="60"/>
              <w:spacing w:after="0"/>
              <w:rPr>
                <w:sz w:val="20"/>
                <w:szCs w:val="20"/>
                <w:color w:val="auto"/>
              </w:rPr>
            </w:pPr>
            <w:r>
              <w:rPr>
                <w:rFonts w:ascii="Arial" w:cs="Arial" w:eastAsia="Arial" w:hAnsi="Arial"/>
                <w:sz w:val="17"/>
                <w:szCs w:val="17"/>
                <w:color w:val="auto"/>
              </w:rPr>
              <w:t>Variable/Fixed Rate Industrial Development Revenue Bonds Due 2009</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4,000</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4,000</w:t>
            </w:r>
          </w:p>
        </w:tc>
        <w:tc>
          <w:tcPr>
            <w:tcW w:w="40" w:type="dxa"/>
            <w:vAlign w:val="bottom"/>
          </w:tcPr>
          <w:p>
            <w:pPr>
              <w:spacing w:after="0"/>
              <w:rPr>
                <w:sz w:val="24"/>
                <w:szCs w:val="24"/>
                <w:color w:val="auto"/>
              </w:rPr>
            </w:pPr>
          </w:p>
        </w:tc>
      </w:tr>
      <w:tr>
        <w:trPr>
          <w:trHeight w:val="314"/>
        </w:trPr>
        <w:tc>
          <w:tcPr>
            <w:tcW w:w="6120" w:type="dxa"/>
            <w:vAlign w:val="bottom"/>
          </w:tcPr>
          <w:p>
            <w:pPr>
              <w:ind w:left="60"/>
              <w:spacing w:after="0"/>
              <w:rPr>
                <w:sz w:val="20"/>
                <w:szCs w:val="20"/>
                <w:color w:val="auto"/>
              </w:rPr>
            </w:pPr>
            <w:r>
              <w:rPr>
                <w:rFonts w:ascii="Arial" w:cs="Arial" w:eastAsia="Arial" w:hAnsi="Arial"/>
                <w:sz w:val="17"/>
                <w:szCs w:val="17"/>
                <w:color w:val="auto"/>
                <w:w w:val="96"/>
              </w:rPr>
              <w:t>Economic Development Authority Refunding Revenue Bond Series 1999 Due 2010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4,600</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4,600</w:t>
            </w:r>
          </w:p>
        </w:tc>
        <w:tc>
          <w:tcPr>
            <w:tcW w:w="40" w:type="dxa"/>
            <w:vAlign w:val="bottom"/>
          </w:tcPr>
          <w:p>
            <w:pPr>
              <w:spacing w:after="0"/>
              <w:rPr>
                <w:sz w:val="24"/>
                <w:szCs w:val="24"/>
                <w:color w:val="auto"/>
              </w:rPr>
            </w:pPr>
          </w:p>
        </w:tc>
      </w:tr>
      <w:tr>
        <w:trPr>
          <w:trHeight w:val="314"/>
        </w:trPr>
        <w:tc>
          <w:tcPr>
            <w:tcW w:w="6120" w:type="dxa"/>
            <w:vAlign w:val="bottom"/>
          </w:tcPr>
          <w:p>
            <w:pPr>
              <w:ind w:left="60"/>
              <w:spacing w:after="0"/>
              <w:rPr>
                <w:sz w:val="20"/>
                <w:szCs w:val="20"/>
                <w:color w:val="auto"/>
              </w:rPr>
            </w:pPr>
            <w:r>
              <w:rPr>
                <w:rFonts w:ascii="Arial" w:cs="Arial" w:eastAsia="Arial" w:hAnsi="Arial"/>
                <w:sz w:val="17"/>
                <w:szCs w:val="17"/>
                <w:color w:val="auto"/>
                <w:w w:val="99"/>
              </w:rPr>
              <w:t>Variable/Fixed Rate Industrial Development Revenue Bonds Due August 1, 2012</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8,000</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8,000</w:t>
            </w:r>
          </w:p>
        </w:tc>
        <w:tc>
          <w:tcPr>
            <w:tcW w:w="40" w:type="dxa"/>
            <w:vAlign w:val="bottom"/>
          </w:tcPr>
          <w:p>
            <w:pPr>
              <w:spacing w:after="0"/>
              <w:rPr>
                <w:sz w:val="24"/>
                <w:szCs w:val="24"/>
                <w:color w:val="auto"/>
              </w:rPr>
            </w:pPr>
          </w:p>
        </w:tc>
      </w:tr>
      <w:tr>
        <w:trPr>
          <w:trHeight w:val="308"/>
        </w:trPr>
        <w:tc>
          <w:tcPr>
            <w:tcW w:w="6120" w:type="dxa"/>
            <w:vAlign w:val="bottom"/>
          </w:tcPr>
          <w:p>
            <w:pPr>
              <w:ind w:left="60"/>
              <w:spacing w:after="0"/>
              <w:rPr>
                <w:sz w:val="20"/>
                <w:szCs w:val="20"/>
                <w:color w:val="auto"/>
              </w:rPr>
            </w:pPr>
            <w:r>
              <w:rPr>
                <w:rFonts w:ascii="Arial" w:cs="Arial" w:eastAsia="Arial" w:hAnsi="Arial"/>
                <w:sz w:val="17"/>
                <w:szCs w:val="17"/>
                <w:color w:val="auto"/>
              </w:rPr>
              <w:t>Variable/Fixed Rate Industrial Development Revenue Bond Series 1999 Due</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120" w:type="dxa"/>
            <w:vAlign w:val="bottom"/>
          </w:tcPr>
          <w:p>
            <w:pPr>
              <w:ind w:left="280"/>
              <w:spacing w:after="0"/>
              <w:rPr>
                <w:sz w:val="20"/>
                <w:szCs w:val="20"/>
                <w:color w:val="auto"/>
              </w:rPr>
            </w:pPr>
            <w:r>
              <w:rPr>
                <w:rFonts w:ascii="Arial" w:cs="Arial" w:eastAsia="Arial" w:hAnsi="Arial"/>
                <w:sz w:val="17"/>
                <w:szCs w:val="17"/>
                <w:color w:val="auto"/>
              </w:rPr>
              <w:t>November 1, 2014</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8,200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8,200</w:t>
            </w:r>
          </w:p>
        </w:tc>
        <w:tc>
          <w:tcPr>
            <w:tcW w:w="40" w:type="dxa"/>
            <w:vAlign w:val="bottom"/>
          </w:tcPr>
          <w:p>
            <w:pPr>
              <w:spacing w:after="0"/>
              <w:rPr>
                <w:sz w:val="18"/>
                <w:szCs w:val="18"/>
                <w:color w:val="auto"/>
              </w:rPr>
            </w:pPr>
          </w:p>
        </w:tc>
      </w:tr>
      <w:tr>
        <w:trPr>
          <w:trHeight w:val="314"/>
        </w:trPr>
        <w:tc>
          <w:tcPr>
            <w:tcW w:w="6120" w:type="dxa"/>
            <w:vAlign w:val="bottom"/>
          </w:tcPr>
          <w:p>
            <w:pPr>
              <w:ind w:left="60"/>
              <w:spacing w:after="0"/>
              <w:rPr>
                <w:sz w:val="20"/>
                <w:szCs w:val="20"/>
                <w:color w:val="auto"/>
              </w:rPr>
            </w:pPr>
            <w:r>
              <w:rPr>
                <w:rFonts w:ascii="Arial" w:cs="Arial" w:eastAsia="Arial" w:hAnsi="Arial"/>
                <w:sz w:val="17"/>
                <w:szCs w:val="17"/>
                <w:color w:val="auto"/>
                <w:w w:val="98"/>
              </w:rPr>
              <w:t>Variable/Fixed Rate Industrial Development Revenue Bonds Due March 31, 2020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5,000</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r>
      <w:tr>
        <w:trPr>
          <w:trHeight w:val="277"/>
        </w:trPr>
        <w:tc>
          <w:tcPr>
            <w:tcW w:w="6120" w:type="dxa"/>
            <w:vAlign w:val="bottom"/>
          </w:tcPr>
          <w:p>
            <w:pPr>
              <w:ind w:left="60"/>
              <w:spacing w:after="0"/>
              <w:rPr>
                <w:sz w:val="20"/>
                <w:szCs w:val="20"/>
                <w:color w:val="auto"/>
              </w:rPr>
            </w:pPr>
            <w:r>
              <w:rPr>
                <w:rFonts w:ascii="Arial" w:cs="Arial" w:eastAsia="Arial" w:hAnsi="Arial"/>
                <w:sz w:val="17"/>
                <w:szCs w:val="17"/>
                <w:color w:val="auto"/>
              </w:rPr>
              <w:t>Other borrowings</w:t>
            </w:r>
          </w:p>
        </w:tc>
        <w:tc>
          <w:tcPr>
            <w:tcW w:w="4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765</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877</w:t>
            </w:r>
          </w:p>
        </w:tc>
        <w:tc>
          <w:tcPr>
            <w:tcW w:w="40" w:type="dxa"/>
            <w:vAlign w:val="bottom"/>
          </w:tcPr>
          <w:p>
            <w:pPr>
              <w:spacing w:after="0"/>
              <w:rPr>
                <w:sz w:val="24"/>
                <w:szCs w:val="24"/>
                <w:color w:val="auto"/>
              </w:rPr>
            </w:pPr>
          </w:p>
        </w:tc>
      </w:tr>
      <w:tr>
        <w:trPr>
          <w:trHeight w:val="357"/>
        </w:trPr>
        <w:tc>
          <w:tcPr>
            <w:tcW w:w="6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2"/>
              </w:rPr>
              <w:t>90,622</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88,677</w:t>
            </w:r>
          </w:p>
        </w:tc>
        <w:tc>
          <w:tcPr>
            <w:tcW w:w="40" w:type="dxa"/>
            <w:vAlign w:val="bottom"/>
          </w:tcPr>
          <w:p>
            <w:pPr>
              <w:spacing w:after="0"/>
              <w:rPr>
                <w:sz w:val="24"/>
                <w:szCs w:val="24"/>
                <w:color w:val="auto"/>
              </w:rPr>
            </w:pPr>
          </w:p>
        </w:tc>
      </w:tr>
      <w:tr>
        <w:trPr>
          <w:trHeight w:val="277"/>
        </w:trPr>
        <w:tc>
          <w:tcPr>
            <w:tcW w:w="6120" w:type="dxa"/>
            <w:vAlign w:val="bottom"/>
          </w:tcPr>
          <w:p>
            <w:pPr>
              <w:ind w:left="60"/>
              <w:spacing w:after="0"/>
              <w:rPr>
                <w:sz w:val="20"/>
                <w:szCs w:val="20"/>
                <w:color w:val="auto"/>
              </w:rPr>
            </w:pPr>
            <w:r>
              <w:rPr>
                <w:rFonts w:ascii="Arial" w:cs="Arial" w:eastAsia="Arial" w:hAnsi="Arial"/>
                <w:sz w:val="17"/>
                <w:szCs w:val="17"/>
                <w:color w:val="auto"/>
              </w:rPr>
              <w:t>Less: Current maturities</w:t>
            </w:r>
          </w:p>
        </w:tc>
        <w:tc>
          <w:tcPr>
            <w:tcW w:w="4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765</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8"/>
              </w:rPr>
              <w:t>13,439</w:t>
            </w:r>
          </w:p>
        </w:tc>
        <w:tc>
          <w:tcPr>
            <w:tcW w:w="40" w:type="dxa"/>
            <w:vAlign w:val="bottom"/>
          </w:tcPr>
          <w:p>
            <w:pPr>
              <w:spacing w:after="0"/>
              <w:rPr>
                <w:sz w:val="24"/>
                <w:szCs w:val="24"/>
                <w:color w:val="auto"/>
              </w:rPr>
            </w:pPr>
          </w:p>
        </w:tc>
      </w:tr>
      <w:tr>
        <w:trPr>
          <w:trHeight w:val="325"/>
        </w:trPr>
        <w:tc>
          <w:tcPr>
            <w:tcW w:w="6120" w:type="dxa"/>
            <w:vAlign w:val="bottom"/>
          </w:tcPr>
          <w:p>
            <w:pPr>
              <w:ind w:left="60"/>
              <w:spacing w:after="0"/>
              <w:rPr>
                <w:sz w:val="20"/>
                <w:szCs w:val="20"/>
                <w:color w:val="auto"/>
              </w:rPr>
            </w:pPr>
            <w:r>
              <w:rPr>
                <w:rFonts w:ascii="Arial" w:cs="Arial" w:eastAsia="Arial" w:hAnsi="Arial"/>
                <w:sz w:val="17"/>
                <w:szCs w:val="17"/>
                <w:color w:val="auto"/>
              </w:rPr>
              <w:t>Long-term debt</w:t>
            </w: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2"/>
              </w:rPr>
              <w:t>89,857</w:t>
            </w: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75,238</w:t>
            </w:r>
          </w:p>
        </w:tc>
        <w:tc>
          <w:tcPr>
            <w:tcW w:w="40" w:type="dxa"/>
            <w:vAlign w:val="bottom"/>
          </w:tcPr>
          <w:p>
            <w:pPr>
              <w:spacing w:after="0"/>
              <w:rPr>
                <w:sz w:val="24"/>
                <w:szCs w:val="24"/>
                <w:color w:val="auto"/>
              </w:rPr>
            </w:pPr>
          </w:p>
        </w:tc>
      </w:tr>
      <w:tr>
        <w:trPr>
          <w:trHeight w:val="216"/>
        </w:trPr>
        <w:tc>
          <w:tcPr>
            <w:tcW w:w="6120" w:type="dxa"/>
            <w:vAlign w:val="bottom"/>
          </w:tcPr>
          <w:p>
            <w:pPr>
              <w:spacing w:after="0"/>
              <w:rPr>
                <w:sz w:val="18"/>
                <w:szCs w:val="18"/>
                <w:color w:val="auto"/>
              </w:rPr>
            </w:pPr>
          </w:p>
        </w:tc>
        <w:tc>
          <w:tcPr>
            <w:tcW w:w="1260" w:type="dxa"/>
            <w:vAlign w:val="bottom"/>
            <w:gridSpan w:val="6"/>
          </w:tcPr>
          <w:p>
            <w:pPr>
              <w:jc w:val="right"/>
              <w:ind w:right="280"/>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bl>
    <w:p>
      <w:pPr>
        <w:spacing w:after="0" w:line="216" w:lineRule="exact"/>
        <w:rPr>
          <w:sz w:val="20"/>
          <w:szCs w:val="20"/>
          <w:color w:val="auto"/>
        </w:rPr>
      </w:pPr>
    </w:p>
    <w:p>
      <w:pPr>
        <w:jc w:val="both"/>
        <w:ind w:right="100" w:firstLine="213"/>
        <w:spacing w:after="0" w:line="269" w:lineRule="auto"/>
        <w:rPr>
          <w:sz w:val="20"/>
          <w:szCs w:val="20"/>
          <w:color w:val="auto"/>
        </w:rPr>
      </w:pPr>
      <w:r>
        <w:rPr>
          <w:rFonts w:ascii="Arial" w:cs="Arial" w:eastAsia="Arial" w:hAnsi="Arial"/>
          <w:sz w:val="17"/>
          <w:szCs w:val="17"/>
          <w:color w:val="auto"/>
        </w:rPr>
        <w:t>On June 28, 1993, through a private placement, the Company issued $65 million of 6.04% Guarantied Senior Notes (the "Notes") due June 11, 2000. The proceeds from the sale of the Notes were used to finance the purchase of 2.5 million shares of treasury stock, and for other corporate purposes. Interest on the Notes is payable semi-annually. On June 11, 2000 the Company remitted its final principal payment.</w:t>
      </w:r>
    </w:p>
    <w:p>
      <w:pPr>
        <w:spacing w:after="0" w:line="141" w:lineRule="exact"/>
        <w:rPr>
          <w:sz w:val="20"/>
          <w:szCs w:val="20"/>
          <w:color w:val="auto"/>
        </w:rPr>
      </w:pPr>
    </w:p>
    <w:p>
      <w:pPr>
        <w:ind w:right="140" w:firstLine="213"/>
        <w:spacing w:after="0" w:line="293" w:lineRule="auto"/>
        <w:rPr>
          <w:sz w:val="20"/>
          <w:szCs w:val="20"/>
          <w:color w:val="auto"/>
        </w:rPr>
      </w:pPr>
      <w:r>
        <w:rPr>
          <w:rFonts w:ascii="Arial" w:cs="Arial" w:eastAsia="Arial" w:hAnsi="Arial"/>
          <w:sz w:val="16"/>
          <w:szCs w:val="16"/>
          <w:color w:val="auto"/>
        </w:rPr>
        <w:t>On July 24, 1996, through a private placement, the Company issued $50 million of 7.49% Guaranteed Senior Notes due July 24, 2006. The proceeds from the sale of the notes were used to refinance a portion of the short-term commercial bank debt outstanding. These notes rank pari passu with the Company's other unsecured senior obligations. No required principal payments are due until July 24, 2006. Interest on the notes is payable semi-annually.</w:t>
      </w:r>
    </w:p>
    <w:p>
      <w:pPr>
        <w:spacing w:after="0" w:line="125" w:lineRule="exact"/>
        <w:rPr>
          <w:sz w:val="20"/>
          <w:szCs w:val="20"/>
          <w:color w:val="auto"/>
        </w:rPr>
      </w:pPr>
    </w:p>
    <w:p>
      <w:pPr>
        <w:jc w:val="both"/>
        <w:ind w:right="140" w:firstLine="213"/>
        <w:spacing w:after="0" w:line="269" w:lineRule="auto"/>
        <w:rPr>
          <w:sz w:val="20"/>
          <w:szCs w:val="20"/>
          <w:color w:val="auto"/>
        </w:rPr>
      </w:pPr>
      <w:r>
        <w:rPr>
          <w:rFonts w:ascii="Arial" w:cs="Arial" w:eastAsia="Arial" w:hAnsi="Arial"/>
          <w:sz w:val="17"/>
          <w:szCs w:val="17"/>
          <w:color w:val="auto"/>
        </w:rPr>
        <w:t>On May 17, 2000, the Company's majority-owned subsidiary, Specialty Minerals FMT. K.K., entered into a Yen-denominated Guaranteed Credit Agreement with the Bank of New York due March 31, 2007. The proceeds were used to finance the construction of a PCC satellite facility in Japan. Principal payments begin on June 30, 2002. Interest is payable quarterly at a rate of 2.05% per annum.</w:t>
      </w:r>
    </w:p>
    <w:p>
      <w:pPr>
        <w:spacing w:after="0" w:line="141" w:lineRule="exact"/>
        <w:rPr>
          <w:sz w:val="20"/>
          <w:szCs w:val="20"/>
          <w:color w:val="auto"/>
        </w:rPr>
      </w:pPr>
    </w:p>
    <w:p>
      <w:pPr>
        <w:ind w:right="140" w:firstLine="210"/>
        <w:spacing w:after="0" w:line="283" w:lineRule="auto"/>
        <w:rPr>
          <w:sz w:val="20"/>
          <w:szCs w:val="20"/>
          <w:color w:val="auto"/>
        </w:rPr>
      </w:pPr>
      <w:r>
        <w:rPr>
          <w:rFonts w:ascii="Arial" w:cs="Arial" w:eastAsia="Arial" w:hAnsi="Arial"/>
          <w:sz w:val="16"/>
          <w:szCs w:val="16"/>
          <w:color w:val="auto"/>
        </w:rPr>
        <w:t>The Variable/Fixed Rate Industrial Development Revenue Bonds due 2009 are tax-exempt 15-year instruments issued to finance the expansion of a PCC plant in Selma, Alabama. The bonds are dated November 1, 1994, and provide for an optional put by the holder (during the Variable Rate Period) and a mandatory call by the issuer.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rates were approximately 4.33% and 3.44% for the years ended December 31, 2000 and 1999, respectively.</w:t>
      </w:r>
    </w:p>
    <w:p>
      <w:pPr>
        <w:spacing w:after="0" w:line="133" w:lineRule="exact"/>
        <w:rPr>
          <w:sz w:val="20"/>
          <w:szCs w:val="20"/>
          <w:color w:val="auto"/>
        </w:rPr>
      </w:pPr>
    </w:p>
    <w:p>
      <w:pPr>
        <w:ind w:right="60" w:firstLine="210"/>
        <w:spacing w:after="0" w:line="311" w:lineRule="auto"/>
        <w:rPr>
          <w:sz w:val="20"/>
          <w:szCs w:val="20"/>
          <w:color w:val="auto"/>
        </w:rPr>
      </w:pPr>
      <w:r>
        <w:rPr>
          <w:rFonts w:ascii="Arial" w:cs="Arial" w:eastAsia="Arial" w:hAnsi="Arial"/>
          <w:sz w:val="15"/>
          <w:szCs w:val="15"/>
          <w:color w:val="auto"/>
        </w:rPr>
        <w:t>The Economic Development Authority Refunding Revenue Bonds due 2010 were issued on February 23, 1999 to refinance the bonds issued in connection with the construction of a PCC plant in Eastover, South Carolina.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rates were approximately 4.33% and 3.52% for the years ended December 31, 2000 and the period ended December 31, 1999, respectively.</w:t>
      </w:r>
    </w:p>
    <w:p>
      <w:pPr>
        <w:spacing w:after="0" w:line="114" w:lineRule="exact"/>
        <w:rPr>
          <w:sz w:val="20"/>
          <w:szCs w:val="20"/>
          <w:color w:val="auto"/>
        </w:rPr>
      </w:pPr>
    </w:p>
    <w:p>
      <w:pPr>
        <w:ind w:right="120" w:firstLine="210"/>
        <w:spacing w:after="0" w:line="311" w:lineRule="auto"/>
        <w:rPr>
          <w:sz w:val="20"/>
          <w:szCs w:val="20"/>
          <w:color w:val="auto"/>
        </w:rPr>
      </w:pPr>
      <w:r>
        <w:rPr>
          <w:rFonts w:ascii="Arial" w:cs="Arial" w:eastAsia="Arial" w:hAnsi="Arial"/>
          <w:sz w:val="15"/>
          <w:szCs w:val="15"/>
          <w:color w:val="auto"/>
        </w:rPr>
        <w:t>The Variable/Fixed Rate Industrial Development Revenue Bonds due August 1, 2012 are tax-exempt 15-year instruments that were issued on August 1, 1997 to finance the construction of a PCC plant in Courtland, Alabama.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rates were approximately 4.33% and 3.42% for the years ended December 31, 2000 and 1999, respectively.</w:t>
      </w:r>
    </w:p>
    <w:p>
      <w:pPr>
        <w:sectPr>
          <w:pgSz w:w="11900" w:h="16838" w:orient="portrait"/>
          <w:cols w:equalWidth="0" w:num="1">
            <w:col w:w="11420"/>
          </w:cols>
          <w:pgMar w:left="240" w:top="131" w:right="239" w:bottom="0" w:gutter="0" w:footer="0" w:header="0"/>
        </w:sectPr>
      </w:pPr>
    </w:p>
    <w:bookmarkStart w:id="30" w:name="page31"/>
    <w:bookmarkEnd w:id="30"/>
    <w:p>
      <w:pPr>
        <w:spacing w:after="0" w:line="103" w:lineRule="exact"/>
        <w:rPr>
          <w:sz w:val="20"/>
          <w:szCs w:val="20"/>
          <w:color w:val="auto"/>
        </w:rPr>
      </w:pPr>
    </w:p>
    <w:p>
      <w:pPr>
        <w:ind w:right="40" w:firstLine="210"/>
        <w:spacing w:after="0" w:line="263" w:lineRule="auto"/>
        <w:rPr>
          <w:sz w:val="20"/>
          <w:szCs w:val="20"/>
          <w:color w:val="auto"/>
        </w:rPr>
      </w:pPr>
      <w:r>
        <w:rPr>
          <w:rFonts w:ascii="Arial" w:cs="Arial" w:eastAsia="Arial" w:hAnsi="Arial"/>
          <w:sz w:val="17"/>
          <w:szCs w:val="17"/>
          <w:color w:val="auto"/>
        </w:rPr>
        <w:t>The Variable/Fixed Rate Industrial Development Revenue Bonds due November 1, 2014 are tax-exempt 15-year instruments and were issued on November 30, 1999 to refinance the bonds issued in connection with the construction of a PCC plant in Jackson, Alabama. The bonds bear interest at either a variable rate or fixed rate at the option of the Company. Interest is payable semi-annually under the fixed rate option and monthly under the variable rate option. The Company has selected the variable rate option on these borrowings and the average interest rates were approximately 4.33% and 4.62% for the year ended December 31, 2000 and the period ended December 31, 1999, respectively.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firstLine="213"/>
        <w:spacing w:after="0" w:line="269" w:lineRule="auto"/>
        <w:rPr>
          <w:sz w:val="20"/>
          <w:szCs w:val="20"/>
          <w:color w:val="auto"/>
        </w:rPr>
      </w:pPr>
      <w:r>
        <w:rPr>
          <w:rFonts w:ascii="Arial" w:cs="Arial" w:eastAsia="Arial" w:hAnsi="Arial"/>
          <w:sz w:val="17"/>
          <w:szCs w:val="17"/>
          <w:color w:val="auto"/>
        </w:rPr>
        <w:t>On June 9, 2000 the Company entered into a twenty-year, taxable, Variable/Fixed Rate Industrial Development Revenue Bond agreement to finance a portion of the construction of a merchant manufacturing facility for the production of specialty PCC in Mississippi. The Company has selected the variable rate option for this borrowing and the average interest rate was approximately 7.18% for the period ended December 31, 2000.</w:t>
      </w:r>
    </w:p>
    <w:p>
      <w:pPr>
        <w:spacing w:after="0" w:line="141" w:lineRule="exact"/>
        <w:rPr>
          <w:sz w:val="20"/>
          <w:szCs w:val="20"/>
          <w:color w:val="auto"/>
        </w:rPr>
      </w:pPr>
    </w:p>
    <w:p>
      <w:pPr>
        <w:ind w:right="80" w:firstLine="210"/>
        <w:spacing w:after="0" w:line="282" w:lineRule="auto"/>
        <w:rPr>
          <w:sz w:val="20"/>
          <w:szCs w:val="20"/>
          <w:color w:val="auto"/>
        </w:rPr>
      </w:pPr>
      <w:r>
        <w:rPr>
          <w:rFonts w:ascii="Arial" w:cs="Arial" w:eastAsia="Arial" w:hAnsi="Arial"/>
          <w:sz w:val="17"/>
          <w:szCs w:val="17"/>
          <w:color w:val="auto"/>
        </w:rPr>
        <w:t>The aggregate maturities of long-term debt are as follows: 2001 - $0.8 million; 2002 - $0.8 million; 2003 - $1.4 million; 2004 - - $2.3 million; 2005 - $2.5 million; thereafter - $82.8 million.</w:t>
      </w:r>
    </w:p>
    <w:p>
      <w:pPr>
        <w:spacing w:after="0" w:line="130" w:lineRule="exact"/>
        <w:rPr>
          <w:sz w:val="20"/>
          <w:szCs w:val="20"/>
          <w:color w:val="auto"/>
        </w:rPr>
      </w:pPr>
    </w:p>
    <w:p>
      <w:pPr>
        <w:jc w:val="both"/>
        <w:ind w:firstLine="210"/>
        <w:spacing w:after="0" w:line="351" w:lineRule="auto"/>
        <w:rPr>
          <w:sz w:val="20"/>
          <w:szCs w:val="20"/>
          <w:color w:val="auto"/>
        </w:rPr>
      </w:pPr>
      <w:r>
        <w:rPr>
          <w:rFonts w:ascii="Arial" w:cs="Arial" w:eastAsia="Arial" w:hAnsi="Arial"/>
          <w:sz w:val="15"/>
          <w:szCs w:val="15"/>
          <w:color w:val="auto"/>
        </w:rPr>
        <w:t>The Company had available approximately $85 million in uncommitted, short-term bank credit lines, of which $48.1 million was in use at December 31, 2000. The interest rate for these borrowings was approximately 7% for the year ended December 31, 2000. There were no borrowings on these credit lines at December 31, 1999.</w:t>
      </w:r>
    </w:p>
    <w:p>
      <w:pPr>
        <w:spacing w:after="0" w:line="85" w:lineRule="exact"/>
        <w:rPr>
          <w:sz w:val="20"/>
          <w:szCs w:val="20"/>
          <w:color w:val="auto"/>
        </w:rPr>
      </w:pPr>
    </w:p>
    <w:p>
      <w:pPr>
        <w:ind w:right="240" w:firstLine="213"/>
        <w:spacing w:after="0" w:line="282" w:lineRule="auto"/>
        <w:rPr>
          <w:sz w:val="20"/>
          <w:szCs w:val="20"/>
          <w:color w:val="auto"/>
        </w:rPr>
      </w:pPr>
      <w:r>
        <w:rPr>
          <w:rFonts w:ascii="Arial" w:cs="Arial" w:eastAsia="Arial" w:hAnsi="Arial"/>
          <w:sz w:val="17"/>
          <w:szCs w:val="17"/>
          <w:color w:val="auto"/>
        </w:rPr>
        <w:t>During 2000, 1999 and 1998, respectively, the Company incurred interest costs of $7,232,000, $6,098,000, and $7,047,000 including $1,921,000, $957,000, and $1,129,000, respectively, which were capitalized. Interest paid approximated the incurred interest costs.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Plans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Pension Plans and Other Postretirement Benefit Plans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and its subsidiaries have pension plans covering substantially all eligible employees on a contributory or non-contributory basis.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funded status of the Company's pension plans and other postretirement benefit plans at December 31, 2000 and 1999 is as follows:</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223"/>
        </w:trPr>
        <w:tc>
          <w:tcPr>
            <w:tcW w:w="4540" w:type="dxa"/>
            <w:vAlign w:val="bottom"/>
            <w:shd w:val="clear" w:color="auto" w:fill="C0C0C0"/>
          </w:tcPr>
          <w:p>
            <w:pPr>
              <w:spacing w:after="0"/>
              <w:rPr>
                <w:sz w:val="19"/>
                <w:szCs w:val="19"/>
                <w:color w:val="auto"/>
              </w:rPr>
            </w:pPr>
          </w:p>
        </w:tc>
        <w:tc>
          <w:tcPr>
            <w:tcW w:w="1020" w:type="dxa"/>
            <w:vAlign w:val="bottom"/>
            <w:tcBorders>
              <w:right w:val="single" w:sz="8" w:color="C0C0C0"/>
            </w:tcBorders>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1240" w:type="dxa"/>
            <w:vAlign w:val="bottom"/>
            <w:tcBorders>
              <w:left w:val="single" w:sz="8" w:color="C0C0C0"/>
            </w:tcBorders>
            <w:gridSpan w:val="3"/>
            <w:shd w:val="clear" w:color="auto" w:fill="C0C0C0"/>
          </w:tcPr>
          <w:p>
            <w:pPr>
              <w:ind w:left="40"/>
              <w:spacing w:after="0"/>
              <w:rPr>
                <w:sz w:val="20"/>
                <w:szCs w:val="20"/>
                <w:color w:val="auto"/>
              </w:rPr>
            </w:pPr>
            <w:r>
              <w:rPr>
                <w:rFonts w:ascii="Arial" w:cs="Arial" w:eastAsia="Arial" w:hAnsi="Arial"/>
                <w:sz w:val="17"/>
                <w:szCs w:val="17"/>
                <w:b w:val="1"/>
                <w:bCs w:val="1"/>
                <w:color w:val="auto"/>
                <w:w w:val="85"/>
              </w:rPr>
              <w:t>Pension Benefits</w:t>
            </w:r>
          </w:p>
        </w:tc>
        <w:tc>
          <w:tcPr>
            <w:tcW w:w="220" w:type="dxa"/>
            <w:vAlign w:val="bottom"/>
            <w:gridSpan w:val="2"/>
            <w:shd w:val="clear" w:color="auto" w:fill="C0C0C0"/>
          </w:tcPr>
          <w:p>
            <w:pPr>
              <w:spacing w:after="0"/>
              <w:rPr>
                <w:sz w:val="19"/>
                <w:szCs w:val="19"/>
                <w:color w:val="auto"/>
              </w:rPr>
            </w:pPr>
          </w:p>
        </w:tc>
        <w:tc>
          <w:tcPr>
            <w:tcW w:w="1060" w:type="dxa"/>
            <w:vAlign w:val="bottom"/>
            <w:tcBorders>
              <w:right w:val="single" w:sz="8" w:color="C0C0C0"/>
            </w:tcBorders>
            <w:shd w:val="clear" w:color="auto" w:fill="C0C0C0"/>
          </w:tcPr>
          <w:p>
            <w:pPr>
              <w:spacing w:after="0"/>
              <w:rPr>
                <w:sz w:val="19"/>
                <w:szCs w:val="19"/>
                <w:color w:val="auto"/>
              </w:rPr>
            </w:pPr>
          </w:p>
        </w:tc>
        <w:tc>
          <w:tcPr>
            <w:tcW w:w="130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7"/>
                <w:szCs w:val="17"/>
                <w:b w:val="1"/>
                <w:bCs w:val="1"/>
                <w:color w:val="auto"/>
              </w:rPr>
              <w:t>Other Benefits</w:t>
            </w:r>
          </w:p>
        </w:tc>
        <w:tc>
          <w:tcPr>
            <w:tcW w:w="280" w:type="dxa"/>
            <w:vAlign w:val="bottom"/>
            <w:shd w:val="clear" w:color="auto" w:fill="C0C0C0"/>
          </w:tcPr>
          <w:p>
            <w:pPr>
              <w:spacing w:after="0"/>
              <w:rPr>
                <w:sz w:val="19"/>
                <w:szCs w:val="19"/>
                <w:color w:val="auto"/>
              </w:rPr>
            </w:pPr>
          </w:p>
        </w:tc>
        <w:tc>
          <w:tcPr>
            <w:tcW w:w="60" w:type="dxa"/>
            <w:vAlign w:val="bottom"/>
            <w:tcBorders>
              <w:left w:val="single" w:sz="8" w:color="C0C0C0"/>
            </w:tcBorders>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r>
      <w:tr>
        <w:trPr>
          <w:trHeight w:val="20"/>
        </w:trPr>
        <w:tc>
          <w:tcPr>
            <w:tcW w:w="4540" w:type="dxa"/>
            <w:vAlign w:val="bottom"/>
            <w:shd w:val="clear" w:color="auto" w:fill="C0C0C0"/>
          </w:tcPr>
          <w:p>
            <w:pPr>
              <w:spacing w:after="0" w:line="20" w:lineRule="exact"/>
              <w:rPr>
                <w:sz w:val="1"/>
                <w:szCs w:val="1"/>
                <w:color w:val="auto"/>
              </w:rPr>
            </w:pPr>
          </w:p>
        </w:tc>
        <w:tc>
          <w:tcPr>
            <w:tcW w:w="1020" w:type="dxa"/>
            <w:vAlign w:val="bottom"/>
            <w:tcBorders>
              <w:right w:val="single" w:sz="8" w:color="C0C0C0"/>
            </w:tcBorders>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1060" w:type="dxa"/>
            <w:vAlign w:val="bottom"/>
            <w:tcBorders>
              <w:left w:val="single" w:sz="8" w:color="C0C0C0"/>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60" w:type="dxa"/>
            <w:vAlign w:val="bottom"/>
            <w:shd w:val="clear" w:color="auto" w:fill="C0C0C0"/>
          </w:tcPr>
          <w:p>
            <w:pPr>
              <w:spacing w:after="0" w:line="20" w:lineRule="exact"/>
              <w:rPr>
                <w:sz w:val="1"/>
                <w:szCs w:val="1"/>
                <w:color w:val="auto"/>
              </w:rPr>
            </w:pPr>
          </w:p>
        </w:tc>
        <w:tc>
          <w:tcPr>
            <w:tcW w:w="1060" w:type="dxa"/>
            <w:vAlign w:val="bottom"/>
            <w:tcBorders>
              <w:right w:val="single" w:sz="8" w:color="C0C0C0"/>
            </w:tcBorders>
            <w:shd w:val="clear" w:color="auto" w:fill="C0C0C0"/>
          </w:tcPr>
          <w:p>
            <w:pPr>
              <w:spacing w:after="0" w:line="20" w:lineRule="exact"/>
              <w:rPr>
                <w:sz w:val="1"/>
                <w:szCs w:val="1"/>
                <w:color w:val="auto"/>
              </w:rPr>
            </w:pPr>
          </w:p>
        </w:tc>
        <w:tc>
          <w:tcPr>
            <w:tcW w:w="280" w:type="dxa"/>
            <w:vAlign w:val="bottom"/>
            <w:tcBorders>
              <w:right w:val="single" w:sz="8" w:color="auto"/>
            </w:tcBorders>
            <w:shd w:val="clear" w:color="auto" w:fill="C0C0C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60" w:type="dxa"/>
            <w:vAlign w:val="bottom"/>
            <w:tcBorders>
              <w:left w:val="single" w:sz="8" w:color="C0C0C0"/>
            </w:tcBorders>
            <w:shd w:val="clear" w:color="auto" w:fill="C0C0C0"/>
          </w:tcPr>
          <w:p>
            <w:pPr>
              <w:spacing w:after="0" w:line="20" w:lineRule="exact"/>
              <w:rPr>
                <w:sz w:val="1"/>
                <w:szCs w:val="1"/>
                <w:color w:val="auto"/>
              </w:rPr>
            </w:pPr>
          </w:p>
        </w:tc>
        <w:tc>
          <w:tcPr>
            <w:tcW w:w="60" w:type="dxa"/>
            <w:vAlign w:val="bottom"/>
            <w:shd w:val="clear" w:color="auto" w:fill="C0C0C0"/>
          </w:tcPr>
          <w:p>
            <w:pPr>
              <w:spacing w:after="0" w:line="20" w:lineRule="exact"/>
              <w:rPr>
                <w:sz w:val="1"/>
                <w:szCs w:val="1"/>
                <w:color w:val="auto"/>
              </w:rPr>
            </w:pPr>
          </w:p>
        </w:tc>
      </w:tr>
      <w:tr>
        <w:trPr>
          <w:trHeight w:val="320"/>
        </w:trPr>
        <w:tc>
          <w:tcPr>
            <w:tcW w:w="4540" w:type="dxa"/>
            <w:vAlign w:val="bottom"/>
            <w:shd w:val="clear" w:color="auto" w:fill="C0C0C0"/>
          </w:tcPr>
          <w:p>
            <w:pPr>
              <w:ind w:left="40"/>
              <w:spacing w:after="0"/>
              <w:rPr>
                <w:sz w:val="20"/>
                <w:szCs w:val="20"/>
                <w:color w:val="auto"/>
              </w:rPr>
            </w:pPr>
            <w:r>
              <w:rPr>
                <w:rFonts w:ascii="Arial" w:cs="Arial" w:eastAsia="Arial" w:hAnsi="Arial"/>
                <w:sz w:val="17"/>
                <w:szCs w:val="17"/>
                <w:b w:val="1"/>
                <w:bCs w:val="1"/>
                <w:color w:val="auto"/>
              </w:rPr>
              <w:t>Millions of Dollars</w:t>
            </w:r>
          </w:p>
        </w:tc>
        <w:tc>
          <w:tcPr>
            <w:tcW w:w="1020" w:type="dxa"/>
            <w:vAlign w:val="bottom"/>
            <w:tcBorders>
              <w:right w:val="single" w:sz="8" w:color="C0C0C0"/>
            </w:tcBorders>
            <w:shd w:val="clear" w:color="auto" w:fill="C0C0C0"/>
          </w:tcPr>
          <w:p>
            <w:pPr>
              <w:spacing w:after="0"/>
              <w:rPr>
                <w:sz w:val="24"/>
                <w:szCs w:val="24"/>
                <w:color w:val="auto"/>
              </w:rPr>
            </w:pP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w w:val="84"/>
              </w:rPr>
              <w:t>2000</w:t>
            </w:r>
          </w:p>
        </w:tc>
        <w:tc>
          <w:tcPr>
            <w:tcW w:w="1060" w:type="dxa"/>
            <w:vAlign w:val="bottom"/>
            <w:tcBorders>
              <w:left w:val="single" w:sz="8" w:color="C0C0C0"/>
              <w:right w:val="single" w:sz="8" w:color="C0C0C0"/>
            </w:tcBorders>
            <w:shd w:val="clear" w:color="auto" w:fill="C0C0C0"/>
          </w:tcPr>
          <w:p>
            <w:pPr>
              <w:spacing w:after="0"/>
              <w:rPr>
                <w:sz w:val="24"/>
                <w:szCs w:val="24"/>
                <w:color w:val="auto"/>
              </w:rPr>
            </w:pPr>
          </w:p>
        </w:tc>
        <w:tc>
          <w:tcPr>
            <w:tcW w:w="400" w:type="dxa"/>
            <w:vAlign w:val="bottom"/>
            <w:gridSpan w:val="4"/>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1060" w:type="dxa"/>
            <w:vAlign w:val="bottom"/>
            <w:tcBorders>
              <w:right w:val="single" w:sz="8" w:color="C0C0C0"/>
            </w:tcBorders>
            <w:shd w:val="clear" w:color="auto" w:fill="C0C0C0"/>
          </w:tcPr>
          <w:p>
            <w:pPr>
              <w:spacing w:after="0"/>
              <w:rPr>
                <w:sz w:val="24"/>
                <w:szCs w:val="24"/>
                <w:color w:val="auto"/>
              </w:rPr>
            </w:pPr>
          </w:p>
        </w:tc>
        <w:tc>
          <w:tcPr>
            <w:tcW w:w="720" w:type="dxa"/>
            <w:vAlign w:val="bottom"/>
            <w:gridSpan w:val="2"/>
            <w:shd w:val="clear" w:color="auto" w:fill="C0C0C0"/>
          </w:tcPr>
          <w:p>
            <w:pPr>
              <w:jc w:val="right"/>
              <w:ind w:right="380"/>
              <w:spacing w:after="0"/>
              <w:rPr>
                <w:sz w:val="20"/>
                <w:szCs w:val="20"/>
                <w:color w:val="auto"/>
              </w:rPr>
            </w:pPr>
            <w:r>
              <w:rPr>
                <w:rFonts w:ascii="Arial" w:cs="Arial" w:eastAsia="Arial" w:hAnsi="Arial"/>
                <w:sz w:val="17"/>
                <w:szCs w:val="17"/>
                <w:b w:val="1"/>
                <w:bCs w:val="1"/>
                <w:color w:val="auto"/>
                <w:w w:val="84"/>
              </w:rPr>
              <w:t>2000</w:t>
            </w:r>
          </w:p>
        </w:tc>
        <w:tc>
          <w:tcPr>
            <w:tcW w:w="580" w:type="dxa"/>
            <w:vAlign w:val="bottom"/>
            <w:tcBorders>
              <w:right w:val="single" w:sz="8" w:color="C0C0C0"/>
            </w:tcBorders>
            <w:shd w:val="clear" w:color="auto" w:fill="C0C0C0"/>
          </w:tcPr>
          <w:p>
            <w:pPr>
              <w:spacing w:after="0"/>
              <w:rPr>
                <w:sz w:val="24"/>
                <w:szCs w:val="24"/>
                <w:color w:val="auto"/>
              </w:rPr>
            </w:pP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w w:val="84"/>
              </w:rPr>
              <w:t>1999</w:t>
            </w:r>
          </w:p>
        </w:tc>
        <w:tc>
          <w:tcPr>
            <w:tcW w:w="60" w:type="dxa"/>
            <w:vAlign w:val="bottom"/>
            <w:shd w:val="clear" w:color="auto" w:fill="C0C0C0"/>
          </w:tcPr>
          <w:p>
            <w:pPr>
              <w:spacing w:after="0"/>
              <w:rPr>
                <w:sz w:val="24"/>
                <w:szCs w:val="24"/>
                <w:color w:val="auto"/>
              </w:rPr>
            </w:pPr>
          </w:p>
        </w:tc>
      </w:tr>
      <w:tr>
        <w:trPr>
          <w:trHeight w:val="72"/>
        </w:trPr>
        <w:tc>
          <w:tcPr>
            <w:tcW w:w="4540" w:type="dxa"/>
            <w:vAlign w:val="bottom"/>
            <w:tcBorders>
              <w:top w:val="single" w:sz="8" w:color="C0C0C0"/>
            </w:tcBorders>
            <w:shd w:val="clear" w:color="auto" w:fill="C0C0C0"/>
          </w:tcPr>
          <w:p>
            <w:pPr>
              <w:spacing w:after="0"/>
              <w:rPr>
                <w:sz w:val="6"/>
                <w:szCs w:val="6"/>
                <w:color w:val="auto"/>
              </w:rPr>
            </w:pPr>
          </w:p>
        </w:tc>
        <w:tc>
          <w:tcPr>
            <w:tcW w:w="1020" w:type="dxa"/>
            <w:vAlign w:val="bottom"/>
            <w:tcBorders>
              <w:top w:val="single" w:sz="8" w:color="C0C0C0"/>
              <w:right w:val="single" w:sz="8" w:color="C0C0C0"/>
            </w:tcBorders>
            <w:shd w:val="clear" w:color="auto" w:fill="C0C0C0"/>
          </w:tcPr>
          <w:p>
            <w:pPr>
              <w:spacing w:after="0"/>
              <w:rPr>
                <w:sz w:val="6"/>
                <w:szCs w:val="6"/>
                <w:color w:val="auto"/>
              </w:rPr>
            </w:pPr>
          </w:p>
        </w:tc>
        <w:tc>
          <w:tcPr>
            <w:tcW w:w="280" w:type="dxa"/>
            <w:vAlign w:val="bottom"/>
            <w:tcBorders>
              <w:top w:val="single" w:sz="8" w:color="auto"/>
            </w:tcBorders>
            <w:shd w:val="clear" w:color="auto" w:fill="C0C0C0"/>
          </w:tcPr>
          <w:p>
            <w:pPr>
              <w:spacing w:after="0"/>
              <w:rPr>
                <w:sz w:val="6"/>
                <w:szCs w:val="6"/>
                <w:color w:val="auto"/>
              </w:rPr>
            </w:pPr>
          </w:p>
        </w:tc>
        <w:tc>
          <w:tcPr>
            <w:tcW w:w="20" w:type="dxa"/>
            <w:vAlign w:val="bottom"/>
            <w:tcBorders>
              <w:top w:val="single" w:sz="8" w:color="auto"/>
            </w:tcBorders>
            <w:shd w:val="clear" w:color="auto" w:fill="C0C0C0"/>
          </w:tcPr>
          <w:p>
            <w:pPr>
              <w:spacing w:after="0"/>
              <w:rPr>
                <w:sz w:val="6"/>
                <w:szCs w:val="6"/>
                <w:color w:val="auto"/>
              </w:rPr>
            </w:pPr>
          </w:p>
        </w:tc>
        <w:tc>
          <w:tcPr>
            <w:tcW w:w="1060" w:type="dxa"/>
            <w:vAlign w:val="bottom"/>
            <w:tcBorders>
              <w:top w:val="single" w:sz="8" w:color="C0C0C0"/>
              <w:left w:val="single" w:sz="8" w:color="C0C0C0"/>
              <w:right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c>
          <w:tcPr>
            <w:tcW w:w="120" w:type="dxa"/>
            <w:vAlign w:val="bottom"/>
            <w:tcBorders>
              <w:top w:val="single" w:sz="8" w:color="auto"/>
            </w:tcBorders>
            <w:shd w:val="clear" w:color="auto" w:fill="C0C0C0"/>
          </w:tcPr>
          <w:p>
            <w:pPr>
              <w:spacing w:after="0"/>
              <w:rPr>
                <w:sz w:val="6"/>
                <w:szCs w:val="6"/>
                <w:color w:val="auto"/>
              </w:rPr>
            </w:pPr>
          </w:p>
        </w:tc>
        <w:tc>
          <w:tcPr>
            <w:tcW w:w="160" w:type="dxa"/>
            <w:vAlign w:val="bottom"/>
            <w:tcBorders>
              <w:top w:val="single" w:sz="8" w:color="auto"/>
            </w:tcBorders>
            <w:shd w:val="clear" w:color="auto" w:fill="C0C0C0"/>
          </w:tcPr>
          <w:p>
            <w:pPr>
              <w:spacing w:after="0"/>
              <w:rPr>
                <w:sz w:val="6"/>
                <w:szCs w:val="6"/>
                <w:color w:val="auto"/>
              </w:rPr>
            </w:pPr>
          </w:p>
        </w:tc>
        <w:tc>
          <w:tcPr>
            <w:tcW w:w="60" w:type="dxa"/>
            <w:vAlign w:val="bottom"/>
            <w:tcBorders>
              <w:top w:val="single" w:sz="8" w:color="auto"/>
            </w:tcBorders>
            <w:shd w:val="clear" w:color="auto" w:fill="C0C0C0"/>
          </w:tcPr>
          <w:p>
            <w:pPr>
              <w:spacing w:after="0"/>
              <w:rPr>
                <w:sz w:val="6"/>
                <w:szCs w:val="6"/>
                <w:color w:val="auto"/>
              </w:rPr>
            </w:pPr>
          </w:p>
        </w:tc>
        <w:tc>
          <w:tcPr>
            <w:tcW w:w="1060" w:type="dxa"/>
            <w:vAlign w:val="bottom"/>
            <w:tcBorders>
              <w:top w:val="single" w:sz="8" w:color="C0C0C0"/>
              <w:right w:val="single" w:sz="8" w:color="C0C0C0"/>
            </w:tcBorders>
            <w:shd w:val="clear" w:color="auto" w:fill="C0C0C0"/>
          </w:tcPr>
          <w:p>
            <w:pPr>
              <w:spacing w:after="0"/>
              <w:rPr>
                <w:sz w:val="6"/>
                <w:szCs w:val="6"/>
                <w:color w:val="auto"/>
              </w:rPr>
            </w:pPr>
          </w:p>
        </w:tc>
        <w:tc>
          <w:tcPr>
            <w:tcW w:w="280" w:type="dxa"/>
            <w:vAlign w:val="bottom"/>
            <w:tcBorders>
              <w:top w:val="single" w:sz="8" w:color="auto"/>
              <w:right w:val="single" w:sz="8" w:color="C0C0C0"/>
            </w:tcBorders>
            <w:shd w:val="clear" w:color="auto" w:fill="C0C0C0"/>
          </w:tcPr>
          <w:p>
            <w:pPr>
              <w:spacing w:after="0"/>
              <w:rPr>
                <w:sz w:val="6"/>
                <w:szCs w:val="6"/>
                <w:color w:val="auto"/>
              </w:rPr>
            </w:pPr>
          </w:p>
        </w:tc>
        <w:tc>
          <w:tcPr>
            <w:tcW w:w="440" w:type="dxa"/>
            <w:vAlign w:val="bottom"/>
            <w:tcBorders>
              <w:top w:val="single" w:sz="8" w:color="C0C0C0"/>
              <w:left w:val="single" w:sz="8" w:color="C0C0C0"/>
            </w:tcBorders>
            <w:shd w:val="clear" w:color="auto" w:fill="C0C0C0"/>
          </w:tcPr>
          <w:p>
            <w:pPr>
              <w:spacing w:after="0"/>
              <w:rPr>
                <w:sz w:val="6"/>
                <w:szCs w:val="6"/>
                <w:color w:val="auto"/>
              </w:rPr>
            </w:pPr>
          </w:p>
        </w:tc>
        <w:tc>
          <w:tcPr>
            <w:tcW w:w="580" w:type="dxa"/>
            <w:vAlign w:val="bottom"/>
            <w:tcBorders>
              <w:top w:val="single" w:sz="8" w:color="C0C0C0"/>
              <w:right w:val="single" w:sz="8" w:color="C0C0C0"/>
            </w:tcBorders>
            <w:shd w:val="clear" w:color="auto" w:fill="C0C0C0"/>
          </w:tcPr>
          <w:p>
            <w:pPr>
              <w:spacing w:after="0"/>
              <w:rPr>
                <w:sz w:val="6"/>
                <w:szCs w:val="6"/>
                <w:color w:val="auto"/>
              </w:rPr>
            </w:pPr>
          </w:p>
        </w:tc>
        <w:tc>
          <w:tcPr>
            <w:tcW w:w="280" w:type="dxa"/>
            <w:vAlign w:val="bottom"/>
            <w:tcBorders>
              <w:top w:val="single" w:sz="8" w:color="auto"/>
            </w:tcBorders>
            <w:shd w:val="clear" w:color="auto" w:fill="C0C0C0"/>
          </w:tcPr>
          <w:p>
            <w:pPr>
              <w:spacing w:after="0"/>
              <w:rPr>
                <w:sz w:val="6"/>
                <w:szCs w:val="6"/>
                <w:color w:val="auto"/>
              </w:rPr>
            </w:pPr>
          </w:p>
        </w:tc>
        <w:tc>
          <w:tcPr>
            <w:tcW w:w="60" w:type="dxa"/>
            <w:vAlign w:val="bottom"/>
            <w:tcBorders>
              <w:top w:val="single" w:sz="8" w:color="auto"/>
              <w:left w:val="single" w:sz="8" w:color="C0C0C0"/>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r>
      <w:tr>
        <w:trPr>
          <w:trHeight w:val="340"/>
        </w:trPr>
        <w:tc>
          <w:tcPr>
            <w:tcW w:w="4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0"/>
        </w:trPr>
        <w:tc>
          <w:tcPr>
            <w:tcW w:w="4540" w:type="dxa"/>
            <w:vAlign w:val="bottom"/>
            <w:shd w:val="clear" w:color="auto" w:fill="C0C0C0"/>
          </w:tcPr>
          <w:p>
            <w:pPr>
              <w:ind w:left="40"/>
              <w:spacing w:after="0"/>
              <w:rPr>
                <w:sz w:val="20"/>
                <w:szCs w:val="20"/>
                <w:color w:val="auto"/>
              </w:rPr>
            </w:pPr>
            <w:r>
              <w:rPr>
                <w:rFonts w:ascii="Arial" w:cs="Arial" w:eastAsia="Arial" w:hAnsi="Arial"/>
                <w:sz w:val="17"/>
                <w:szCs w:val="17"/>
                <w:b w:val="1"/>
                <w:bCs w:val="1"/>
                <w:color w:val="auto"/>
              </w:rPr>
              <w:t>Change in benefit obligation</w:t>
            </w:r>
          </w:p>
        </w:tc>
        <w:tc>
          <w:tcPr>
            <w:tcW w:w="1020" w:type="dxa"/>
            <w:vAlign w:val="bottom"/>
            <w:tcBorders>
              <w:right w:val="single" w:sz="8" w:color="C0C0C0"/>
            </w:tcBorders>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060" w:type="dxa"/>
            <w:vAlign w:val="bottom"/>
            <w:tcBorders>
              <w:left w:val="single" w:sz="8" w:color="C0C0C0"/>
              <w:right w:val="single" w:sz="8" w:color="C0C0C0"/>
            </w:tcBorders>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1060" w:type="dxa"/>
            <w:vAlign w:val="bottom"/>
            <w:tcBorders>
              <w:right w:val="single" w:sz="8" w:color="C0C0C0"/>
            </w:tcBorders>
            <w:shd w:val="clear" w:color="auto" w:fill="C0C0C0"/>
          </w:tcPr>
          <w:p>
            <w:pPr>
              <w:spacing w:after="0"/>
              <w:rPr>
                <w:sz w:val="22"/>
                <w:szCs w:val="22"/>
                <w:color w:val="auto"/>
              </w:rPr>
            </w:pPr>
          </w:p>
        </w:tc>
        <w:tc>
          <w:tcPr>
            <w:tcW w:w="280" w:type="dxa"/>
            <w:vAlign w:val="bottom"/>
            <w:tcBorders>
              <w:right w:val="single" w:sz="8" w:color="C0C0C0"/>
            </w:tcBorders>
            <w:shd w:val="clear" w:color="auto" w:fill="C0C0C0"/>
          </w:tcPr>
          <w:p>
            <w:pPr>
              <w:spacing w:after="0"/>
              <w:rPr>
                <w:sz w:val="22"/>
                <w:szCs w:val="22"/>
                <w:color w:val="auto"/>
              </w:rPr>
            </w:pPr>
          </w:p>
        </w:tc>
        <w:tc>
          <w:tcPr>
            <w:tcW w:w="440" w:type="dxa"/>
            <w:vAlign w:val="bottom"/>
            <w:tcBorders>
              <w:left w:val="single" w:sz="8" w:color="C0C0C0"/>
            </w:tcBorders>
            <w:shd w:val="clear" w:color="auto" w:fill="C0C0C0"/>
          </w:tcPr>
          <w:p>
            <w:pPr>
              <w:spacing w:after="0"/>
              <w:rPr>
                <w:sz w:val="22"/>
                <w:szCs w:val="22"/>
                <w:color w:val="auto"/>
              </w:rPr>
            </w:pPr>
          </w:p>
        </w:tc>
        <w:tc>
          <w:tcPr>
            <w:tcW w:w="580" w:type="dxa"/>
            <w:vAlign w:val="bottom"/>
            <w:tcBorders>
              <w:right w:val="single" w:sz="8" w:color="C0C0C0"/>
            </w:tcBorders>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60" w:type="dxa"/>
            <w:vAlign w:val="bottom"/>
            <w:tcBorders>
              <w:left w:val="single" w:sz="8" w:color="C0C0C0"/>
            </w:tcBorders>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r>
      <w:tr>
        <w:trPr>
          <w:trHeight w:val="81"/>
        </w:trPr>
        <w:tc>
          <w:tcPr>
            <w:tcW w:w="4540" w:type="dxa"/>
            <w:vAlign w:val="bottom"/>
            <w:shd w:val="clear" w:color="auto" w:fill="C0C0C0"/>
          </w:tcPr>
          <w:p>
            <w:pPr>
              <w:spacing w:after="0"/>
              <w:rPr>
                <w:sz w:val="7"/>
                <w:szCs w:val="7"/>
                <w:color w:val="auto"/>
              </w:rPr>
            </w:pPr>
          </w:p>
        </w:tc>
        <w:tc>
          <w:tcPr>
            <w:tcW w:w="1020" w:type="dxa"/>
            <w:vAlign w:val="bottom"/>
            <w:tcBorders>
              <w:right w:val="single" w:sz="8" w:color="C0C0C0"/>
            </w:tcBorders>
            <w:shd w:val="clear" w:color="auto" w:fill="C0C0C0"/>
          </w:tcPr>
          <w:p>
            <w:pPr>
              <w:spacing w:after="0"/>
              <w:rPr>
                <w:sz w:val="7"/>
                <w:szCs w:val="7"/>
                <w:color w:val="auto"/>
              </w:rPr>
            </w:pPr>
          </w:p>
        </w:tc>
        <w:tc>
          <w:tcPr>
            <w:tcW w:w="280" w:type="dxa"/>
            <w:vAlign w:val="bottom"/>
            <w:shd w:val="clear" w:color="auto" w:fill="C0C0C0"/>
          </w:tcPr>
          <w:p>
            <w:pPr>
              <w:spacing w:after="0"/>
              <w:rPr>
                <w:sz w:val="7"/>
                <w:szCs w:val="7"/>
                <w:color w:val="auto"/>
              </w:rPr>
            </w:pPr>
          </w:p>
        </w:tc>
        <w:tc>
          <w:tcPr>
            <w:tcW w:w="20" w:type="dxa"/>
            <w:vAlign w:val="bottom"/>
            <w:shd w:val="clear" w:color="auto" w:fill="C0C0C0"/>
          </w:tcPr>
          <w:p>
            <w:pPr>
              <w:spacing w:after="0"/>
              <w:rPr>
                <w:sz w:val="7"/>
                <w:szCs w:val="7"/>
                <w:color w:val="auto"/>
              </w:rPr>
            </w:pPr>
          </w:p>
        </w:tc>
        <w:tc>
          <w:tcPr>
            <w:tcW w:w="1060" w:type="dxa"/>
            <w:vAlign w:val="bottom"/>
            <w:tcBorders>
              <w:left w:val="single" w:sz="8" w:color="C0C0C0"/>
              <w:right w:val="single" w:sz="8" w:color="C0C0C0"/>
            </w:tcBorders>
            <w:shd w:val="clear" w:color="auto" w:fill="C0C0C0"/>
          </w:tcPr>
          <w:p>
            <w:pPr>
              <w:spacing w:after="0"/>
              <w:rPr>
                <w:sz w:val="7"/>
                <w:szCs w:val="7"/>
                <w:color w:val="auto"/>
              </w:rPr>
            </w:pPr>
          </w:p>
        </w:tc>
        <w:tc>
          <w:tcPr>
            <w:tcW w:w="60" w:type="dxa"/>
            <w:vAlign w:val="bottom"/>
            <w:shd w:val="clear" w:color="auto" w:fill="C0C0C0"/>
          </w:tcPr>
          <w:p>
            <w:pPr>
              <w:spacing w:after="0"/>
              <w:rPr>
                <w:sz w:val="7"/>
                <w:szCs w:val="7"/>
                <w:color w:val="auto"/>
              </w:rPr>
            </w:pPr>
          </w:p>
        </w:tc>
        <w:tc>
          <w:tcPr>
            <w:tcW w:w="120" w:type="dxa"/>
            <w:vAlign w:val="bottom"/>
            <w:shd w:val="clear" w:color="auto" w:fill="C0C0C0"/>
          </w:tcPr>
          <w:p>
            <w:pPr>
              <w:spacing w:after="0"/>
              <w:rPr>
                <w:sz w:val="7"/>
                <w:szCs w:val="7"/>
                <w:color w:val="auto"/>
              </w:rPr>
            </w:pPr>
          </w:p>
        </w:tc>
        <w:tc>
          <w:tcPr>
            <w:tcW w:w="160" w:type="dxa"/>
            <w:vAlign w:val="bottom"/>
            <w:shd w:val="clear" w:color="auto" w:fill="C0C0C0"/>
          </w:tcPr>
          <w:p>
            <w:pPr>
              <w:spacing w:after="0"/>
              <w:rPr>
                <w:sz w:val="7"/>
                <w:szCs w:val="7"/>
                <w:color w:val="auto"/>
              </w:rPr>
            </w:pPr>
          </w:p>
        </w:tc>
        <w:tc>
          <w:tcPr>
            <w:tcW w:w="60" w:type="dxa"/>
            <w:vAlign w:val="bottom"/>
            <w:shd w:val="clear" w:color="auto" w:fill="C0C0C0"/>
          </w:tcPr>
          <w:p>
            <w:pPr>
              <w:spacing w:after="0"/>
              <w:rPr>
                <w:sz w:val="7"/>
                <w:szCs w:val="7"/>
                <w:color w:val="auto"/>
              </w:rPr>
            </w:pPr>
          </w:p>
        </w:tc>
        <w:tc>
          <w:tcPr>
            <w:tcW w:w="1060" w:type="dxa"/>
            <w:vAlign w:val="bottom"/>
            <w:tcBorders>
              <w:right w:val="single" w:sz="8" w:color="C0C0C0"/>
            </w:tcBorders>
            <w:shd w:val="clear" w:color="auto" w:fill="C0C0C0"/>
          </w:tcPr>
          <w:p>
            <w:pPr>
              <w:spacing w:after="0"/>
              <w:rPr>
                <w:sz w:val="7"/>
                <w:szCs w:val="7"/>
                <w:color w:val="auto"/>
              </w:rPr>
            </w:pPr>
          </w:p>
        </w:tc>
        <w:tc>
          <w:tcPr>
            <w:tcW w:w="280" w:type="dxa"/>
            <w:vAlign w:val="bottom"/>
            <w:tcBorders>
              <w:right w:val="single" w:sz="8" w:color="C0C0C0"/>
            </w:tcBorders>
            <w:shd w:val="clear" w:color="auto" w:fill="C0C0C0"/>
          </w:tcPr>
          <w:p>
            <w:pPr>
              <w:spacing w:after="0"/>
              <w:rPr>
                <w:sz w:val="7"/>
                <w:szCs w:val="7"/>
                <w:color w:val="auto"/>
              </w:rPr>
            </w:pPr>
          </w:p>
        </w:tc>
        <w:tc>
          <w:tcPr>
            <w:tcW w:w="440" w:type="dxa"/>
            <w:vAlign w:val="bottom"/>
            <w:tcBorders>
              <w:left w:val="single" w:sz="8" w:color="C0C0C0"/>
            </w:tcBorders>
            <w:shd w:val="clear" w:color="auto" w:fill="C0C0C0"/>
          </w:tcPr>
          <w:p>
            <w:pPr>
              <w:spacing w:after="0"/>
              <w:rPr>
                <w:sz w:val="7"/>
                <w:szCs w:val="7"/>
                <w:color w:val="auto"/>
              </w:rPr>
            </w:pPr>
          </w:p>
        </w:tc>
        <w:tc>
          <w:tcPr>
            <w:tcW w:w="580" w:type="dxa"/>
            <w:vAlign w:val="bottom"/>
            <w:tcBorders>
              <w:right w:val="single" w:sz="8" w:color="C0C0C0"/>
            </w:tcBorders>
            <w:shd w:val="clear" w:color="auto" w:fill="C0C0C0"/>
          </w:tcPr>
          <w:p>
            <w:pPr>
              <w:spacing w:after="0"/>
              <w:rPr>
                <w:sz w:val="7"/>
                <w:szCs w:val="7"/>
                <w:color w:val="auto"/>
              </w:rPr>
            </w:pPr>
          </w:p>
        </w:tc>
        <w:tc>
          <w:tcPr>
            <w:tcW w:w="280" w:type="dxa"/>
            <w:vAlign w:val="bottom"/>
            <w:shd w:val="clear" w:color="auto" w:fill="C0C0C0"/>
          </w:tcPr>
          <w:p>
            <w:pPr>
              <w:spacing w:after="0"/>
              <w:rPr>
                <w:sz w:val="7"/>
                <w:szCs w:val="7"/>
                <w:color w:val="auto"/>
              </w:rPr>
            </w:pPr>
          </w:p>
        </w:tc>
        <w:tc>
          <w:tcPr>
            <w:tcW w:w="60" w:type="dxa"/>
            <w:vAlign w:val="bottom"/>
            <w:tcBorders>
              <w:left w:val="single" w:sz="8" w:color="C0C0C0"/>
            </w:tcBorders>
            <w:shd w:val="clear" w:color="auto" w:fill="C0C0C0"/>
          </w:tcPr>
          <w:p>
            <w:pPr>
              <w:spacing w:after="0"/>
              <w:rPr>
                <w:sz w:val="7"/>
                <w:szCs w:val="7"/>
                <w:color w:val="auto"/>
              </w:rPr>
            </w:pPr>
          </w:p>
        </w:tc>
        <w:tc>
          <w:tcPr>
            <w:tcW w:w="60" w:type="dxa"/>
            <w:vAlign w:val="bottom"/>
            <w:shd w:val="clear" w:color="auto" w:fill="C0C0C0"/>
          </w:tcPr>
          <w:p>
            <w:pPr>
              <w:spacing w:after="0"/>
              <w:rPr>
                <w:sz w:val="7"/>
                <w:szCs w:val="7"/>
                <w:color w:val="auto"/>
              </w:rPr>
            </w:pPr>
          </w:p>
        </w:tc>
      </w:tr>
      <w:tr>
        <w:trPr>
          <w:trHeight w:val="260"/>
        </w:trPr>
        <w:tc>
          <w:tcPr>
            <w:tcW w:w="4540" w:type="dxa"/>
            <w:vAlign w:val="bottom"/>
          </w:tcPr>
          <w:p>
            <w:pPr>
              <w:ind w:left="40"/>
              <w:spacing w:after="0"/>
              <w:rPr>
                <w:sz w:val="20"/>
                <w:szCs w:val="20"/>
                <w:color w:val="auto"/>
              </w:rPr>
            </w:pPr>
            <w:r>
              <w:rPr>
                <w:rFonts w:ascii="Arial" w:cs="Arial" w:eastAsia="Arial" w:hAnsi="Arial"/>
                <w:sz w:val="17"/>
                <w:szCs w:val="17"/>
                <w:color w:val="auto"/>
              </w:rPr>
              <w:t>Benefit obligation at beginning of year</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84"/>
              </w:rPr>
              <w:t>86.8</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92.7</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16.6</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16.8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Service cost</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106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5.2</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0.9</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Interest cost</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106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6.0</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1.3</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Actuarial (gain) loss</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6.6</w:t>
            </w:r>
          </w:p>
        </w:tc>
        <w:tc>
          <w:tcPr>
            <w:tcW w:w="10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(8.0)</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0.9</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w w:val="91"/>
              </w:rPr>
              <w:t>(1.7)</w:t>
            </w: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Benefits paid</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1"/>
              </w:rPr>
              <w:t>(5.9)</w:t>
            </w:r>
          </w:p>
        </w:tc>
        <w:tc>
          <w:tcPr>
            <w:tcW w:w="10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(8.6)</w:t>
            </w:r>
          </w:p>
        </w:tc>
        <w:tc>
          <w:tcPr>
            <w:tcW w:w="106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7"/>
                <w:szCs w:val="17"/>
                <w:color w:val="auto"/>
                <w:w w:val="91"/>
              </w:rPr>
              <w:t>(0.7)</w:t>
            </w:r>
          </w:p>
        </w:tc>
        <w:tc>
          <w:tcPr>
            <w:tcW w:w="5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w w:val="91"/>
              </w:rPr>
              <w:t>(0.6)</w:t>
            </w: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Acquisitions</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106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277"/>
        </w:trPr>
        <w:tc>
          <w:tcPr>
            <w:tcW w:w="4540" w:type="dxa"/>
            <w:vAlign w:val="bottom"/>
          </w:tcPr>
          <w:p>
            <w:pPr>
              <w:ind w:left="40"/>
              <w:spacing w:after="0"/>
              <w:rPr>
                <w:sz w:val="20"/>
                <w:szCs w:val="20"/>
                <w:color w:val="auto"/>
              </w:rPr>
            </w:pPr>
            <w:r>
              <w:rPr>
                <w:rFonts w:ascii="Arial" w:cs="Arial" w:eastAsia="Arial" w:hAnsi="Arial"/>
                <w:sz w:val="17"/>
                <w:szCs w:val="17"/>
                <w:color w:val="auto"/>
              </w:rPr>
              <w:t>Other</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1"/>
              </w:rPr>
              <w:t>(1.7)</w:t>
            </w:r>
          </w:p>
        </w:tc>
        <w:tc>
          <w:tcPr>
            <w:tcW w:w="10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(0.5)</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5"/>
        </w:trPr>
        <w:tc>
          <w:tcPr>
            <w:tcW w:w="4540" w:type="dxa"/>
            <w:vAlign w:val="bottom"/>
          </w:tcPr>
          <w:p>
            <w:pPr>
              <w:ind w:left="40"/>
              <w:spacing w:after="0"/>
              <w:rPr>
                <w:sz w:val="20"/>
                <w:szCs w:val="20"/>
                <w:color w:val="auto"/>
              </w:rPr>
            </w:pPr>
            <w:r>
              <w:rPr>
                <w:rFonts w:ascii="Arial" w:cs="Arial" w:eastAsia="Arial" w:hAnsi="Arial"/>
                <w:sz w:val="17"/>
                <w:szCs w:val="17"/>
                <w:color w:val="auto"/>
              </w:rPr>
              <w:t>Benefit obligation at end of year</w:t>
            </w: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$104.9</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86.8</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19.0</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16.6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5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55"/>
        </w:trPr>
        <w:tc>
          <w:tcPr>
            <w:tcW w:w="4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0"/>
        </w:trPr>
        <w:tc>
          <w:tcPr>
            <w:tcW w:w="4540" w:type="dxa"/>
            <w:vAlign w:val="bottom"/>
            <w:shd w:val="clear" w:color="auto" w:fill="C0C0C0"/>
          </w:tcPr>
          <w:p>
            <w:pPr>
              <w:ind w:left="40"/>
              <w:spacing w:after="0"/>
              <w:rPr>
                <w:sz w:val="20"/>
                <w:szCs w:val="20"/>
                <w:color w:val="auto"/>
              </w:rPr>
            </w:pPr>
            <w:r>
              <w:rPr>
                <w:rFonts w:ascii="Arial" w:cs="Arial" w:eastAsia="Arial" w:hAnsi="Arial"/>
                <w:sz w:val="17"/>
                <w:szCs w:val="17"/>
                <w:b w:val="1"/>
                <w:bCs w:val="1"/>
                <w:color w:val="auto"/>
              </w:rPr>
              <w:t>Change in plan assets</w:t>
            </w:r>
          </w:p>
        </w:tc>
        <w:tc>
          <w:tcPr>
            <w:tcW w:w="1020" w:type="dxa"/>
            <w:vAlign w:val="bottom"/>
            <w:tcBorders>
              <w:right w:val="single" w:sz="8" w:color="C0C0C0"/>
            </w:tcBorders>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060" w:type="dxa"/>
            <w:vAlign w:val="bottom"/>
            <w:tcBorders>
              <w:left w:val="single" w:sz="8" w:color="C0C0C0"/>
              <w:right w:val="single" w:sz="8" w:color="C0C0C0"/>
            </w:tcBorders>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1060" w:type="dxa"/>
            <w:vAlign w:val="bottom"/>
            <w:tcBorders>
              <w:right w:val="single" w:sz="8" w:color="C0C0C0"/>
            </w:tcBorders>
            <w:shd w:val="clear" w:color="auto" w:fill="C0C0C0"/>
          </w:tcPr>
          <w:p>
            <w:pPr>
              <w:spacing w:after="0"/>
              <w:rPr>
                <w:sz w:val="22"/>
                <w:szCs w:val="22"/>
                <w:color w:val="auto"/>
              </w:rPr>
            </w:pPr>
          </w:p>
        </w:tc>
        <w:tc>
          <w:tcPr>
            <w:tcW w:w="280" w:type="dxa"/>
            <w:vAlign w:val="bottom"/>
            <w:tcBorders>
              <w:right w:val="single" w:sz="8" w:color="C0C0C0"/>
            </w:tcBorders>
            <w:shd w:val="clear" w:color="auto" w:fill="C0C0C0"/>
          </w:tcPr>
          <w:p>
            <w:pPr>
              <w:spacing w:after="0"/>
              <w:rPr>
                <w:sz w:val="22"/>
                <w:szCs w:val="22"/>
                <w:color w:val="auto"/>
              </w:rPr>
            </w:pPr>
          </w:p>
        </w:tc>
        <w:tc>
          <w:tcPr>
            <w:tcW w:w="440" w:type="dxa"/>
            <w:vAlign w:val="bottom"/>
            <w:tcBorders>
              <w:left w:val="single" w:sz="8" w:color="C0C0C0"/>
            </w:tcBorders>
            <w:shd w:val="clear" w:color="auto" w:fill="C0C0C0"/>
          </w:tcPr>
          <w:p>
            <w:pPr>
              <w:spacing w:after="0"/>
              <w:rPr>
                <w:sz w:val="22"/>
                <w:szCs w:val="22"/>
                <w:color w:val="auto"/>
              </w:rPr>
            </w:pPr>
          </w:p>
        </w:tc>
        <w:tc>
          <w:tcPr>
            <w:tcW w:w="580" w:type="dxa"/>
            <w:vAlign w:val="bottom"/>
            <w:tcBorders>
              <w:right w:val="single" w:sz="8" w:color="C0C0C0"/>
            </w:tcBorders>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60" w:type="dxa"/>
            <w:vAlign w:val="bottom"/>
            <w:tcBorders>
              <w:left w:val="single" w:sz="8" w:color="C0C0C0"/>
            </w:tcBorders>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r>
      <w:tr>
        <w:trPr>
          <w:trHeight w:val="81"/>
        </w:trPr>
        <w:tc>
          <w:tcPr>
            <w:tcW w:w="4540" w:type="dxa"/>
            <w:vAlign w:val="bottom"/>
            <w:shd w:val="clear" w:color="auto" w:fill="C0C0C0"/>
          </w:tcPr>
          <w:p>
            <w:pPr>
              <w:spacing w:after="0"/>
              <w:rPr>
                <w:sz w:val="7"/>
                <w:szCs w:val="7"/>
                <w:color w:val="auto"/>
              </w:rPr>
            </w:pPr>
          </w:p>
        </w:tc>
        <w:tc>
          <w:tcPr>
            <w:tcW w:w="1020" w:type="dxa"/>
            <w:vAlign w:val="bottom"/>
            <w:tcBorders>
              <w:right w:val="single" w:sz="8" w:color="C0C0C0"/>
            </w:tcBorders>
            <w:shd w:val="clear" w:color="auto" w:fill="C0C0C0"/>
          </w:tcPr>
          <w:p>
            <w:pPr>
              <w:spacing w:after="0"/>
              <w:rPr>
                <w:sz w:val="7"/>
                <w:szCs w:val="7"/>
                <w:color w:val="auto"/>
              </w:rPr>
            </w:pPr>
          </w:p>
        </w:tc>
        <w:tc>
          <w:tcPr>
            <w:tcW w:w="280" w:type="dxa"/>
            <w:vAlign w:val="bottom"/>
            <w:shd w:val="clear" w:color="auto" w:fill="C0C0C0"/>
          </w:tcPr>
          <w:p>
            <w:pPr>
              <w:spacing w:after="0"/>
              <w:rPr>
                <w:sz w:val="7"/>
                <w:szCs w:val="7"/>
                <w:color w:val="auto"/>
              </w:rPr>
            </w:pPr>
          </w:p>
        </w:tc>
        <w:tc>
          <w:tcPr>
            <w:tcW w:w="20" w:type="dxa"/>
            <w:vAlign w:val="bottom"/>
            <w:shd w:val="clear" w:color="auto" w:fill="C0C0C0"/>
          </w:tcPr>
          <w:p>
            <w:pPr>
              <w:spacing w:after="0"/>
              <w:rPr>
                <w:sz w:val="7"/>
                <w:szCs w:val="7"/>
                <w:color w:val="auto"/>
              </w:rPr>
            </w:pPr>
          </w:p>
        </w:tc>
        <w:tc>
          <w:tcPr>
            <w:tcW w:w="1060" w:type="dxa"/>
            <w:vAlign w:val="bottom"/>
            <w:tcBorders>
              <w:left w:val="single" w:sz="8" w:color="C0C0C0"/>
              <w:right w:val="single" w:sz="8" w:color="C0C0C0"/>
            </w:tcBorders>
            <w:shd w:val="clear" w:color="auto" w:fill="C0C0C0"/>
          </w:tcPr>
          <w:p>
            <w:pPr>
              <w:spacing w:after="0"/>
              <w:rPr>
                <w:sz w:val="7"/>
                <w:szCs w:val="7"/>
                <w:color w:val="auto"/>
              </w:rPr>
            </w:pPr>
          </w:p>
        </w:tc>
        <w:tc>
          <w:tcPr>
            <w:tcW w:w="60" w:type="dxa"/>
            <w:vAlign w:val="bottom"/>
            <w:shd w:val="clear" w:color="auto" w:fill="C0C0C0"/>
          </w:tcPr>
          <w:p>
            <w:pPr>
              <w:spacing w:after="0"/>
              <w:rPr>
                <w:sz w:val="7"/>
                <w:szCs w:val="7"/>
                <w:color w:val="auto"/>
              </w:rPr>
            </w:pPr>
          </w:p>
        </w:tc>
        <w:tc>
          <w:tcPr>
            <w:tcW w:w="120" w:type="dxa"/>
            <w:vAlign w:val="bottom"/>
            <w:shd w:val="clear" w:color="auto" w:fill="C0C0C0"/>
          </w:tcPr>
          <w:p>
            <w:pPr>
              <w:spacing w:after="0"/>
              <w:rPr>
                <w:sz w:val="7"/>
                <w:szCs w:val="7"/>
                <w:color w:val="auto"/>
              </w:rPr>
            </w:pPr>
          </w:p>
        </w:tc>
        <w:tc>
          <w:tcPr>
            <w:tcW w:w="160" w:type="dxa"/>
            <w:vAlign w:val="bottom"/>
            <w:shd w:val="clear" w:color="auto" w:fill="C0C0C0"/>
          </w:tcPr>
          <w:p>
            <w:pPr>
              <w:spacing w:after="0"/>
              <w:rPr>
                <w:sz w:val="7"/>
                <w:szCs w:val="7"/>
                <w:color w:val="auto"/>
              </w:rPr>
            </w:pPr>
          </w:p>
        </w:tc>
        <w:tc>
          <w:tcPr>
            <w:tcW w:w="60" w:type="dxa"/>
            <w:vAlign w:val="bottom"/>
            <w:shd w:val="clear" w:color="auto" w:fill="C0C0C0"/>
          </w:tcPr>
          <w:p>
            <w:pPr>
              <w:spacing w:after="0"/>
              <w:rPr>
                <w:sz w:val="7"/>
                <w:szCs w:val="7"/>
                <w:color w:val="auto"/>
              </w:rPr>
            </w:pPr>
          </w:p>
        </w:tc>
        <w:tc>
          <w:tcPr>
            <w:tcW w:w="1060" w:type="dxa"/>
            <w:vAlign w:val="bottom"/>
            <w:tcBorders>
              <w:right w:val="single" w:sz="8" w:color="C0C0C0"/>
            </w:tcBorders>
            <w:shd w:val="clear" w:color="auto" w:fill="C0C0C0"/>
          </w:tcPr>
          <w:p>
            <w:pPr>
              <w:spacing w:after="0"/>
              <w:rPr>
                <w:sz w:val="7"/>
                <w:szCs w:val="7"/>
                <w:color w:val="auto"/>
              </w:rPr>
            </w:pPr>
          </w:p>
        </w:tc>
        <w:tc>
          <w:tcPr>
            <w:tcW w:w="280" w:type="dxa"/>
            <w:vAlign w:val="bottom"/>
            <w:tcBorders>
              <w:right w:val="single" w:sz="8" w:color="C0C0C0"/>
            </w:tcBorders>
            <w:shd w:val="clear" w:color="auto" w:fill="C0C0C0"/>
          </w:tcPr>
          <w:p>
            <w:pPr>
              <w:spacing w:after="0"/>
              <w:rPr>
                <w:sz w:val="7"/>
                <w:szCs w:val="7"/>
                <w:color w:val="auto"/>
              </w:rPr>
            </w:pPr>
          </w:p>
        </w:tc>
        <w:tc>
          <w:tcPr>
            <w:tcW w:w="440" w:type="dxa"/>
            <w:vAlign w:val="bottom"/>
            <w:tcBorders>
              <w:left w:val="single" w:sz="8" w:color="C0C0C0"/>
            </w:tcBorders>
            <w:shd w:val="clear" w:color="auto" w:fill="C0C0C0"/>
          </w:tcPr>
          <w:p>
            <w:pPr>
              <w:spacing w:after="0"/>
              <w:rPr>
                <w:sz w:val="7"/>
                <w:szCs w:val="7"/>
                <w:color w:val="auto"/>
              </w:rPr>
            </w:pPr>
          </w:p>
        </w:tc>
        <w:tc>
          <w:tcPr>
            <w:tcW w:w="580" w:type="dxa"/>
            <w:vAlign w:val="bottom"/>
            <w:tcBorders>
              <w:right w:val="single" w:sz="8" w:color="C0C0C0"/>
            </w:tcBorders>
            <w:shd w:val="clear" w:color="auto" w:fill="C0C0C0"/>
          </w:tcPr>
          <w:p>
            <w:pPr>
              <w:spacing w:after="0"/>
              <w:rPr>
                <w:sz w:val="7"/>
                <w:szCs w:val="7"/>
                <w:color w:val="auto"/>
              </w:rPr>
            </w:pPr>
          </w:p>
        </w:tc>
        <w:tc>
          <w:tcPr>
            <w:tcW w:w="280" w:type="dxa"/>
            <w:vAlign w:val="bottom"/>
            <w:shd w:val="clear" w:color="auto" w:fill="C0C0C0"/>
          </w:tcPr>
          <w:p>
            <w:pPr>
              <w:spacing w:after="0"/>
              <w:rPr>
                <w:sz w:val="7"/>
                <w:szCs w:val="7"/>
                <w:color w:val="auto"/>
              </w:rPr>
            </w:pPr>
          </w:p>
        </w:tc>
        <w:tc>
          <w:tcPr>
            <w:tcW w:w="60" w:type="dxa"/>
            <w:vAlign w:val="bottom"/>
            <w:tcBorders>
              <w:left w:val="single" w:sz="8" w:color="C0C0C0"/>
            </w:tcBorders>
            <w:shd w:val="clear" w:color="auto" w:fill="C0C0C0"/>
          </w:tcPr>
          <w:p>
            <w:pPr>
              <w:spacing w:after="0"/>
              <w:rPr>
                <w:sz w:val="7"/>
                <w:szCs w:val="7"/>
                <w:color w:val="auto"/>
              </w:rPr>
            </w:pPr>
          </w:p>
        </w:tc>
        <w:tc>
          <w:tcPr>
            <w:tcW w:w="60" w:type="dxa"/>
            <w:vAlign w:val="bottom"/>
            <w:shd w:val="clear" w:color="auto" w:fill="C0C0C0"/>
          </w:tcPr>
          <w:p>
            <w:pPr>
              <w:spacing w:after="0"/>
              <w:rPr>
                <w:sz w:val="7"/>
                <w:szCs w:val="7"/>
                <w:color w:val="auto"/>
              </w:rPr>
            </w:pPr>
          </w:p>
        </w:tc>
      </w:tr>
      <w:tr>
        <w:trPr>
          <w:trHeight w:val="260"/>
        </w:trPr>
        <w:tc>
          <w:tcPr>
            <w:tcW w:w="4540" w:type="dxa"/>
            <w:vAlign w:val="bottom"/>
          </w:tcPr>
          <w:p>
            <w:pPr>
              <w:ind w:left="40"/>
              <w:spacing w:after="0"/>
              <w:rPr>
                <w:sz w:val="20"/>
                <w:szCs w:val="20"/>
                <w:color w:val="auto"/>
              </w:rPr>
            </w:pPr>
            <w:r>
              <w:rPr>
                <w:rFonts w:ascii="Arial" w:cs="Arial" w:eastAsia="Arial" w:hAnsi="Arial"/>
                <w:sz w:val="17"/>
                <w:szCs w:val="17"/>
                <w:color w:val="auto"/>
              </w:rPr>
              <w:t>Fair value of plan assets at beginning of year</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84"/>
              </w:rPr>
              <w:t>97.5</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92.0</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Actual return on plan assets</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06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10.1</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Employer contributions</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84"/>
              </w:rPr>
              <w:t>10.2</w:t>
            </w:r>
          </w:p>
        </w:tc>
        <w:tc>
          <w:tcPr>
            <w:tcW w:w="106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5.2</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0.7</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0.6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Plan participants' contributions</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106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0.2</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Benefits paid</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1"/>
              </w:rPr>
              <w:t>(5.9)</w:t>
            </w:r>
          </w:p>
        </w:tc>
        <w:tc>
          <w:tcPr>
            <w:tcW w:w="10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(8.6)</w:t>
            </w:r>
          </w:p>
        </w:tc>
        <w:tc>
          <w:tcPr>
            <w:tcW w:w="106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7"/>
                <w:szCs w:val="17"/>
                <w:color w:val="auto"/>
                <w:w w:val="91"/>
              </w:rPr>
              <w:t>(0.7)</w:t>
            </w:r>
          </w:p>
        </w:tc>
        <w:tc>
          <w:tcPr>
            <w:tcW w:w="5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w w:val="91"/>
              </w:rPr>
              <w:t>(0.6)</w:t>
            </w: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Acquisitions</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106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277"/>
        </w:trPr>
        <w:tc>
          <w:tcPr>
            <w:tcW w:w="4540" w:type="dxa"/>
            <w:vAlign w:val="bottom"/>
          </w:tcPr>
          <w:p>
            <w:pPr>
              <w:ind w:left="40"/>
              <w:spacing w:after="0"/>
              <w:rPr>
                <w:sz w:val="20"/>
                <w:szCs w:val="20"/>
                <w:color w:val="auto"/>
              </w:rPr>
            </w:pPr>
            <w:r>
              <w:rPr>
                <w:rFonts w:ascii="Arial" w:cs="Arial" w:eastAsia="Arial" w:hAnsi="Arial"/>
                <w:sz w:val="17"/>
                <w:szCs w:val="17"/>
                <w:color w:val="auto"/>
              </w:rPr>
              <w:t>Other</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1"/>
              </w:rPr>
              <w:t>(1.6)</w:t>
            </w:r>
          </w:p>
        </w:tc>
        <w:tc>
          <w:tcPr>
            <w:tcW w:w="10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(1.4)</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5"/>
        </w:trPr>
        <w:tc>
          <w:tcPr>
            <w:tcW w:w="4540" w:type="dxa"/>
            <w:vAlign w:val="bottom"/>
          </w:tcPr>
          <w:p>
            <w:pPr>
              <w:ind w:left="40"/>
              <w:spacing w:after="0"/>
              <w:rPr>
                <w:sz w:val="20"/>
                <w:szCs w:val="20"/>
                <w:color w:val="auto"/>
              </w:rPr>
            </w:pPr>
            <w:r>
              <w:rPr>
                <w:rFonts w:ascii="Arial" w:cs="Arial" w:eastAsia="Arial" w:hAnsi="Arial"/>
                <w:sz w:val="17"/>
                <w:szCs w:val="17"/>
                <w:color w:val="auto"/>
              </w:rPr>
              <w:t>Fair value of plan assets at end of year</w:t>
            </w: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$110.5</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97.5</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216"/>
        </w:trPr>
        <w:tc>
          <w:tcPr>
            <w:tcW w:w="45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655"/>
        </w:trPr>
        <w:tc>
          <w:tcPr>
            <w:tcW w:w="4540" w:type="dxa"/>
            <w:vAlign w:val="bottom"/>
          </w:tcPr>
          <w:p>
            <w:pPr>
              <w:ind w:left="40"/>
              <w:spacing w:after="0"/>
              <w:rPr>
                <w:sz w:val="20"/>
                <w:szCs w:val="20"/>
                <w:color w:val="auto"/>
              </w:rPr>
            </w:pPr>
            <w:r>
              <w:rPr>
                <w:rFonts w:ascii="Arial" w:cs="Arial" w:eastAsia="Arial" w:hAnsi="Arial"/>
                <w:sz w:val="17"/>
                <w:szCs w:val="17"/>
                <w:color w:val="auto"/>
              </w:rPr>
              <w:t>Funded status</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10.7</w:t>
            </w:r>
          </w:p>
        </w:tc>
        <w:tc>
          <w:tcPr>
            <w:tcW w:w="1780" w:type="dxa"/>
            <w:vAlign w:val="bottom"/>
            <w:gridSpan w:val="3"/>
          </w:tcPr>
          <w:p>
            <w:pPr>
              <w:jc w:val="right"/>
              <w:ind w:right="380"/>
              <w:spacing w:after="0"/>
              <w:rPr>
                <w:sz w:val="20"/>
                <w:szCs w:val="20"/>
                <w:color w:val="auto"/>
              </w:rPr>
            </w:pPr>
            <w:r>
              <w:rPr>
                <w:rFonts w:ascii="Arial" w:cs="Arial" w:eastAsia="Arial" w:hAnsi="Arial"/>
                <w:sz w:val="17"/>
                <w:szCs w:val="17"/>
                <w:color w:val="auto"/>
              </w:rPr>
              <w:t>$(19.0)</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$(16.6)</w:t>
            </w: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Unrecognized transition amount</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0.9</w:t>
            </w:r>
          </w:p>
        </w:tc>
        <w:tc>
          <w:tcPr>
            <w:tcW w:w="106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1.6</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314"/>
        </w:trPr>
        <w:tc>
          <w:tcPr>
            <w:tcW w:w="4540" w:type="dxa"/>
            <w:vAlign w:val="bottom"/>
          </w:tcPr>
          <w:p>
            <w:pPr>
              <w:ind w:left="40"/>
              <w:spacing w:after="0"/>
              <w:rPr>
                <w:sz w:val="20"/>
                <w:szCs w:val="20"/>
                <w:color w:val="auto"/>
              </w:rPr>
            </w:pPr>
            <w:r>
              <w:rPr>
                <w:rFonts w:ascii="Arial" w:cs="Arial" w:eastAsia="Arial" w:hAnsi="Arial"/>
                <w:sz w:val="17"/>
                <w:szCs w:val="17"/>
                <w:color w:val="auto"/>
              </w:rPr>
              <w:t>Unrecognized net actuarial (gain) loss</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1"/>
              </w:rPr>
              <w:t>(0.5)</w:t>
            </w:r>
          </w:p>
        </w:tc>
        <w:tc>
          <w:tcPr>
            <w:tcW w:w="10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w w:val="85"/>
              </w:rPr>
              <w:t>(13.6)</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2.1</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4540" w:type="dxa"/>
            <w:vAlign w:val="bottom"/>
          </w:tcPr>
          <w:p>
            <w:pPr>
              <w:ind w:left="40"/>
              <w:spacing w:after="0"/>
              <w:rPr>
                <w:sz w:val="20"/>
                <w:szCs w:val="20"/>
                <w:color w:val="auto"/>
              </w:rPr>
            </w:pPr>
            <w:r>
              <w:rPr>
                <w:rFonts w:ascii="Arial" w:cs="Arial" w:eastAsia="Arial" w:hAnsi="Arial"/>
                <w:sz w:val="17"/>
                <w:szCs w:val="17"/>
                <w:color w:val="auto"/>
              </w:rPr>
              <w:t>Unrecognized prior service cost</w:t>
            </w:r>
          </w:p>
        </w:tc>
        <w:tc>
          <w:tcPr>
            <w:tcW w:w="10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1060" w:type="dxa"/>
            <w:vAlign w:val="bottom"/>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5.9</w:t>
            </w:r>
          </w:p>
        </w:tc>
        <w:tc>
          <w:tcPr>
            <w:tcW w:w="106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7"/>
                <w:szCs w:val="17"/>
                <w:color w:val="auto"/>
                <w:w w:val="91"/>
              </w:rPr>
              <w:t>(2.1)</w:t>
            </w:r>
          </w:p>
        </w:tc>
        <w:tc>
          <w:tcPr>
            <w:tcW w:w="5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w w:val="91"/>
              </w:rPr>
              <w:t>(3.8)</w:t>
            </w:r>
          </w:p>
        </w:tc>
        <w:tc>
          <w:tcPr>
            <w:tcW w:w="60" w:type="dxa"/>
            <w:vAlign w:val="bottom"/>
          </w:tcPr>
          <w:p>
            <w:pPr>
              <w:spacing w:after="0"/>
              <w:rPr>
                <w:sz w:val="24"/>
                <w:szCs w:val="24"/>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540" w:type="dxa"/>
            <w:vAlign w:val="bottom"/>
          </w:tcPr>
          <w:p>
            <w:pPr>
              <w:ind w:left="40"/>
              <w:spacing w:after="0"/>
              <w:rPr>
                <w:sz w:val="20"/>
                <w:szCs w:val="20"/>
                <w:color w:val="auto"/>
              </w:rPr>
            </w:pPr>
            <w:r>
              <w:rPr>
                <w:rFonts w:ascii="Arial" w:cs="Arial" w:eastAsia="Arial" w:hAnsi="Arial"/>
                <w:sz w:val="17"/>
                <w:szCs w:val="17"/>
                <w:color w:val="auto"/>
              </w:rPr>
              <w:t>Prepaid (accrued) benefit cost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84"/>
              </w:rPr>
              <w:t>11.5</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4"/>
          </w:tcPr>
          <w:p>
            <w:pPr>
              <w:jc w:val="right"/>
              <w:ind w:right="40"/>
              <w:spacing w:after="0"/>
              <w:rPr>
                <w:sz w:val="20"/>
                <w:szCs w:val="20"/>
                <w:color w:val="auto"/>
              </w:rPr>
            </w:pPr>
            <w:r>
              <w:rPr>
                <w:rFonts w:ascii="Arial" w:cs="Arial" w:eastAsia="Arial" w:hAnsi="Arial"/>
                <w:sz w:val="17"/>
                <w:szCs w:val="17"/>
                <w:color w:val="auto"/>
              </w:rPr>
              <w:t>4.6</w:t>
            </w:r>
          </w:p>
        </w:tc>
        <w:tc>
          <w:tcPr>
            <w:tcW w:w="1780" w:type="dxa"/>
            <w:vAlign w:val="bottom"/>
            <w:gridSpan w:val="3"/>
          </w:tcPr>
          <w:p>
            <w:pPr>
              <w:jc w:val="right"/>
              <w:ind w:right="380"/>
              <w:spacing w:after="0"/>
              <w:rPr>
                <w:sz w:val="20"/>
                <w:szCs w:val="20"/>
                <w:color w:val="auto"/>
              </w:rPr>
            </w:pPr>
            <w:r>
              <w:rPr>
                <w:rFonts w:ascii="Arial" w:cs="Arial" w:eastAsia="Arial" w:hAnsi="Arial"/>
                <w:sz w:val="17"/>
                <w:szCs w:val="17"/>
                <w:color w:val="auto"/>
              </w:rPr>
              <w:t>$(19.0)</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$(19.2)</w:t>
            </w:r>
          </w:p>
        </w:tc>
        <w:tc>
          <w:tcPr>
            <w:tcW w:w="60" w:type="dxa"/>
            <w:vAlign w:val="bottom"/>
          </w:tcPr>
          <w:p>
            <w:pPr>
              <w:spacing w:after="0"/>
              <w:rPr>
                <w:sz w:val="24"/>
                <w:szCs w:val="24"/>
                <w:color w:val="auto"/>
              </w:rPr>
            </w:pPr>
          </w:p>
        </w:tc>
      </w:tr>
    </w:tbl>
    <w:p>
      <w:pPr>
        <w:sectPr>
          <w:pgSz w:w="11900" w:h="16942" w:orient="portrait"/>
          <w:cols w:equalWidth="0" w:num="1">
            <w:col w:w="11380"/>
          </w:cols>
          <w:pgMar w:left="240" w:top="131" w:right="279" w:bottom="0" w:gutter="0" w:footer="0" w:header="0"/>
        </w:sectPr>
      </w:pPr>
    </w:p>
    <w:bookmarkStart w:id="31" w:name="page32"/>
    <w:bookmarkEnd w:id="31"/>
    <w:p>
      <w:pPr>
        <w:ind w:left="6060"/>
        <w:spacing w:after="0"/>
        <w:tabs>
          <w:tab w:leader="none" w:pos="7460" w:val="left"/>
          <w:tab w:leader="none" w:pos="8940" w:val="left"/>
          <w:tab w:leader="none" w:pos="10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384175</wp:posOffset>
            </wp:positionV>
            <wp:extent cx="72758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7" w:lineRule="exact"/>
        <w:rPr>
          <w:sz w:val="20"/>
          <w:szCs w:val="20"/>
          <w:color w:val="auto"/>
        </w:rPr>
      </w:pPr>
    </w:p>
    <w:tbl>
      <w:tblPr>
        <w:tblLayout w:type="fixed"/>
        <w:tblInd w:w="800" w:type="dxa"/>
        <w:tblCellMar>
          <w:top w:w="0" w:type="dxa"/>
          <w:left w:w="0" w:type="dxa"/>
          <w:bottom w:w="0" w:type="dxa"/>
          <w:right w:w="0" w:type="dxa"/>
        </w:tblCellMar>
      </w:tblPr>
      <w:tr>
        <w:trPr>
          <w:trHeight w:val="223"/>
        </w:trPr>
        <w:tc>
          <w:tcPr>
            <w:tcW w:w="56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4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right w:val="single" w:sz="8" w:color="C0C0C0"/>
            </w:tcBorders>
            <w:shd w:val="clear" w:color="auto" w:fill="C0C0C0"/>
          </w:tcPr>
          <w:p>
            <w:pPr>
              <w:spacing w:after="0"/>
              <w:rPr>
                <w:sz w:val="19"/>
                <w:szCs w:val="19"/>
                <w:color w:val="auto"/>
              </w:rPr>
            </w:pPr>
          </w:p>
        </w:tc>
        <w:tc>
          <w:tcPr>
            <w:tcW w:w="560" w:type="dxa"/>
            <w:vAlign w:val="bottom"/>
            <w:tcBorders>
              <w:bottom w:val="single" w:sz="8" w:color="auto"/>
              <w:right w:val="single" w:sz="8" w:color="C0C0C0"/>
            </w:tcBorders>
            <w:gridSpan w:val="5"/>
            <w:shd w:val="clear" w:color="auto" w:fill="C0C0C0"/>
          </w:tcPr>
          <w:p>
            <w:pPr>
              <w:jc w:val="right"/>
              <w:spacing w:after="0"/>
              <w:rPr>
                <w:sz w:val="20"/>
                <w:szCs w:val="20"/>
                <w:color w:val="auto"/>
              </w:rPr>
            </w:pPr>
            <w:r>
              <w:rPr>
                <w:rFonts w:ascii="Arial" w:cs="Arial" w:eastAsia="Arial" w:hAnsi="Arial"/>
                <w:sz w:val="17"/>
                <w:szCs w:val="17"/>
                <w:b w:val="1"/>
                <w:bCs w:val="1"/>
                <w:color w:val="auto"/>
                <w:w w:val="81"/>
              </w:rPr>
              <w:t>Pension</w:t>
            </w:r>
          </w:p>
        </w:tc>
        <w:tc>
          <w:tcPr>
            <w:tcW w:w="920" w:type="dxa"/>
            <w:vAlign w:val="bottom"/>
            <w:tcBorders>
              <w:bottom w:val="single" w:sz="8" w:color="C0C0C0"/>
            </w:tcBorders>
            <w:gridSpan w:val="3"/>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spacing w:after="0"/>
              <w:rPr>
                <w:sz w:val="19"/>
                <w:szCs w:val="19"/>
                <w:color w:val="auto"/>
              </w:rPr>
            </w:pPr>
          </w:p>
        </w:tc>
        <w:tc>
          <w:tcPr>
            <w:tcW w:w="40" w:type="dxa"/>
            <w:vAlign w:val="bottom"/>
            <w:tcBorders>
              <w:bottom w:val="single" w:sz="8" w:color="C0C0C0"/>
            </w:tcBorders>
            <w:shd w:val="clear" w:color="auto" w:fill="C0C0C0"/>
          </w:tcPr>
          <w:p>
            <w:pPr>
              <w:spacing w:after="0"/>
              <w:rPr>
                <w:sz w:val="19"/>
                <w:szCs w:val="19"/>
                <w:color w:val="auto"/>
              </w:rPr>
            </w:pPr>
          </w:p>
        </w:tc>
        <w:tc>
          <w:tcPr>
            <w:tcW w:w="2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spacing w:after="0"/>
              <w:rPr>
                <w:sz w:val="19"/>
                <w:szCs w:val="19"/>
                <w:color w:val="auto"/>
              </w:rPr>
            </w:pPr>
          </w:p>
        </w:tc>
        <w:tc>
          <w:tcPr>
            <w:tcW w:w="4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spacing w:after="0"/>
              <w:rPr>
                <w:sz w:val="19"/>
                <w:szCs w:val="19"/>
                <w:color w:val="auto"/>
              </w:rPr>
            </w:pPr>
          </w:p>
        </w:tc>
        <w:tc>
          <w:tcPr>
            <w:tcW w:w="40" w:type="dxa"/>
            <w:vAlign w:val="bottom"/>
            <w:tcBorders>
              <w:bottom w:val="single" w:sz="8" w:color="C0C0C0"/>
            </w:tcBorders>
            <w:shd w:val="clear" w:color="auto" w:fill="C0C0C0"/>
          </w:tcPr>
          <w:p>
            <w:pPr>
              <w:spacing w:after="0"/>
              <w:rPr>
                <w:sz w:val="19"/>
                <w:szCs w:val="19"/>
                <w:color w:val="auto"/>
              </w:rPr>
            </w:pPr>
          </w:p>
        </w:tc>
        <w:tc>
          <w:tcPr>
            <w:tcW w:w="2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C0C0C0"/>
              <w:right w:val="single" w:sz="8" w:color="C0C0C0"/>
            </w:tcBorders>
            <w:shd w:val="clear" w:color="auto" w:fill="C0C0C0"/>
          </w:tcPr>
          <w:p>
            <w:pPr>
              <w:spacing w:after="0"/>
              <w:rPr>
                <w:sz w:val="19"/>
                <w:szCs w:val="19"/>
                <w:color w:val="auto"/>
              </w:rPr>
            </w:pPr>
          </w:p>
        </w:tc>
      </w:tr>
      <w:tr>
        <w:trPr>
          <w:trHeight w:val="190"/>
        </w:trPr>
        <w:tc>
          <w:tcPr>
            <w:tcW w:w="56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100" w:type="dxa"/>
            <w:vAlign w:val="bottom"/>
            <w:tcBorders>
              <w:right w:val="single" w:sz="8" w:color="C0C0C0"/>
            </w:tcBorders>
            <w:shd w:val="clear" w:color="auto" w:fill="C0C0C0"/>
          </w:tcPr>
          <w:p>
            <w:pPr>
              <w:spacing w:after="0"/>
              <w:rPr>
                <w:sz w:val="16"/>
                <w:szCs w:val="16"/>
                <w:color w:val="auto"/>
              </w:rPr>
            </w:pPr>
          </w:p>
        </w:tc>
        <w:tc>
          <w:tcPr>
            <w:tcW w:w="560" w:type="dxa"/>
            <w:vAlign w:val="bottom"/>
            <w:tcBorders>
              <w:right w:val="single" w:sz="8" w:color="C0C0C0"/>
            </w:tcBorders>
            <w:gridSpan w:val="5"/>
            <w:shd w:val="clear" w:color="auto" w:fill="C0C0C0"/>
          </w:tcPr>
          <w:p>
            <w:pPr>
              <w:jc w:val="right"/>
              <w:spacing w:after="0" w:line="189" w:lineRule="exact"/>
              <w:rPr>
                <w:sz w:val="20"/>
                <w:szCs w:val="20"/>
                <w:color w:val="auto"/>
              </w:rPr>
            </w:pPr>
            <w:r>
              <w:rPr>
                <w:rFonts w:ascii="Arial" w:cs="Arial" w:eastAsia="Arial" w:hAnsi="Arial"/>
                <w:sz w:val="17"/>
                <w:szCs w:val="17"/>
                <w:b w:val="1"/>
                <w:bCs w:val="1"/>
                <w:color w:val="auto"/>
                <w:w w:val="80"/>
              </w:rPr>
              <w:t>Benefits</w:t>
            </w:r>
          </w:p>
        </w:tc>
        <w:tc>
          <w:tcPr>
            <w:tcW w:w="920" w:type="dxa"/>
            <w:vAlign w:val="bottom"/>
            <w:gridSpan w:val="3"/>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120" w:type="dxa"/>
            <w:vAlign w:val="bottom"/>
            <w:tcBorders>
              <w:right w:val="single" w:sz="8" w:color="C0C0C0"/>
            </w:tcBorders>
            <w:gridSpan w:val="4"/>
            <w:shd w:val="clear" w:color="auto" w:fill="C0C0C0"/>
          </w:tcPr>
          <w:p>
            <w:pPr>
              <w:jc w:val="right"/>
              <w:ind w:right="60"/>
              <w:spacing w:after="0" w:line="189" w:lineRule="exact"/>
              <w:rPr>
                <w:sz w:val="20"/>
                <w:szCs w:val="20"/>
                <w:color w:val="auto"/>
              </w:rPr>
            </w:pPr>
            <w:r>
              <w:rPr>
                <w:rFonts w:ascii="Arial" w:cs="Arial" w:eastAsia="Arial" w:hAnsi="Arial"/>
                <w:sz w:val="17"/>
                <w:szCs w:val="17"/>
                <w:b w:val="1"/>
                <w:bCs w:val="1"/>
                <w:color w:val="auto"/>
                <w:w w:val="88"/>
              </w:rPr>
              <w:t>Other Benefits</w:t>
            </w:r>
          </w:p>
        </w:tc>
      </w:tr>
      <w:tr>
        <w:trPr>
          <w:trHeight w:val="20"/>
        </w:trPr>
        <w:tc>
          <w:tcPr>
            <w:tcW w:w="566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100" w:type="dxa"/>
            <w:vAlign w:val="bottom"/>
            <w:tcBorders>
              <w:right w:val="single" w:sz="8" w:color="auto"/>
            </w:tcBorders>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60" w:type="dxa"/>
            <w:vAlign w:val="bottom"/>
            <w:shd w:val="clear" w:color="auto" w:fill="C0C0C0"/>
          </w:tcPr>
          <w:p>
            <w:pPr>
              <w:spacing w:after="0" w:line="20" w:lineRule="exact"/>
              <w:rPr>
                <w:sz w:val="1"/>
                <w:szCs w:val="1"/>
                <w:color w:val="auto"/>
              </w:rPr>
            </w:pPr>
          </w:p>
        </w:tc>
        <w:tc>
          <w:tcPr>
            <w:tcW w:w="600" w:type="dxa"/>
            <w:vAlign w:val="bottom"/>
            <w:shd w:val="clear" w:color="auto" w:fill="C0C0C0"/>
          </w:tcPr>
          <w:p>
            <w:pPr>
              <w:spacing w:after="0" w:line="20" w:lineRule="exact"/>
              <w:rPr>
                <w:sz w:val="1"/>
                <w:szCs w:val="1"/>
                <w:color w:val="auto"/>
              </w:rPr>
            </w:pPr>
          </w:p>
        </w:tc>
        <w:tc>
          <w:tcPr>
            <w:tcW w:w="70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r>
      <w:tr>
        <w:trPr>
          <w:trHeight w:val="294"/>
        </w:trPr>
        <w:tc>
          <w:tcPr>
            <w:tcW w:w="5660" w:type="dxa"/>
            <w:vAlign w:val="bottom"/>
            <w:shd w:val="clear" w:color="auto" w:fill="C0C0C0"/>
          </w:tcPr>
          <w:p>
            <w:pPr>
              <w:ind w:left="40"/>
              <w:spacing w:after="0"/>
              <w:rPr>
                <w:sz w:val="20"/>
                <w:szCs w:val="20"/>
                <w:color w:val="auto"/>
              </w:rPr>
            </w:pPr>
            <w:r>
              <w:rPr>
                <w:rFonts w:ascii="Arial" w:cs="Arial" w:eastAsia="Arial" w:hAnsi="Arial"/>
                <w:sz w:val="17"/>
                <w:szCs w:val="17"/>
                <w:b w:val="1"/>
                <w:bCs w:val="1"/>
                <w:color w:val="auto"/>
              </w:rPr>
              <w:t>Millions of Dollars</w:t>
            </w:r>
          </w:p>
        </w:tc>
        <w:tc>
          <w:tcPr>
            <w:tcW w:w="180" w:type="dxa"/>
            <w:vAlign w:val="bottom"/>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c>
          <w:tcPr>
            <w:tcW w:w="340" w:type="dxa"/>
            <w:vAlign w:val="bottom"/>
            <w:gridSpan w:val="3"/>
            <w:shd w:val="clear" w:color="auto" w:fill="C0C0C0"/>
          </w:tcPr>
          <w:p>
            <w:pPr>
              <w:jc w:val="right"/>
              <w:spacing w:after="0"/>
              <w:rPr>
                <w:sz w:val="20"/>
                <w:szCs w:val="20"/>
                <w:color w:val="auto"/>
              </w:rPr>
            </w:pPr>
            <w:r>
              <w:rPr>
                <w:rFonts w:ascii="Arial" w:cs="Arial" w:eastAsia="Arial" w:hAnsi="Arial"/>
                <w:sz w:val="17"/>
                <w:szCs w:val="17"/>
                <w:b w:val="1"/>
                <w:bCs w:val="1"/>
                <w:color w:val="auto"/>
                <w:w w:val="84"/>
              </w:rPr>
              <w:t>2000</w:t>
            </w:r>
          </w:p>
        </w:tc>
        <w:tc>
          <w:tcPr>
            <w:tcW w:w="200" w:type="dxa"/>
            <w:vAlign w:val="bottom"/>
            <w:shd w:val="clear" w:color="auto" w:fill="C0C0C0"/>
          </w:tcPr>
          <w:p>
            <w:pPr>
              <w:spacing w:after="0"/>
              <w:rPr>
                <w:sz w:val="24"/>
                <w:szCs w:val="24"/>
                <w:color w:val="auto"/>
              </w:rPr>
            </w:pPr>
          </w:p>
        </w:tc>
        <w:tc>
          <w:tcPr>
            <w:tcW w:w="20" w:type="dxa"/>
            <w:vAlign w:val="bottom"/>
            <w:shd w:val="clear" w:color="auto" w:fill="C0C0C0"/>
          </w:tcPr>
          <w:p>
            <w:pPr>
              <w:spacing w:after="0"/>
              <w:rPr>
                <w:sz w:val="24"/>
                <w:szCs w:val="24"/>
                <w:color w:val="auto"/>
              </w:rPr>
            </w:pPr>
          </w:p>
        </w:tc>
        <w:tc>
          <w:tcPr>
            <w:tcW w:w="1020" w:type="dxa"/>
            <w:vAlign w:val="bottom"/>
            <w:gridSpan w:val="4"/>
            <w:shd w:val="clear" w:color="auto" w:fill="C0C0C0"/>
          </w:tcPr>
          <w:p>
            <w:pPr>
              <w:jc w:val="right"/>
              <w:ind w:right="600"/>
              <w:spacing w:after="0"/>
              <w:rPr>
                <w:sz w:val="20"/>
                <w:szCs w:val="20"/>
                <w:color w:val="auto"/>
              </w:rPr>
            </w:pPr>
            <w:r>
              <w:rPr>
                <w:rFonts w:ascii="Arial" w:cs="Arial" w:eastAsia="Arial" w:hAnsi="Arial"/>
                <w:sz w:val="17"/>
                <w:szCs w:val="17"/>
                <w:b w:val="1"/>
                <w:bCs w:val="1"/>
                <w:color w:val="auto"/>
              </w:rPr>
              <w:t>1999</w:t>
            </w:r>
          </w:p>
        </w:tc>
        <w:tc>
          <w:tcPr>
            <w:tcW w:w="700" w:type="dxa"/>
            <w:vAlign w:val="bottom"/>
            <w:shd w:val="clear" w:color="auto" w:fill="C0C0C0"/>
          </w:tcPr>
          <w:p>
            <w:pPr>
              <w:spacing w:after="0"/>
              <w:rPr>
                <w:sz w:val="24"/>
                <w:szCs w:val="24"/>
                <w:color w:val="auto"/>
              </w:rPr>
            </w:pPr>
          </w:p>
        </w:tc>
        <w:tc>
          <w:tcPr>
            <w:tcW w:w="480" w:type="dxa"/>
            <w:vAlign w:val="bottom"/>
            <w:gridSpan w:val="5"/>
            <w:shd w:val="clear" w:color="auto" w:fill="C0C0C0"/>
          </w:tcPr>
          <w:p>
            <w:pPr>
              <w:jc w:val="right"/>
              <w:ind w:right="80"/>
              <w:spacing w:after="0"/>
              <w:rPr>
                <w:sz w:val="20"/>
                <w:szCs w:val="20"/>
                <w:color w:val="auto"/>
              </w:rPr>
            </w:pPr>
            <w:r>
              <w:rPr>
                <w:rFonts w:ascii="Arial" w:cs="Arial" w:eastAsia="Arial" w:hAnsi="Arial"/>
                <w:sz w:val="17"/>
                <w:szCs w:val="17"/>
                <w:b w:val="1"/>
                <w:bCs w:val="1"/>
                <w:color w:val="auto"/>
              </w:rPr>
              <w:t>2000</w:t>
            </w:r>
          </w:p>
        </w:tc>
        <w:tc>
          <w:tcPr>
            <w:tcW w:w="80" w:type="dxa"/>
            <w:vAlign w:val="bottom"/>
            <w:shd w:val="clear" w:color="auto" w:fill="C0C0C0"/>
          </w:tcPr>
          <w:p>
            <w:pPr>
              <w:spacing w:after="0"/>
              <w:rPr>
                <w:sz w:val="24"/>
                <w:szCs w:val="24"/>
                <w:color w:val="auto"/>
              </w:rPr>
            </w:pPr>
          </w:p>
        </w:tc>
        <w:tc>
          <w:tcPr>
            <w:tcW w:w="660" w:type="dxa"/>
            <w:vAlign w:val="bottom"/>
            <w:shd w:val="clear" w:color="auto" w:fill="C0C0C0"/>
          </w:tcPr>
          <w:p>
            <w:pPr>
              <w:spacing w:after="0"/>
              <w:rPr>
                <w:sz w:val="24"/>
                <w:szCs w:val="24"/>
                <w:color w:val="auto"/>
              </w:rPr>
            </w:pPr>
          </w:p>
        </w:tc>
        <w:tc>
          <w:tcPr>
            <w:tcW w:w="460" w:type="dxa"/>
            <w:vAlign w:val="bottom"/>
            <w:tcBorders>
              <w:right w:val="single" w:sz="8" w:color="C0C0C0"/>
            </w:tcBorders>
            <w:gridSpan w:val="3"/>
            <w:shd w:val="clear" w:color="auto" w:fill="C0C0C0"/>
          </w:tcPr>
          <w:p>
            <w:pPr>
              <w:jc w:val="right"/>
              <w:ind w:right="60"/>
              <w:spacing w:after="0"/>
              <w:rPr>
                <w:sz w:val="20"/>
                <w:szCs w:val="20"/>
                <w:color w:val="auto"/>
              </w:rPr>
            </w:pPr>
            <w:r>
              <w:rPr>
                <w:rFonts w:ascii="Arial" w:cs="Arial" w:eastAsia="Arial" w:hAnsi="Arial"/>
                <w:sz w:val="17"/>
                <w:szCs w:val="17"/>
                <w:b w:val="1"/>
                <w:bCs w:val="1"/>
                <w:color w:val="auto"/>
              </w:rPr>
              <w:t>1999</w:t>
            </w:r>
          </w:p>
        </w:tc>
      </w:tr>
      <w:tr>
        <w:trPr>
          <w:trHeight w:val="72"/>
        </w:trPr>
        <w:tc>
          <w:tcPr>
            <w:tcW w:w="5660" w:type="dxa"/>
            <w:vAlign w:val="bottom"/>
            <w:tcBorders>
              <w:top w:val="single" w:sz="8" w:color="C0C0C0"/>
            </w:tcBorders>
            <w:shd w:val="clear" w:color="auto" w:fill="C0C0C0"/>
          </w:tcPr>
          <w:p>
            <w:pPr>
              <w:spacing w:after="0"/>
              <w:rPr>
                <w:sz w:val="6"/>
                <w:szCs w:val="6"/>
                <w:color w:val="auto"/>
              </w:rPr>
            </w:pPr>
          </w:p>
        </w:tc>
        <w:tc>
          <w:tcPr>
            <w:tcW w:w="18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100" w:type="dxa"/>
            <w:vAlign w:val="bottom"/>
            <w:tcBorders>
              <w:top w:val="single" w:sz="8" w:color="auto"/>
              <w:right w:val="single" w:sz="8" w:color="C0C0C0"/>
            </w:tcBorders>
            <w:shd w:val="clear" w:color="auto" w:fill="C0C0C0"/>
          </w:tcPr>
          <w:p>
            <w:pPr>
              <w:spacing w:after="0"/>
              <w:rPr>
                <w:sz w:val="6"/>
                <w:szCs w:val="6"/>
                <w:color w:val="auto"/>
              </w:rPr>
            </w:pPr>
          </w:p>
        </w:tc>
        <w:tc>
          <w:tcPr>
            <w:tcW w:w="20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auto"/>
            </w:tcBorders>
            <w:shd w:val="clear" w:color="auto" w:fill="C0C0C0"/>
          </w:tcPr>
          <w:p>
            <w:pPr>
              <w:spacing w:after="0"/>
              <w:rPr>
                <w:sz w:val="6"/>
                <w:szCs w:val="6"/>
                <w:color w:val="auto"/>
              </w:rPr>
            </w:pPr>
          </w:p>
        </w:tc>
        <w:tc>
          <w:tcPr>
            <w:tcW w:w="20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100" w:type="dxa"/>
            <w:vAlign w:val="bottom"/>
            <w:tcBorders>
              <w:top w:val="single" w:sz="8" w:color="C0C0C0"/>
              <w:right w:val="single" w:sz="8" w:color="C0C0C0"/>
            </w:tcBorders>
            <w:shd w:val="clear" w:color="auto" w:fill="C0C0C0"/>
          </w:tcPr>
          <w:p>
            <w:pPr>
              <w:spacing w:after="0"/>
              <w:rPr>
                <w:sz w:val="6"/>
                <w:szCs w:val="6"/>
                <w:color w:val="auto"/>
              </w:rPr>
            </w:pPr>
          </w:p>
        </w:tc>
        <w:tc>
          <w:tcPr>
            <w:tcW w:w="260" w:type="dxa"/>
            <w:vAlign w:val="bottom"/>
            <w:tcBorders>
              <w:top w:val="single" w:sz="8" w:color="auto"/>
            </w:tcBorders>
            <w:shd w:val="clear" w:color="auto" w:fill="C0C0C0"/>
          </w:tcPr>
          <w:p>
            <w:pPr>
              <w:spacing w:after="0"/>
              <w:rPr>
                <w:sz w:val="6"/>
                <w:szCs w:val="6"/>
                <w:color w:val="auto"/>
              </w:rPr>
            </w:pPr>
          </w:p>
        </w:tc>
        <w:tc>
          <w:tcPr>
            <w:tcW w:w="60" w:type="dxa"/>
            <w:vAlign w:val="bottom"/>
            <w:tcBorders>
              <w:top w:val="single" w:sz="8" w:color="auto"/>
            </w:tcBorders>
            <w:shd w:val="clear" w:color="auto" w:fill="C0C0C0"/>
          </w:tcPr>
          <w:p>
            <w:pPr>
              <w:spacing w:after="0"/>
              <w:rPr>
                <w:sz w:val="6"/>
                <w:szCs w:val="6"/>
                <w:color w:val="auto"/>
              </w:rPr>
            </w:pPr>
          </w:p>
        </w:tc>
        <w:tc>
          <w:tcPr>
            <w:tcW w:w="600" w:type="dxa"/>
            <w:vAlign w:val="bottom"/>
            <w:tcBorders>
              <w:top w:val="single" w:sz="8" w:color="C0C0C0"/>
            </w:tcBorders>
            <w:shd w:val="clear" w:color="auto" w:fill="C0C0C0"/>
          </w:tcPr>
          <w:p>
            <w:pPr>
              <w:spacing w:after="0"/>
              <w:rPr>
                <w:sz w:val="6"/>
                <w:szCs w:val="6"/>
                <w:color w:val="auto"/>
              </w:rPr>
            </w:pPr>
          </w:p>
        </w:tc>
        <w:tc>
          <w:tcPr>
            <w:tcW w:w="70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30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auto"/>
            </w:tcBorders>
            <w:shd w:val="clear" w:color="auto" w:fill="C0C0C0"/>
          </w:tcPr>
          <w:p>
            <w:pPr>
              <w:spacing w:after="0"/>
              <w:rPr>
                <w:sz w:val="6"/>
                <w:szCs w:val="6"/>
                <w:color w:val="auto"/>
              </w:rPr>
            </w:pPr>
          </w:p>
        </w:tc>
        <w:tc>
          <w:tcPr>
            <w:tcW w:w="80" w:type="dxa"/>
            <w:vAlign w:val="bottom"/>
            <w:tcBorders>
              <w:top w:val="single" w:sz="8" w:color="C0C0C0"/>
            </w:tcBorders>
            <w:shd w:val="clear" w:color="auto" w:fill="C0C0C0"/>
          </w:tcPr>
          <w:p>
            <w:pPr>
              <w:spacing w:after="0"/>
              <w:rPr>
                <w:sz w:val="6"/>
                <w:szCs w:val="6"/>
                <w:color w:val="auto"/>
              </w:rPr>
            </w:pPr>
          </w:p>
        </w:tc>
        <w:tc>
          <w:tcPr>
            <w:tcW w:w="80" w:type="dxa"/>
            <w:vAlign w:val="bottom"/>
            <w:tcBorders>
              <w:top w:val="single" w:sz="8" w:color="C0C0C0"/>
            </w:tcBorders>
            <w:shd w:val="clear" w:color="auto" w:fill="C0C0C0"/>
          </w:tcPr>
          <w:p>
            <w:pPr>
              <w:spacing w:after="0"/>
              <w:rPr>
                <w:sz w:val="6"/>
                <w:szCs w:val="6"/>
                <w:color w:val="auto"/>
              </w:rPr>
            </w:pPr>
          </w:p>
        </w:tc>
        <w:tc>
          <w:tcPr>
            <w:tcW w:w="660" w:type="dxa"/>
            <w:vAlign w:val="bottom"/>
            <w:tcBorders>
              <w:top w:val="single" w:sz="8" w:color="C0C0C0"/>
            </w:tcBorders>
            <w:shd w:val="clear" w:color="auto" w:fill="C0C0C0"/>
          </w:tcPr>
          <w:p>
            <w:pPr>
              <w:spacing w:after="0"/>
              <w:rPr>
                <w:sz w:val="6"/>
                <w:szCs w:val="6"/>
                <w:color w:val="auto"/>
              </w:rPr>
            </w:pPr>
          </w:p>
        </w:tc>
        <w:tc>
          <w:tcPr>
            <w:tcW w:w="4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400" w:type="dxa"/>
            <w:vAlign w:val="bottom"/>
            <w:tcBorders>
              <w:top w:val="single" w:sz="8" w:color="auto"/>
              <w:right w:val="single" w:sz="8" w:color="C0C0C0"/>
            </w:tcBorders>
            <w:shd w:val="clear" w:color="auto" w:fill="C0C0C0"/>
          </w:tcPr>
          <w:p>
            <w:pPr>
              <w:spacing w:after="0"/>
              <w:rPr>
                <w:sz w:val="6"/>
                <w:szCs w:val="6"/>
                <w:color w:val="auto"/>
              </w:rPr>
            </w:pPr>
          </w:p>
        </w:tc>
      </w:tr>
      <w:tr>
        <w:trPr>
          <w:trHeight w:val="253"/>
        </w:trPr>
        <w:tc>
          <w:tcPr>
            <w:tcW w:w="5660" w:type="dxa"/>
            <w:vAlign w:val="bottom"/>
          </w:tcPr>
          <w:p>
            <w:pPr>
              <w:ind w:left="40"/>
              <w:spacing w:after="0"/>
              <w:rPr>
                <w:sz w:val="20"/>
                <w:szCs w:val="20"/>
                <w:color w:val="auto"/>
              </w:rPr>
            </w:pPr>
            <w:r>
              <w:rPr>
                <w:rFonts w:ascii="Arial" w:cs="Arial" w:eastAsia="Arial" w:hAnsi="Arial"/>
                <w:sz w:val="17"/>
                <w:szCs w:val="17"/>
                <w:color w:val="auto"/>
              </w:rPr>
              <w:t>Amounts recognized in the consolidated</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16"/>
        </w:trPr>
        <w:tc>
          <w:tcPr>
            <w:tcW w:w="5660" w:type="dxa"/>
            <w:vAlign w:val="bottom"/>
          </w:tcPr>
          <w:p>
            <w:pPr>
              <w:ind w:left="40"/>
              <w:spacing w:after="0"/>
              <w:rPr>
                <w:sz w:val="20"/>
                <w:szCs w:val="20"/>
                <w:color w:val="auto"/>
              </w:rPr>
            </w:pPr>
            <w:r>
              <w:rPr>
                <w:rFonts w:ascii="Arial" w:cs="Arial" w:eastAsia="Arial" w:hAnsi="Arial"/>
                <w:sz w:val="17"/>
                <w:szCs w:val="17"/>
                <w:color w:val="auto"/>
              </w:rPr>
              <w:t>balance sheet consist of:</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14"/>
        </w:trPr>
        <w:tc>
          <w:tcPr>
            <w:tcW w:w="5660" w:type="dxa"/>
            <w:vAlign w:val="bottom"/>
          </w:tcPr>
          <w:p>
            <w:pPr>
              <w:ind w:left="40"/>
              <w:spacing w:after="0"/>
              <w:rPr>
                <w:sz w:val="20"/>
                <w:szCs w:val="20"/>
                <w:color w:val="auto"/>
              </w:rPr>
            </w:pPr>
            <w:r>
              <w:rPr>
                <w:rFonts w:ascii="Arial" w:cs="Arial" w:eastAsia="Arial" w:hAnsi="Arial"/>
                <w:sz w:val="17"/>
                <w:szCs w:val="17"/>
                <w:color w:val="auto"/>
              </w:rPr>
              <w:t>Prepaid benefit cost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84"/>
              </w:rPr>
              <w:t>14.9</w:t>
            </w:r>
          </w:p>
        </w:tc>
        <w:tc>
          <w:tcPr>
            <w:tcW w:w="40" w:type="dxa"/>
            <w:vAlign w:val="bottom"/>
          </w:tcPr>
          <w:p>
            <w:pPr>
              <w:spacing w:after="0"/>
              <w:rPr>
                <w:sz w:val="24"/>
                <w:szCs w:val="24"/>
                <w:color w:val="auto"/>
              </w:rPr>
            </w:pP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11.2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r>
      <w:tr>
        <w:trPr>
          <w:trHeight w:val="314"/>
        </w:trPr>
        <w:tc>
          <w:tcPr>
            <w:tcW w:w="5660" w:type="dxa"/>
            <w:vAlign w:val="bottom"/>
          </w:tcPr>
          <w:p>
            <w:pPr>
              <w:ind w:left="40"/>
              <w:spacing w:after="0"/>
              <w:rPr>
                <w:sz w:val="20"/>
                <w:szCs w:val="20"/>
                <w:color w:val="auto"/>
              </w:rPr>
            </w:pPr>
            <w:r>
              <w:rPr>
                <w:rFonts w:ascii="Arial" w:cs="Arial" w:eastAsia="Arial" w:hAnsi="Arial"/>
                <w:sz w:val="17"/>
                <w:szCs w:val="17"/>
                <w:color w:val="auto"/>
              </w:rPr>
              <w:t>Accrued benefit liabilities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7"/>
                <w:szCs w:val="17"/>
                <w:color w:val="auto"/>
                <w:w w:val="91"/>
              </w:rPr>
              <w:t>(6.6)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jc w:val="right"/>
              <w:ind w:right="600"/>
              <w:spacing w:after="0"/>
              <w:rPr>
                <w:sz w:val="20"/>
                <w:szCs w:val="20"/>
                <w:color w:val="auto"/>
              </w:rPr>
            </w:pPr>
            <w:r>
              <w:rPr>
                <w:rFonts w:ascii="Arial" w:cs="Arial" w:eastAsia="Arial" w:hAnsi="Arial"/>
                <w:sz w:val="17"/>
                <w:szCs w:val="17"/>
                <w:color w:val="auto"/>
                <w:w w:val="89"/>
              </w:rPr>
              <w:t>(10.0)</w:t>
            </w:r>
          </w:p>
        </w:tc>
        <w:tc>
          <w:tcPr>
            <w:tcW w:w="700" w:type="dxa"/>
            <w:vAlign w:val="bottom"/>
          </w:tcPr>
          <w:p>
            <w:pPr>
              <w:spacing w:after="0"/>
              <w:rPr>
                <w:sz w:val="24"/>
                <w:szCs w:val="24"/>
                <w:color w:val="auto"/>
              </w:rPr>
            </w:pPr>
          </w:p>
        </w:tc>
        <w:tc>
          <w:tcPr>
            <w:tcW w:w="480" w:type="dxa"/>
            <w:vAlign w:val="bottom"/>
            <w:gridSpan w:val="5"/>
          </w:tcPr>
          <w:p>
            <w:pPr>
              <w:jc w:val="right"/>
              <w:ind w:right="80"/>
              <w:spacing w:after="0"/>
              <w:rPr>
                <w:sz w:val="20"/>
                <w:szCs w:val="20"/>
                <w:color w:val="auto"/>
              </w:rPr>
            </w:pPr>
            <w:r>
              <w:rPr>
                <w:rFonts w:ascii="Arial" w:cs="Arial" w:eastAsia="Arial" w:hAnsi="Arial"/>
                <w:sz w:val="17"/>
                <w:szCs w:val="17"/>
                <w:color w:val="auto"/>
                <w:w w:val="85"/>
              </w:rPr>
              <w:t>(19.0)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7"/>
                <w:szCs w:val="17"/>
                <w:color w:val="auto"/>
                <w:w w:val="85"/>
              </w:rPr>
              <w:t>(19.2)</w:t>
            </w:r>
          </w:p>
        </w:tc>
      </w:tr>
      <w:tr>
        <w:trPr>
          <w:trHeight w:val="314"/>
        </w:trPr>
        <w:tc>
          <w:tcPr>
            <w:tcW w:w="5660" w:type="dxa"/>
            <w:vAlign w:val="bottom"/>
          </w:tcPr>
          <w:p>
            <w:pPr>
              <w:ind w:left="40"/>
              <w:spacing w:after="0"/>
              <w:rPr>
                <w:sz w:val="20"/>
                <w:szCs w:val="20"/>
                <w:color w:val="auto"/>
              </w:rPr>
            </w:pPr>
            <w:r>
              <w:rPr>
                <w:rFonts w:ascii="Arial" w:cs="Arial" w:eastAsia="Arial" w:hAnsi="Arial"/>
                <w:sz w:val="17"/>
                <w:szCs w:val="17"/>
                <w:color w:val="auto"/>
              </w:rPr>
              <w:t>Intangible asset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r>
      <w:tr>
        <w:trPr>
          <w:trHeight w:val="277"/>
        </w:trPr>
        <w:tc>
          <w:tcPr>
            <w:tcW w:w="5660" w:type="dxa"/>
            <w:vAlign w:val="bottom"/>
          </w:tcPr>
          <w:p>
            <w:pPr>
              <w:ind w:left="4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325"/>
        </w:trPr>
        <w:tc>
          <w:tcPr>
            <w:tcW w:w="5660" w:type="dxa"/>
            <w:vAlign w:val="bottom"/>
          </w:tcPr>
          <w:p>
            <w:pPr>
              <w:ind w:left="40"/>
              <w:spacing w:after="0"/>
              <w:rPr>
                <w:sz w:val="20"/>
                <w:szCs w:val="20"/>
                <w:color w:val="auto"/>
              </w:rPr>
            </w:pPr>
            <w:r>
              <w:rPr>
                <w:rFonts w:ascii="Arial" w:cs="Arial" w:eastAsia="Arial" w:hAnsi="Arial"/>
                <w:sz w:val="17"/>
                <w:szCs w:val="17"/>
                <w:color w:val="auto"/>
              </w:rPr>
              <w:t>Net amount recognized</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84"/>
              </w:rPr>
              <w:t>11.5</w:t>
            </w:r>
          </w:p>
        </w:tc>
        <w:tc>
          <w:tcPr>
            <w:tcW w:w="4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5"/>
          </w:tcPr>
          <w:p>
            <w:pPr>
              <w:jc w:val="right"/>
              <w:ind w:right="80"/>
              <w:spacing w:after="0"/>
              <w:rPr>
                <w:sz w:val="20"/>
                <w:szCs w:val="20"/>
                <w:color w:val="auto"/>
              </w:rPr>
            </w:pPr>
            <w:r>
              <w:rPr>
                <w:rFonts w:ascii="Arial" w:cs="Arial" w:eastAsia="Arial" w:hAnsi="Arial"/>
                <w:sz w:val="17"/>
                <w:szCs w:val="17"/>
                <w:color w:val="auto"/>
                <w:w w:val="85"/>
              </w:rPr>
              <w:t>(19.0)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17"/>
                <w:szCs w:val="17"/>
                <w:color w:val="auto"/>
                <w:w w:val="85"/>
              </w:rPr>
              <w:t>(19.2)</w:t>
            </w:r>
          </w:p>
        </w:tc>
      </w:tr>
      <w:tr>
        <w:trPr>
          <w:trHeight w:val="216"/>
        </w:trPr>
        <w:tc>
          <w:tcPr>
            <w:tcW w:w="5660" w:type="dxa"/>
            <w:vAlign w:val="bottom"/>
          </w:tcPr>
          <w:p>
            <w:pPr>
              <w:spacing w:after="0"/>
              <w:rPr>
                <w:sz w:val="18"/>
                <w:szCs w:val="18"/>
                <w:color w:val="auto"/>
              </w:rPr>
            </w:pPr>
          </w:p>
        </w:tc>
        <w:tc>
          <w:tcPr>
            <w:tcW w:w="56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1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weighted average assumptions used in the accounting for the pension benefit plans and other benefit plans as of</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December 31 are as follows: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66"/>
        </w:trPr>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3280" w:type="dxa"/>
            <w:vAlign w:val="bottom"/>
            <w:shd w:val="clear" w:color="auto" w:fill="C0C0C0"/>
          </w:tcPr>
          <w:p>
            <w:pPr>
              <w:spacing w:after="0"/>
              <w:rPr>
                <w:sz w:val="14"/>
                <w:szCs w:val="14"/>
                <w:color w:val="auto"/>
              </w:rPr>
            </w:pPr>
          </w:p>
        </w:tc>
        <w:tc>
          <w:tcPr>
            <w:tcW w:w="2160" w:type="dxa"/>
            <w:vAlign w:val="bottom"/>
            <w:gridSpan w:val="3"/>
            <w:shd w:val="clear" w:color="auto" w:fill="C0C0C0"/>
          </w:tcPr>
          <w:p>
            <w:pPr>
              <w:jc w:val="center"/>
              <w:ind w:left="575"/>
              <w:spacing w:after="0" w:line="171" w:lineRule="exact"/>
              <w:rPr>
                <w:sz w:val="20"/>
                <w:szCs w:val="20"/>
                <w:color w:val="auto"/>
              </w:rPr>
            </w:pPr>
            <w:r>
              <w:rPr>
                <w:rFonts w:ascii="Arial" w:cs="Arial" w:eastAsia="Arial" w:hAnsi="Arial"/>
                <w:sz w:val="17"/>
                <w:szCs w:val="17"/>
                <w:b w:val="1"/>
                <w:bCs w:val="1"/>
                <w:color w:val="auto"/>
                <w:w w:val="89"/>
              </w:rPr>
              <w:t>2000</w:t>
            </w:r>
          </w:p>
        </w:tc>
        <w:tc>
          <w:tcPr>
            <w:tcW w:w="920" w:type="dxa"/>
            <w:vAlign w:val="bottom"/>
            <w:gridSpan w:val="2"/>
            <w:shd w:val="clear" w:color="auto" w:fill="C0C0C0"/>
          </w:tcPr>
          <w:p>
            <w:pPr>
              <w:jc w:val="center"/>
              <w:ind w:left="495"/>
              <w:spacing w:after="0" w:line="171" w:lineRule="exact"/>
              <w:rPr>
                <w:sz w:val="20"/>
                <w:szCs w:val="20"/>
                <w:color w:val="auto"/>
              </w:rPr>
            </w:pPr>
            <w:r>
              <w:rPr>
                <w:rFonts w:ascii="Arial" w:cs="Arial" w:eastAsia="Arial" w:hAnsi="Arial"/>
                <w:sz w:val="17"/>
                <w:szCs w:val="17"/>
                <w:b w:val="1"/>
                <w:bCs w:val="1"/>
                <w:color w:val="auto"/>
                <w:w w:val="89"/>
              </w:rPr>
              <w:t>1999</w:t>
            </w:r>
          </w:p>
        </w:tc>
        <w:tc>
          <w:tcPr>
            <w:tcW w:w="560" w:type="dxa"/>
            <w:vAlign w:val="bottom"/>
            <w:shd w:val="clear" w:color="auto" w:fill="C0C0C0"/>
          </w:tcPr>
          <w:p>
            <w:pPr>
              <w:spacing w:after="0"/>
              <w:rPr>
                <w:sz w:val="14"/>
                <w:szCs w:val="14"/>
                <w:color w:val="auto"/>
              </w:rPr>
            </w:pPr>
          </w:p>
        </w:tc>
        <w:tc>
          <w:tcPr>
            <w:tcW w:w="1420" w:type="dxa"/>
            <w:vAlign w:val="bottom"/>
            <w:gridSpan w:val="3"/>
            <w:shd w:val="clear" w:color="auto" w:fill="C0C0C0"/>
          </w:tcPr>
          <w:p>
            <w:pPr>
              <w:jc w:val="center"/>
              <w:spacing w:after="0" w:line="171" w:lineRule="exact"/>
              <w:rPr>
                <w:sz w:val="20"/>
                <w:szCs w:val="20"/>
                <w:color w:val="auto"/>
              </w:rPr>
            </w:pPr>
            <w:r>
              <w:rPr>
                <w:rFonts w:ascii="Arial" w:cs="Arial" w:eastAsia="Arial" w:hAnsi="Arial"/>
                <w:sz w:val="17"/>
                <w:szCs w:val="17"/>
                <w:b w:val="1"/>
                <w:bCs w:val="1"/>
                <w:color w:val="auto"/>
                <w:w w:val="89"/>
              </w:rPr>
              <w:t>1998</w:t>
            </w:r>
          </w:p>
        </w:tc>
      </w:tr>
      <w:tr>
        <w:trPr>
          <w:trHeight w:val="45"/>
        </w:trPr>
        <w:tc>
          <w:tcPr>
            <w:tcW w:w="3280" w:type="dxa"/>
            <w:vAlign w:val="bottom"/>
            <w:tcBorders>
              <w:top w:val="single" w:sz="8" w:color="C0C0C0"/>
            </w:tcBorders>
            <w:shd w:val="clear" w:color="auto" w:fill="C0C0C0"/>
          </w:tcPr>
          <w:p>
            <w:pPr>
              <w:spacing w:after="0"/>
              <w:rPr>
                <w:sz w:val="3"/>
                <w:szCs w:val="3"/>
                <w:color w:val="auto"/>
              </w:rPr>
            </w:pPr>
          </w:p>
        </w:tc>
        <w:tc>
          <w:tcPr>
            <w:tcW w:w="1240" w:type="dxa"/>
            <w:vAlign w:val="bottom"/>
            <w:tcBorders>
              <w:top w:val="single" w:sz="8" w:color="C0C0C0"/>
            </w:tcBorders>
            <w:shd w:val="clear" w:color="auto" w:fill="C0C0C0"/>
          </w:tcPr>
          <w:p>
            <w:pPr>
              <w:spacing w:after="0"/>
              <w:rPr>
                <w:sz w:val="3"/>
                <w:szCs w:val="3"/>
                <w:color w:val="auto"/>
              </w:rPr>
            </w:pPr>
          </w:p>
        </w:tc>
        <w:tc>
          <w:tcPr>
            <w:tcW w:w="340" w:type="dxa"/>
            <w:vAlign w:val="bottom"/>
            <w:tcBorders>
              <w:top w:val="single" w:sz="8" w:color="auto"/>
            </w:tcBorders>
            <w:shd w:val="clear" w:color="auto" w:fill="C0C0C0"/>
          </w:tcPr>
          <w:p>
            <w:pPr>
              <w:spacing w:after="0"/>
              <w:rPr>
                <w:sz w:val="3"/>
                <w:szCs w:val="3"/>
                <w:color w:val="auto"/>
              </w:rPr>
            </w:pPr>
          </w:p>
        </w:tc>
        <w:tc>
          <w:tcPr>
            <w:tcW w:w="580" w:type="dxa"/>
            <w:vAlign w:val="bottom"/>
            <w:tcBorders>
              <w:top w:val="single" w:sz="8" w:color="C0C0C0"/>
            </w:tcBorders>
            <w:shd w:val="clear" w:color="auto" w:fill="C0C0C0"/>
          </w:tcPr>
          <w:p>
            <w:pPr>
              <w:spacing w:after="0"/>
              <w:rPr>
                <w:sz w:val="3"/>
                <w:szCs w:val="3"/>
                <w:color w:val="auto"/>
              </w:rPr>
            </w:pPr>
          </w:p>
        </w:tc>
        <w:tc>
          <w:tcPr>
            <w:tcW w:w="580" w:type="dxa"/>
            <w:vAlign w:val="bottom"/>
            <w:tcBorders>
              <w:top w:val="single" w:sz="8" w:color="C0C0C0"/>
            </w:tcBorders>
            <w:shd w:val="clear" w:color="auto" w:fill="C0C0C0"/>
          </w:tcPr>
          <w:p>
            <w:pPr>
              <w:spacing w:after="0"/>
              <w:rPr>
                <w:sz w:val="3"/>
                <w:szCs w:val="3"/>
                <w:color w:val="auto"/>
              </w:rPr>
            </w:pPr>
          </w:p>
        </w:tc>
        <w:tc>
          <w:tcPr>
            <w:tcW w:w="340" w:type="dxa"/>
            <w:vAlign w:val="bottom"/>
            <w:tcBorders>
              <w:top w:val="single" w:sz="8" w:color="auto"/>
            </w:tcBorders>
            <w:shd w:val="clear" w:color="auto" w:fill="C0C0C0"/>
          </w:tcPr>
          <w:p>
            <w:pPr>
              <w:spacing w:after="0"/>
              <w:rPr>
                <w:sz w:val="3"/>
                <w:szCs w:val="3"/>
                <w:color w:val="auto"/>
              </w:rPr>
            </w:pPr>
          </w:p>
        </w:tc>
        <w:tc>
          <w:tcPr>
            <w:tcW w:w="560" w:type="dxa"/>
            <w:vAlign w:val="bottom"/>
            <w:tcBorders>
              <w:top w:val="single" w:sz="8" w:color="C0C0C0"/>
            </w:tcBorders>
            <w:shd w:val="clear" w:color="auto" w:fill="C0C0C0"/>
          </w:tcPr>
          <w:p>
            <w:pPr>
              <w:spacing w:after="0"/>
              <w:rPr>
                <w:sz w:val="3"/>
                <w:szCs w:val="3"/>
                <w:color w:val="auto"/>
              </w:rPr>
            </w:pPr>
          </w:p>
        </w:tc>
        <w:tc>
          <w:tcPr>
            <w:tcW w:w="540" w:type="dxa"/>
            <w:vAlign w:val="bottom"/>
            <w:tcBorders>
              <w:top w:val="single" w:sz="8" w:color="C0C0C0"/>
            </w:tcBorders>
            <w:shd w:val="clear" w:color="auto" w:fill="C0C0C0"/>
          </w:tcPr>
          <w:p>
            <w:pPr>
              <w:spacing w:after="0"/>
              <w:rPr>
                <w:sz w:val="3"/>
                <w:szCs w:val="3"/>
                <w:color w:val="auto"/>
              </w:rPr>
            </w:pPr>
          </w:p>
        </w:tc>
        <w:tc>
          <w:tcPr>
            <w:tcW w:w="340" w:type="dxa"/>
            <w:vAlign w:val="bottom"/>
            <w:tcBorders>
              <w:top w:val="single" w:sz="8" w:color="auto"/>
            </w:tcBorders>
            <w:shd w:val="clear" w:color="auto" w:fill="C0C0C0"/>
          </w:tcPr>
          <w:p>
            <w:pPr>
              <w:spacing w:after="0"/>
              <w:rPr>
                <w:sz w:val="3"/>
                <w:szCs w:val="3"/>
                <w:color w:val="auto"/>
              </w:rPr>
            </w:pPr>
          </w:p>
        </w:tc>
        <w:tc>
          <w:tcPr>
            <w:tcW w:w="540" w:type="dxa"/>
            <w:vAlign w:val="bottom"/>
            <w:tcBorders>
              <w:top w:val="single" w:sz="8" w:color="C0C0C0"/>
            </w:tcBorders>
            <w:shd w:val="clear" w:color="auto" w:fill="C0C0C0"/>
          </w:tcPr>
          <w:p>
            <w:pPr>
              <w:spacing w:after="0"/>
              <w:rPr>
                <w:sz w:val="3"/>
                <w:szCs w:val="3"/>
                <w:color w:val="auto"/>
              </w:rPr>
            </w:pPr>
          </w:p>
        </w:tc>
      </w:tr>
      <w:tr>
        <w:trPr>
          <w:trHeight w:val="201"/>
        </w:trPr>
        <w:tc>
          <w:tcPr>
            <w:tcW w:w="3280" w:type="dxa"/>
            <w:vAlign w:val="bottom"/>
          </w:tcPr>
          <w:p>
            <w:pPr>
              <w:spacing w:after="0"/>
              <w:rPr>
                <w:sz w:val="20"/>
                <w:szCs w:val="20"/>
                <w:color w:val="auto"/>
              </w:rPr>
            </w:pPr>
            <w:r>
              <w:rPr>
                <w:rFonts w:ascii="Arial" w:cs="Arial" w:eastAsia="Arial" w:hAnsi="Arial"/>
                <w:sz w:val="17"/>
                <w:szCs w:val="17"/>
                <w:color w:val="auto"/>
              </w:rPr>
              <w:t>Discount rate</w:t>
            </w:r>
          </w:p>
        </w:tc>
        <w:tc>
          <w:tcPr>
            <w:tcW w:w="2160" w:type="dxa"/>
            <w:vAlign w:val="bottom"/>
            <w:gridSpan w:val="3"/>
          </w:tcPr>
          <w:p>
            <w:pPr>
              <w:jc w:val="center"/>
              <w:ind w:left="555"/>
              <w:spacing w:after="0"/>
              <w:rPr>
                <w:sz w:val="20"/>
                <w:szCs w:val="20"/>
                <w:color w:val="auto"/>
              </w:rPr>
            </w:pPr>
            <w:r>
              <w:rPr>
                <w:rFonts w:ascii="Arial" w:cs="Arial" w:eastAsia="Arial" w:hAnsi="Arial"/>
                <w:sz w:val="17"/>
                <w:szCs w:val="17"/>
                <w:color w:val="auto"/>
                <w:w w:val="91"/>
              </w:rPr>
              <w:t>7.50%</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91"/>
              </w:rPr>
              <w:t>7.75%</w:t>
            </w:r>
          </w:p>
        </w:tc>
        <w:tc>
          <w:tcPr>
            <w:tcW w:w="1420" w:type="dxa"/>
            <w:vAlign w:val="bottom"/>
            <w:gridSpan w:val="3"/>
          </w:tcPr>
          <w:p>
            <w:pPr>
              <w:jc w:val="center"/>
              <w:spacing w:after="0"/>
              <w:rPr>
                <w:sz w:val="20"/>
                <w:szCs w:val="20"/>
                <w:color w:val="auto"/>
              </w:rPr>
            </w:pPr>
            <w:r>
              <w:rPr>
                <w:rFonts w:ascii="Arial" w:cs="Arial" w:eastAsia="Arial" w:hAnsi="Arial"/>
                <w:sz w:val="17"/>
                <w:szCs w:val="17"/>
                <w:color w:val="auto"/>
                <w:w w:val="91"/>
              </w:rPr>
              <w:t>6.75%</w:t>
            </w:r>
          </w:p>
        </w:tc>
      </w:tr>
      <w:tr>
        <w:trPr>
          <w:trHeight w:val="210"/>
        </w:trPr>
        <w:tc>
          <w:tcPr>
            <w:tcW w:w="328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2160" w:type="dxa"/>
            <w:vAlign w:val="bottom"/>
            <w:gridSpan w:val="3"/>
          </w:tcPr>
          <w:p>
            <w:pPr>
              <w:jc w:val="center"/>
              <w:ind w:left="555"/>
              <w:spacing w:after="0"/>
              <w:rPr>
                <w:sz w:val="20"/>
                <w:szCs w:val="20"/>
                <w:color w:val="auto"/>
              </w:rPr>
            </w:pPr>
            <w:r>
              <w:rPr>
                <w:rFonts w:ascii="Arial" w:cs="Arial" w:eastAsia="Arial" w:hAnsi="Arial"/>
                <w:sz w:val="17"/>
                <w:szCs w:val="17"/>
                <w:color w:val="auto"/>
                <w:w w:val="91"/>
              </w:rPr>
              <w:t>9.50%</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91"/>
              </w:rPr>
              <w:t>9.00%</w:t>
            </w:r>
          </w:p>
        </w:tc>
        <w:tc>
          <w:tcPr>
            <w:tcW w:w="1420" w:type="dxa"/>
            <w:vAlign w:val="bottom"/>
            <w:gridSpan w:val="3"/>
          </w:tcPr>
          <w:p>
            <w:pPr>
              <w:jc w:val="center"/>
              <w:spacing w:after="0"/>
              <w:rPr>
                <w:sz w:val="20"/>
                <w:szCs w:val="20"/>
                <w:color w:val="auto"/>
              </w:rPr>
            </w:pPr>
            <w:r>
              <w:rPr>
                <w:rFonts w:ascii="Arial" w:cs="Arial" w:eastAsia="Arial" w:hAnsi="Arial"/>
                <w:sz w:val="17"/>
                <w:szCs w:val="17"/>
                <w:color w:val="auto"/>
                <w:w w:val="91"/>
              </w:rPr>
              <w:t>9.00%</w:t>
            </w:r>
          </w:p>
        </w:tc>
      </w:t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Rate of compensation increase</w:t>
            </w:r>
          </w:p>
        </w:tc>
        <w:tc>
          <w:tcPr>
            <w:tcW w:w="2160" w:type="dxa"/>
            <w:vAlign w:val="bottom"/>
            <w:gridSpan w:val="3"/>
          </w:tcPr>
          <w:p>
            <w:pPr>
              <w:jc w:val="center"/>
              <w:ind w:left="555"/>
              <w:spacing w:after="0"/>
              <w:rPr>
                <w:sz w:val="20"/>
                <w:szCs w:val="20"/>
                <w:color w:val="auto"/>
              </w:rPr>
            </w:pPr>
            <w:r>
              <w:rPr>
                <w:rFonts w:ascii="Arial" w:cs="Arial" w:eastAsia="Arial" w:hAnsi="Arial"/>
                <w:sz w:val="17"/>
                <w:szCs w:val="17"/>
                <w:color w:val="auto"/>
                <w:w w:val="91"/>
              </w:rPr>
              <w:t>4.00%</w:t>
            </w: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91"/>
              </w:rPr>
              <w:t>4.50%</w:t>
            </w:r>
          </w:p>
        </w:tc>
        <w:tc>
          <w:tcPr>
            <w:tcW w:w="1420" w:type="dxa"/>
            <w:vAlign w:val="bottom"/>
            <w:gridSpan w:val="3"/>
          </w:tcPr>
          <w:p>
            <w:pPr>
              <w:jc w:val="center"/>
              <w:spacing w:after="0"/>
              <w:rPr>
                <w:sz w:val="20"/>
                <w:szCs w:val="20"/>
                <w:color w:val="auto"/>
              </w:rPr>
            </w:pPr>
            <w:r>
              <w:rPr>
                <w:rFonts w:ascii="Arial" w:cs="Arial" w:eastAsia="Arial" w:hAnsi="Arial"/>
                <w:sz w:val="17"/>
                <w:szCs w:val="17"/>
                <w:color w:val="auto"/>
                <w:w w:val="91"/>
              </w:rPr>
              <w:t>4.00%</w:t>
            </w:r>
          </w:p>
        </w:tc>
      </w:tr>
    </w:tbl>
    <w:p>
      <w:pPr>
        <w:spacing w:after="0" w:line="164" w:lineRule="exact"/>
        <w:rPr>
          <w:sz w:val="20"/>
          <w:szCs w:val="20"/>
          <w:color w:val="auto"/>
        </w:rPr>
      </w:pPr>
    </w:p>
    <w:p>
      <w:pPr>
        <w:ind w:right="80" w:firstLine="213"/>
        <w:spacing w:after="0" w:line="282" w:lineRule="auto"/>
        <w:rPr>
          <w:sz w:val="20"/>
          <w:szCs w:val="20"/>
          <w:color w:val="auto"/>
        </w:rPr>
      </w:pPr>
      <w:r>
        <w:rPr>
          <w:rFonts w:ascii="Arial" w:cs="Arial" w:eastAsia="Arial" w:hAnsi="Arial"/>
          <w:sz w:val="17"/>
          <w:szCs w:val="17"/>
          <w:color w:val="auto"/>
        </w:rPr>
        <w:t>For measurement purposes, health care cost trend rates of approximately 8.50% for pre-age-65 and post-age-65 benefits were used in 2000. These trend rates were assumed to decrease gradually to 5.3% for 2005 and remain at that level thereafter.</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components of net periodic benefit costs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28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300" w:type="dxa"/>
            <w:vAlign w:val="bottom"/>
            <w:gridSpan w:val="6"/>
            <w:shd w:val="clear" w:color="auto" w:fill="C0C0C0"/>
          </w:tcPr>
          <w:p>
            <w:pPr>
              <w:spacing w:after="0"/>
              <w:rPr>
                <w:sz w:val="20"/>
                <w:szCs w:val="20"/>
                <w:color w:val="auto"/>
              </w:rPr>
            </w:pPr>
            <w:r>
              <w:rPr>
                <w:rFonts w:ascii="Arial" w:cs="Arial" w:eastAsia="Arial" w:hAnsi="Arial"/>
                <w:sz w:val="17"/>
                <w:szCs w:val="17"/>
                <w:b w:val="1"/>
                <w:bCs w:val="1"/>
                <w:color w:val="auto"/>
                <w:w w:val="92"/>
              </w:rPr>
              <w:t>Pension Benefits</w:t>
            </w:r>
          </w:p>
        </w:tc>
        <w:tc>
          <w:tcPr>
            <w:tcW w:w="220" w:type="dxa"/>
            <w:vAlign w:val="bottom"/>
            <w:tcBorders>
              <w:right w:val="single" w:sz="8" w:color="C0C0C0"/>
            </w:tcBorders>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420" w:type="dxa"/>
            <w:vAlign w:val="bottom"/>
            <w:tcBorders>
              <w:right w:val="single" w:sz="8" w:color="C0C0C0"/>
            </w:tcBorders>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1600" w:type="dxa"/>
            <w:vAlign w:val="bottom"/>
            <w:gridSpan w:val="6"/>
            <w:shd w:val="clear" w:color="auto" w:fill="C0C0C0"/>
          </w:tcPr>
          <w:p>
            <w:pPr>
              <w:ind w:left="380"/>
              <w:spacing w:after="0"/>
              <w:rPr>
                <w:sz w:val="20"/>
                <w:szCs w:val="20"/>
                <w:color w:val="auto"/>
              </w:rPr>
            </w:pPr>
            <w:r>
              <w:rPr>
                <w:rFonts w:ascii="Arial" w:cs="Arial" w:eastAsia="Arial" w:hAnsi="Arial"/>
                <w:sz w:val="17"/>
                <w:szCs w:val="17"/>
                <w:b w:val="1"/>
                <w:bCs w:val="1"/>
                <w:color w:val="auto"/>
              </w:rPr>
              <w:t>Other Benefits</w:t>
            </w:r>
          </w:p>
        </w:tc>
        <w:tc>
          <w:tcPr>
            <w:tcW w:w="2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r>
      <w:tr>
        <w:trPr>
          <w:trHeight w:val="294"/>
        </w:trPr>
        <w:tc>
          <w:tcPr>
            <w:tcW w:w="4280" w:type="dxa"/>
            <w:vAlign w:val="bottom"/>
            <w:tcBorders>
              <w:top w:val="single" w:sz="8" w:color="C0C0C0"/>
            </w:tcBorders>
            <w:shd w:val="clear" w:color="auto" w:fill="C0C0C0"/>
          </w:tcPr>
          <w:p>
            <w:pPr>
              <w:ind w:left="60"/>
              <w:spacing w:after="0"/>
              <w:rPr>
                <w:sz w:val="20"/>
                <w:szCs w:val="20"/>
                <w:color w:val="auto"/>
              </w:rPr>
            </w:pPr>
            <w:r>
              <w:rPr>
                <w:rFonts w:ascii="Arial" w:cs="Arial" w:eastAsia="Arial" w:hAnsi="Arial"/>
                <w:sz w:val="17"/>
                <w:szCs w:val="17"/>
                <w:b w:val="1"/>
                <w:bCs w:val="1"/>
                <w:color w:val="auto"/>
              </w:rPr>
              <w:t>Millions of Dollars</w:t>
            </w:r>
          </w:p>
        </w:tc>
        <w:tc>
          <w:tcPr>
            <w:tcW w:w="660" w:type="dxa"/>
            <w:vAlign w:val="bottom"/>
            <w:tcBorders>
              <w:top w:val="single" w:sz="8" w:color="C0C0C0"/>
            </w:tcBorders>
            <w:shd w:val="clear" w:color="auto" w:fill="C0C0C0"/>
          </w:tcPr>
          <w:p>
            <w:pPr>
              <w:spacing w:after="0"/>
              <w:rPr>
                <w:sz w:val="24"/>
                <w:szCs w:val="24"/>
                <w:color w:val="auto"/>
              </w:rPr>
            </w:pPr>
          </w:p>
        </w:tc>
        <w:tc>
          <w:tcPr>
            <w:tcW w:w="360" w:type="dxa"/>
            <w:vAlign w:val="bottom"/>
            <w:tcBorders>
              <w:top w:val="single" w:sz="8" w:color="C0C0C0"/>
            </w:tcBorders>
            <w:gridSpan w:val="4"/>
            <w:shd w:val="clear" w:color="auto" w:fill="C0C0C0"/>
          </w:tcPr>
          <w:p>
            <w:pPr>
              <w:jc w:val="right"/>
              <w:spacing w:after="0"/>
              <w:rPr>
                <w:sz w:val="20"/>
                <w:szCs w:val="20"/>
                <w:color w:val="auto"/>
              </w:rPr>
            </w:pPr>
            <w:r>
              <w:rPr>
                <w:rFonts w:ascii="Arial" w:cs="Arial" w:eastAsia="Arial" w:hAnsi="Arial"/>
                <w:sz w:val="17"/>
                <w:szCs w:val="17"/>
                <w:b w:val="1"/>
                <w:bCs w:val="1"/>
                <w:color w:val="auto"/>
                <w:w w:val="89"/>
              </w:rPr>
              <w:t>2000</w:t>
            </w:r>
          </w:p>
        </w:tc>
        <w:tc>
          <w:tcPr>
            <w:tcW w:w="320" w:type="dxa"/>
            <w:vAlign w:val="bottom"/>
            <w:tcBorders>
              <w:top w:val="single" w:sz="8" w:color="C0C0C0"/>
            </w:tcBorders>
            <w:shd w:val="clear" w:color="auto" w:fill="C0C0C0"/>
          </w:tcPr>
          <w:p>
            <w:pPr>
              <w:spacing w:after="0"/>
              <w:rPr>
                <w:sz w:val="24"/>
                <w:szCs w:val="24"/>
                <w:color w:val="auto"/>
              </w:rPr>
            </w:pPr>
          </w:p>
        </w:tc>
        <w:tc>
          <w:tcPr>
            <w:tcW w:w="420" w:type="dxa"/>
            <w:vAlign w:val="bottom"/>
            <w:tcBorders>
              <w:top w:val="single" w:sz="8" w:color="auto"/>
            </w:tcBorders>
            <w:shd w:val="clear" w:color="auto" w:fill="C0C0C0"/>
          </w:tcPr>
          <w:p>
            <w:pPr>
              <w:spacing w:after="0"/>
              <w:rPr>
                <w:sz w:val="24"/>
                <w:szCs w:val="24"/>
                <w:color w:val="auto"/>
              </w:rPr>
            </w:pPr>
          </w:p>
        </w:tc>
        <w:tc>
          <w:tcPr>
            <w:tcW w:w="780" w:type="dxa"/>
            <w:vAlign w:val="bottom"/>
            <w:tcBorders>
              <w:top w:val="single" w:sz="8" w:color="auto"/>
            </w:tcBorders>
            <w:gridSpan w:val="4"/>
            <w:shd w:val="clear" w:color="auto" w:fill="C0C0C0"/>
          </w:tcPr>
          <w:p>
            <w:pPr>
              <w:jc w:val="right"/>
              <w:ind w:right="420"/>
              <w:spacing w:after="0"/>
              <w:rPr>
                <w:sz w:val="20"/>
                <w:szCs w:val="20"/>
                <w:color w:val="auto"/>
              </w:rPr>
            </w:pPr>
            <w:r>
              <w:rPr>
                <w:rFonts w:ascii="Arial" w:cs="Arial" w:eastAsia="Arial" w:hAnsi="Arial"/>
                <w:sz w:val="17"/>
                <w:szCs w:val="17"/>
                <w:b w:val="1"/>
                <w:bCs w:val="1"/>
                <w:color w:val="auto"/>
                <w:w w:val="89"/>
              </w:rPr>
              <w:t>1999</w:t>
            </w:r>
          </w:p>
        </w:tc>
        <w:tc>
          <w:tcPr>
            <w:tcW w:w="100" w:type="dxa"/>
            <w:vAlign w:val="bottom"/>
            <w:tcBorders>
              <w:top w:val="single" w:sz="8" w:color="C0C0C0"/>
            </w:tcBorders>
            <w:shd w:val="clear" w:color="auto" w:fill="C0C0C0"/>
          </w:tcPr>
          <w:p>
            <w:pPr>
              <w:spacing w:after="0"/>
              <w:rPr>
                <w:sz w:val="24"/>
                <w:szCs w:val="24"/>
                <w:color w:val="auto"/>
              </w:rPr>
            </w:pPr>
          </w:p>
        </w:tc>
        <w:tc>
          <w:tcPr>
            <w:tcW w:w="220" w:type="dxa"/>
            <w:vAlign w:val="bottom"/>
            <w:tcBorders>
              <w:top w:val="single" w:sz="8" w:color="C0C0C0"/>
              <w:right w:val="single" w:sz="8" w:color="C0C0C0"/>
            </w:tcBorders>
            <w:shd w:val="clear" w:color="auto" w:fill="C0C0C0"/>
          </w:tcPr>
          <w:p>
            <w:pPr>
              <w:spacing w:after="0"/>
              <w:rPr>
                <w:sz w:val="24"/>
                <w:szCs w:val="24"/>
                <w:color w:val="auto"/>
              </w:rPr>
            </w:pPr>
          </w:p>
        </w:tc>
        <w:tc>
          <w:tcPr>
            <w:tcW w:w="660" w:type="dxa"/>
            <w:vAlign w:val="bottom"/>
            <w:tcBorders>
              <w:top w:val="single" w:sz="8" w:color="C0C0C0"/>
            </w:tcBorders>
            <w:gridSpan w:val="2"/>
            <w:shd w:val="clear" w:color="auto" w:fill="C0C0C0"/>
          </w:tcPr>
          <w:p>
            <w:pPr>
              <w:jc w:val="right"/>
              <w:ind w:right="320"/>
              <w:spacing w:after="0"/>
              <w:rPr>
                <w:sz w:val="20"/>
                <w:szCs w:val="20"/>
                <w:color w:val="auto"/>
              </w:rPr>
            </w:pPr>
            <w:r>
              <w:rPr>
                <w:rFonts w:ascii="Arial" w:cs="Arial" w:eastAsia="Arial" w:hAnsi="Arial"/>
                <w:sz w:val="17"/>
                <w:szCs w:val="17"/>
                <w:b w:val="1"/>
                <w:bCs w:val="1"/>
                <w:color w:val="auto"/>
                <w:w w:val="84"/>
              </w:rPr>
              <w:t>1998</w:t>
            </w:r>
          </w:p>
        </w:tc>
        <w:tc>
          <w:tcPr>
            <w:tcW w:w="420" w:type="dxa"/>
            <w:vAlign w:val="bottom"/>
            <w:tcBorders>
              <w:top w:val="single" w:sz="8" w:color="C0C0C0"/>
              <w:right w:val="single" w:sz="8" w:color="C0C0C0"/>
            </w:tcBorders>
            <w:shd w:val="clear" w:color="auto" w:fill="C0C0C0"/>
          </w:tcPr>
          <w:p>
            <w:pPr>
              <w:spacing w:after="0"/>
              <w:rPr>
                <w:sz w:val="24"/>
                <w:szCs w:val="24"/>
                <w:color w:val="auto"/>
              </w:rPr>
            </w:pPr>
          </w:p>
        </w:tc>
        <w:tc>
          <w:tcPr>
            <w:tcW w:w="340" w:type="dxa"/>
            <w:vAlign w:val="bottom"/>
            <w:tcBorders>
              <w:top w:val="single" w:sz="8" w:color="C0C0C0"/>
            </w:tcBorders>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w w:val="84"/>
              </w:rPr>
              <w:t>2000</w:t>
            </w:r>
          </w:p>
        </w:tc>
        <w:tc>
          <w:tcPr>
            <w:tcW w:w="380" w:type="dxa"/>
            <w:vAlign w:val="bottom"/>
            <w:tcBorders>
              <w:top w:val="single" w:sz="8" w:color="C0C0C0"/>
            </w:tcBorders>
            <w:shd w:val="clear" w:color="auto" w:fill="C0C0C0"/>
          </w:tcPr>
          <w:p>
            <w:pPr>
              <w:spacing w:after="0"/>
              <w:rPr>
                <w:sz w:val="24"/>
                <w:szCs w:val="24"/>
                <w:color w:val="auto"/>
              </w:rPr>
            </w:pPr>
          </w:p>
        </w:tc>
        <w:tc>
          <w:tcPr>
            <w:tcW w:w="380" w:type="dxa"/>
            <w:vAlign w:val="bottom"/>
            <w:tcBorders>
              <w:top w:val="single" w:sz="8" w:color="auto"/>
              <w:right w:val="single" w:sz="8" w:color="C0C0C0"/>
            </w:tcBorders>
            <w:shd w:val="clear" w:color="auto" w:fill="C0C0C0"/>
          </w:tcPr>
          <w:p>
            <w:pPr>
              <w:spacing w:after="0"/>
              <w:rPr>
                <w:sz w:val="24"/>
                <w:szCs w:val="24"/>
                <w:color w:val="auto"/>
              </w:rPr>
            </w:pPr>
          </w:p>
        </w:tc>
        <w:tc>
          <w:tcPr>
            <w:tcW w:w="680" w:type="dxa"/>
            <w:vAlign w:val="bottom"/>
            <w:tcBorders>
              <w:top w:val="single" w:sz="8" w:color="auto"/>
            </w:tcBorders>
            <w:gridSpan w:val="3"/>
            <w:shd w:val="clear" w:color="auto" w:fill="C0C0C0"/>
          </w:tcPr>
          <w:p>
            <w:pPr>
              <w:jc w:val="right"/>
              <w:ind w:right="340"/>
              <w:spacing w:after="0"/>
              <w:rPr>
                <w:sz w:val="20"/>
                <w:szCs w:val="20"/>
                <w:color w:val="auto"/>
              </w:rPr>
            </w:pPr>
            <w:r>
              <w:rPr>
                <w:rFonts w:ascii="Arial" w:cs="Arial" w:eastAsia="Arial" w:hAnsi="Arial"/>
                <w:sz w:val="17"/>
                <w:szCs w:val="17"/>
                <w:b w:val="1"/>
                <w:bCs w:val="1"/>
                <w:color w:val="auto"/>
                <w:w w:val="84"/>
              </w:rPr>
              <w:t>1999</w:t>
            </w:r>
          </w:p>
        </w:tc>
        <w:tc>
          <w:tcPr>
            <w:tcW w:w="160" w:type="dxa"/>
            <w:vAlign w:val="bottom"/>
            <w:tcBorders>
              <w:top w:val="single" w:sz="8" w:color="C0C0C0"/>
            </w:tcBorders>
            <w:shd w:val="clear" w:color="auto" w:fill="C0C0C0"/>
          </w:tcPr>
          <w:p>
            <w:pPr>
              <w:spacing w:after="0"/>
              <w:rPr>
                <w:sz w:val="24"/>
                <w:szCs w:val="24"/>
                <w:color w:val="auto"/>
              </w:rPr>
            </w:pPr>
          </w:p>
        </w:tc>
        <w:tc>
          <w:tcPr>
            <w:tcW w:w="240" w:type="dxa"/>
            <w:vAlign w:val="bottom"/>
            <w:tcBorders>
              <w:top w:val="single" w:sz="8" w:color="C0C0C0"/>
            </w:tcBorders>
            <w:shd w:val="clear" w:color="auto" w:fill="C0C0C0"/>
          </w:tcPr>
          <w:p>
            <w:pPr>
              <w:spacing w:after="0"/>
              <w:rPr>
                <w:sz w:val="24"/>
                <w:szCs w:val="24"/>
                <w:color w:val="auto"/>
              </w:rPr>
            </w:pPr>
          </w:p>
        </w:tc>
        <w:tc>
          <w:tcPr>
            <w:tcW w:w="420" w:type="dxa"/>
            <w:vAlign w:val="bottom"/>
            <w:tcBorders>
              <w:top w:val="single" w:sz="8" w:color="C0C0C0"/>
            </w:tcBorders>
            <w:gridSpan w:val="5"/>
            <w:shd w:val="clear" w:color="auto" w:fill="C0C0C0"/>
          </w:tcPr>
          <w:p>
            <w:pPr>
              <w:jc w:val="right"/>
              <w:ind w:right="60"/>
              <w:spacing w:after="0"/>
              <w:rPr>
                <w:sz w:val="20"/>
                <w:szCs w:val="20"/>
                <w:color w:val="auto"/>
              </w:rPr>
            </w:pPr>
            <w:r>
              <w:rPr>
                <w:rFonts w:ascii="Arial" w:cs="Arial" w:eastAsia="Arial" w:hAnsi="Arial"/>
                <w:sz w:val="17"/>
                <w:szCs w:val="17"/>
                <w:b w:val="1"/>
                <w:bCs w:val="1"/>
                <w:color w:val="auto"/>
                <w:w w:val="89"/>
              </w:rPr>
              <w:t>1998</w:t>
            </w:r>
          </w:p>
        </w:tc>
      </w:tr>
      <w:tr>
        <w:trPr>
          <w:trHeight w:val="72"/>
        </w:trPr>
        <w:tc>
          <w:tcPr>
            <w:tcW w:w="4280" w:type="dxa"/>
            <w:vAlign w:val="bottom"/>
            <w:tcBorders>
              <w:top w:val="single" w:sz="8" w:color="C0C0C0"/>
            </w:tcBorders>
            <w:shd w:val="clear" w:color="auto" w:fill="C0C0C0"/>
          </w:tcPr>
          <w:p>
            <w:pPr>
              <w:spacing w:after="0"/>
              <w:rPr>
                <w:sz w:val="6"/>
                <w:szCs w:val="6"/>
                <w:color w:val="auto"/>
              </w:rPr>
            </w:pPr>
          </w:p>
        </w:tc>
        <w:tc>
          <w:tcPr>
            <w:tcW w:w="66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auto"/>
            </w:tcBorders>
            <w:shd w:val="clear" w:color="auto" w:fill="C0C0C0"/>
          </w:tcPr>
          <w:p>
            <w:pPr>
              <w:spacing w:after="0"/>
              <w:rPr>
                <w:sz w:val="6"/>
                <w:szCs w:val="6"/>
                <w:color w:val="auto"/>
              </w:rPr>
            </w:pPr>
          </w:p>
        </w:tc>
        <w:tc>
          <w:tcPr>
            <w:tcW w:w="28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auto"/>
            </w:tcBorders>
            <w:shd w:val="clear" w:color="auto" w:fill="C0C0C0"/>
          </w:tcPr>
          <w:p>
            <w:pPr>
              <w:spacing w:after="0"/>
              <w:rPr>
                <w:sz w:val="6"/>
                <w:szCs w:val="6"/>
                <w:color w:val="auto"/>
              </w:rPr>
            </w:pPr>
          </w:p>
        </w:tc>
        <w:tc>
          <w:tcPr>
            <w:tcW w:w="320" w:type="dxa"/>
            <w:vAlign w:val="bottom"/>
            <w:tcBorders>
              <w:top w:val="single" w:sz="8" w:color="C0C0C0"/>
            </w:tcBorders>
            <w:shd w:val="clear" w:color="auto" w:fill="C0C0C0"/>
          </w:tcPr>
          <w:p>
            <w:pPr>
              <w:spacing w:after="0"/>
              <w:rPr>
                <w:sz w:val="6"/>
                <w:szCs w:val="6"/>
                <w:color w:val="auto"/>
              </w:rPr>
            </w:pPr>
          </w:p>
        </w:tc>
        <w:tc>
          <w:tcPr>
            <w:tcW w:w="42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30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auto"/>
            </w:tcBorders>
            <w:shd w:val="clear" w:color="auto" w:fill="C0C0C0"/>
          </w:tcPr>
          <w:p>
            <w:pPr>
              <w:spacing w:after="0"/>
              <w:rPr>
                <w:sz w:val="6"/>
                <w:szCs w:val="6"/>
                <w:color w:val="auto"/>
              </w:rPr>
            </w:pPr>
          </w:p>
        </w:tc>
        <w:tc>
          <w:tcPr>
            <w:tcW w:w="420" w:type="dxa"/>
            <w:vAlign w:val="bottom"/>
            <w:tcBorders>
              <w:top w:val="single" w:sz="8" w:color="C0C0C0"/>
            </w:tcBorders>
            <w:shd w:val="clear" w:color="auto" w:fill="C0C0C0"/>
          </w:tcPr>
          <w:p>
            <w:pPr>
              <w:spacing w:after="0"/>
              <w:rPr>
                <w:sz w:val="6"/>
                <w:szCs w:val="6"/>
                <w:color w:val="auto"/>
              </w:rPr>
            </w:pPr>
          </w:p>
        </w:tc>
        <w:tc>
          <w:tcPr>
            <w:tcW w:w="100" w:type="dxa"/>
            <w:vAlign w:val="bottom"/>
            <w:tcBorders>
              <w:top w:val="single" w:sz="8" w:color="C0C0C0"/>
            </w:tcBorders>
            <w:shd w:val="clear" w:color="auto" w:fill="C0C0C0"/>
          </w:tcPr>
          <w:p>
            <w:pPr>
              <w:spacing w:after="0"/>
              <w:rPr>
                <w:sz w:val="6"/>
                <w:szCs w:val="6"/>
                <w:color w:val="auto"/>
              </w:rPr>
            </w:pPr>
          </w:p>
        </w:tc>
        <w:tc>
          <w:tcPr>
            <w:tcW w:w="220" w:type="dxa"/>
            <w:vAlign w:val="bottom"/>
            <w:tcBorders>
              <w:top w:val="single" w:sz="8" w:color="C0C0C0"/>
              <w:right w:val="single" w:sz="8" w:color="C0C0C0"/>
            </w:tcBorders>
            <w:shd w:val="clear" w:color="auto" w:fill="C0C0C0"/>
          </w:tcPr>
          <w:p>
            <w:pPr>
              <w:spacing w:after="0"/>
              <w:rPr>
                <w:sz w:val="6"/>
                <w:szCs w:val="6"/>
                <w:color w:val="auto"/>
              </w:rPr>
            </w:pPr>
          </w:p>
        </w:tc>
        <w:tc>
          <w:tcPr>
            <w:tcW w:w="340" w:type="dxa"/>
            <w:vAlign w:val="bottom"/>
            <w:tcBorders>
              <w:top w:val="single" w:sz="8" w:color="auto"/>
            </w:tcBorders>
            <w:shd w:val="clear" w:color="auto" w:fill="C0C0C0"/>
          </w:tcPr>
          <w:p>
            <w:pPr>
              <w:spacing w:after="0"/>
              <w:rPr>
                <w:sz w:val="6"/>
                <w:szCs w:val="6"/>
                <w:color w:val="auto"/>
              </w:rPr>
            </w:pPr>
          </w:p>
        </w:tc>
        <w:tc>
          <w:tcPr>
            <w:tcW w:w="320" w:type="dxa"/>
            <w:vAlign w:val="bottom"/>
            <w:tcBorders>
              <w:top w:val="single" w:sz="8" w:color="C0C0C0"/>
            </w:tcBorders>
            <w:shd w:val="clear" w:color="auto" w:fill="C0C0C0"/>
          </w:tcPr>
          <w:p>
            <w:pPr>
              <w:spacing w:after="0"/>
              <w:rPr>
                <w:sz w:val="6"/>
                <w:szCs w:val="6"/>
                <w:color w:val="auto"/>
              </w:rPr>
            </w:pPr>
          </w:p>
        </w:tc>
        <w:tc>
          <w:tcPr>
            <w:tcW w:w="420" w:type="dxa"/>
            <w:vAlign w:val="bottom"/>
            <w:tcBorders>
              <w:top w:val="single" w:sz="8" w:color="C0C0C0"/>
              <w:right w:val="single" w:sz="8" w:color="C0C0C0"/>
            </w:tcBorders>
            <w:shd w:val="clear" w:color="auto" w:fill="C0C0C0"/>
          </w:tcPr>
          <w:p>
            <w:pPr>
              <w:spacing w:after="0"/>
              <w:rPr>
                <w:sz w:val="6"/>
                <w:szCs w:val="6"/>
                <w:color w:val="auto"/>
              </w:rPr>
            </w:pPr>
          </w:p>
        </w:tc>
        <w:tc>
          <w:tcPr>
            <w:tcW w:w="30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auto"/>
            </w:tcBorders>
            <w:shd w:val="clear" w:color="auto" w:fill="C0C0C0"/>
          </w:tcPr>
          <w:p>
            <w:pPr>
              <w:spacing w:after="0"/>
              <w:rPr>
                <w:sz w:val="6"/>
                <w:szCs w:val="6"/>
                <w:color w:val="auto"/>
              </w:rPr>
            </w:pPr>
          </w:p>
        </w:tc>
        <w:tc>
          <w:tcPr>
            <w:tcW w:w="380" w:type="dxa"/>
            <w:vAlign w:val="bottom"/>
            <w:tcBorders>
              <w:top w:val="single" w:sz="8" w:color="C0C0C0"/>
            </w:tcBorders>
            <w:shd w:val="clear" w:color="auto" w:fill="C0C0C0"/>
          </w:tcPr>
          <w:p>
            <w:pPr>
              <w:spacing w:after="0"/>
              <w:rPr>
                <w:sz w:val="6"/>
                <w:szCs w:val="6"/>
                <w:color w:val="auto"/>
              </w:rPr>
            </w:pPr>
          </w:p>
        </w:tc>
        <w:tc>
          <w:tcPr>
            <w:tcW w:w="380" w:type="dxa"/>
            <w:vAlign w:val="bottom"/>
            <w:tcBorders>
              <w:top w:val="single" w:sz="8" w:color="C0C0C0"/>
              <w:right w:val="single" w:sz="8" w:color="C0C0C0"/>
            </w:tcBorders>
            <w:shd w:val="clear" w:color="auto" w:fill="C0C0C0"/>
          </w:tcPr>
          <w:p>
            <w:pPr>
              <w:spacing w:after="0"/>
              <w:rPr>
                <w:sz w:val="6"/>
                <w:szCs w:val="6"/>
                <w:color w:val="auto"/>
              </w:rPr>
            </w:pPr>
          </w:p>
        </w:tc>
        <w:tc>
          <w:tcPr>
            <w:tcW w:w="30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auto"/>
            </w:tcBorders>
            <w:shd w:val="clear" w:color="auto" w:fill="C0C0C0"/>
          </w:tcPr>
          <w:p>
            <w:pPr>
              <w:spacing w:after="0"/>
              <w:rPr>
                <w:sz w:val="6"/>
                <w:szCs w:val="6"/>
                <w:color w:val="auto"/>
              </w:rPr>
            </w:pPr>
          </w:p>
        </w:tc>
        <w:tc>
          <w:tcPr>
            <w:tcW w:w="340" w:type="dxa"/>
            <w:vAlign w:val="bottom"/>
            <w:tcBorders>
              <w:top w:val="single" w:sz="8" w:color="C0C0C0"/>
            </w:tcBorders>
            <w:shd w:val="clear" w:color="auto" w:fill="C0C0C0"/>
          </w:tcPr>
          <w:p>
            <w:pPr>
              <w:spacing w:after="0"/>
              <w:rPr>
                <w:sz w:val="6"/>
                <w:szCs w:val="6"/>
                <w:color w:val="auto"/>
              </w:rPr>
            </w:pPr>
          </w:p>
        </w:tc>
        <w:tc>
          <w:tcPr>
            <w:tcW w:w="160" w:type="dxa"/>
            <w:vAlign w:val="bottom"/>
            <w:tcBorders>
              <w:top w:val="single" w:sz="8" w:color="C0C0C0"/>
            </w:tcBorders>
            <w:shd w:val="clear" w:color="auto" w:fill="C0C0C0"/>
          </w:tcPr>
          <w:p>
            <w:pPr>
              <w:spacing w:after="0"/>
              <w:rPr>
                <w:sz w:val="6"/>
                <w:szCs w:val="6"/>
                <w:color w:val="auto"/>
              </w:rPr>
            </w:pPr>
          </w:p>
        </w:tc>
        <w:tc>
          <w:tcPr>
            <w:tcW w:w="24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C0C0C0"/>
            </w:tcBorders>
            <w:shd w:val="clear" w:color="auto" w:fill="C0C0C0"/>
          </w:tcPr>
          <w:p>
            <w:pPr>
              <w:spacing w:after="0"/>
              <w:rPr>
                <w:sz w:val="6"/>
                <w:szCs w:val="6"/>
                <w:color w:val="auto"/>
              </w:rPr>
            </w:pPr>
          </w:p>
        </w:tc>
        <w:tc>
          <w:tcPr>
            <w:tcW w:w="20" w:type="dxa"/>
            <w:vAlign w:val="bottom"/>
            <w:tcBorders>
              <w:top w:val="single" w:sz="8" w:color="auto"/>
            </w:tcBorders>
            <w:shd w:val="clear" w:color="auto" w:fill="C0C0C0"/>
          </w:tcPr>
          <w:p>
            <w:pPr>
              <w:spacing w:after="0"/>
              <w:rPr>
                <w:sz w:val="6"/>
                <w:szCs w:val="6"/>
                <w:color w:val="auto"/>
              </w:rPr>
            </w:pPr>
          </w:p>
        </w:tc>
        <w:tc>
          <w:tcPr>
            <w:tcW w:w="280" w:type="dxa"/>
            <w:vAlign w:val="bottom"/>
            <w:tcBorders>
              <w:top w:val="single" w:sz="8" w:color="auto"/>
            </w:tcBorders>
            <w:shd w:val="clear" w:color="auto" w:fill="C0C0C0"/>
          </w:tcPr>
          <w:p>
            <w:pPr>
              <w:spacing w:after="0"/>
              <w:rPr>
                <w:sz w:val="6"/>
                <w:szCs w:val="6"/>
                <w:color w:val="auto"/>
              </w:rPr>
            </w:pPr>
          </w:p>
        </w:tc>
        <w:tc>
          <w:tcPr>
            <w:tcW w:w="40" w:type="dxa"/>
            <w:vAlign w:val="bottom"/>
            <w:tcBorders>
              <w:top w:val="single" w:sz="8" w:color="auto"/>
            </w:tcBorders>
            <w:shd w:val="clear" w:color="auto" w:fill="C0C0C0"/>
          </w:tcPr>
          <w:p>
            <w:pPr>
              <w:spacing w:after="0"/>
              <w:rPr>
                <w:sz w:val="6"/>
                <w:szCs w:val="6"/>
                <w:color w:val="auto"/>
              </w:rPr>
            </w:pPr>
          </w:p>
        </w:tc>
        <w:tc>
          <w:tcPr>
            <w:tcW w:w="60" w:type="dxa"/>
            <w:vAlign w:val="bottom"/>
            <w:tcBorders>
              <w:top w:val="single" w:sz="8" w:color="C0C0C0"/>
            </w:tcBorders>
            <w:shd w:val="clear" w:color="auto" w:fill="C0C0C0"/>
          </w:tcPr>
          <w:p>
            <w:pPr>
              <w:spacing w:after="0"/>
              <w:rPr>
                <w:sz w:val="6"/>
                <w:szCs w:val="6"/>
                <w:color w:val="auto"/>
              </w:rPr>
            </w:pPr>
          </w:p>
        </w:tc>
      </w:tr>
      <w:tr>
        <w:trPr>
          <w:trHeight w:val="260"/>
        </w:trPr>
        <w:tc>
          <w:tcPr>
            <w:tcW w:w="4280" w:type="dxa"/>
            <w:vAlign w:val="bottom"/>
          </w:tcPr>
          <w:p>
            <w:pPr>
              <w:ind w:left="60"/>
              <w:spacing w:after="0"/>
              <w:rPr>
                <w:sz w:val="20"/>
                <w:szCs w:val="20"/>
                <w:color w:val="auto"/>
              </w:rPr>
            </w:pPr>
            <w:r>
              <w:rPr>
                <w:rFonts w:ascii="Arial" w:cs="Arial" w:eastAsia="Arial" w:hAnsi="Arial"/>
                <w:sz w:val="17"/>
                <w:szCs w:val="17"/>
                <w:color w:val="auto"/>
              </w:rPr>
              <w:t>Service cost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5.1</w:t>
            </w:r>
          </w:p>
        </w:tc>
        <w:tc>
          <w:tcPr>
            <w:tcW w:w="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5.2</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4.8</w:t>
            </w:r>
          </w:p>
        </w:tc>
        <w:tc>
          <w:tcPr>
            <w:tcW w:w="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0.9</w:t>
            </w:r>
          </w:p>
        </w:tc>
        <w:tc>
          <w:tcPr>
            <w:tcW w:w="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0.9</w:t>
            </w:r>
          </w:p>
        </w:tc>
        <w:tc>
          <w:tcPr>
            <w:tcW w:w="60" w:type="dxa"/>
            <w:vAlign w:val="bottom"/>
          </w:tcPr>
          <w:p>
            <w:pPr>
              <w:spacing w:after="0"/>
              <w:rPr>
                <w:sz w:val="22"/>
                <w:szCs w:val="22"/>
                <w:color w:val="auto"/>
              </w:rPr>
            </w:pPr>
          </w:p>
        </w:tc>
      </w:tr>
      <w:tr>
        <w:trPr>
          <w:trHeight w:val="314"/>
        </w:trPr>
        <w:tc>
          <w:tcPr>
            <w:tcW w:w="4280" w:type="dxa"/>
            <w:vAlign w:val="bottom"/>
          </w:tcPr>
          <w:p>
            <w:pPr>
              <w:ind w:left="60"/>
              <w:spacing w:after="0"/>
              <w:rPr>
                <w:sz w:val="20"/>
                <w:szCs w:val="20"/>
                <w:color w:val="auto"/>
              </w:rPr>
            </w:pPr>
            <w:r>
              <w:rPr>
                <w:rFonts w:ascii="Arial" w:cs="Arial" w:eastAsia="Arial" w:hAnsi="Arial"/>
                <w:sz w:val="17"/>
                <w:szCs w:val="17"/>
                <w:color w:val="auto"/>
              </w:rPr>
              <w:t>Interest cost</w:t>
            </w:r>
          </w:p>
        </w:tc>
        <w:tc>
          <w:tcPr>
            <w:tcW w:w="660" w:type="dxa"/>
            <w:vAlign w:val="bottom"/>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6.9</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6.0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5.7</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24"/>
                <w:szCs w:val="24"/>
                <w:color w:val="auto"/>
              </w:rPr>
            </w:pPr>
          </w:p>
        </w:tc>
      </w:tr>
      <w:tr>
        <w:trPr>
          <w:trHeight w:val="314"/>
        </w:trPr>
        <w:tc>
          <w:tcPr>
            <w:tcW w:w="4280" w:type="dxa"/>
            <w:vAlign w:val="bottom"/>
          </w:tcPr>
          <w:p>
            <w:pPr>
              <w:ind w:left="60"/>
              <w:spacing w:after="0"/>
              <w:rPr>
                <w:sz w:val="20"/>
                <w:szCs w:val="20"/>
                <w:color w:val="auto"/>
              </w:rPr>
            </w:pPr>
            <w:r>
              <w:rPr>
                <w:rFonts w:ascii="Arial" w:cs="Arial" w:eastAsia="Arial" w:hAnsi="Arial"/>
                <w:sz w:val="17"/>
                <w:szCs w:val="17"/>
                <w:color w:val="auto"/>
              </w:rPr>
              <w:t>Expected return on plan assets</w:t>
            </w:r>
          </w:p>
        </w:tc>
        <w:tc>
          <w:tcPr>
            <w:tcW w:w="66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7"/>
                <w:szCs w:val="17"/>
                <w:color w:val="auto"/>
                <w:w w:val="97"/>
              </w:rPr>
              <w:t>(9.3)</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gridSpan w:val="4"/>
          </w:tcPr>
          <w:p>
            <w:pPr>
              <w:jc w:val="right"/>
              <w:ind w:right="420"/>
              <w:spacing w:after="0"/>
              <w:rPr>
                <w:sz w:val="20"/>
                <w:szCs w:val="20"/>
                <w:color w:val="auto"/>
              </w:rPr>
            </w:pPr>
            <w:r>
              <w:rPr>
                <w:rFonts w:ascii="Arial" w:cs="Arial" w:eastAsia="Arial" w:hAnsi="Arial"/>
                <w:sz w:val="17"/>
                <w:szCs w:val="17"/>
                <w:color w:val="auto"/>
                <w:w w:val="97"/>
              </w:rPr>
              <w:t>(7.9)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(7.3)</w:t>
            </w:r>
          </w:p>
        </w:tc>
        <w:tc>
          <w:tcPr>
            <w:tcW w:w="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314"/>
        </w:trPr>
        <w:tc>
          <w:tcPr>
            <w:tcW w:w="4280" w:type="dxa"/>
            <w:vAlign w:val="bottom"/>
          </w:tcPr>
          <w:p>
            <w:pPr>
              <w:ind w:left="60"/>
              <w:spacing w:after="0"/>
              <w:rPr>
                <w:sz w:val="20"/>
                <w:szCs w:val="20"/>
                <w:color w:val="auto"/>
              </w:rPr>
            </w:pPr>
            <w:r>
              <w:rPr>
                <w:rFonts w:ascii="Arial" w:cs="Arial" w:eastAsia="Arial" w:hAnsi="Arial"/>
                <w:sz w:val="17"/>
                <w:szCs w:val="17"/>
                <w:color w:val="auto"/>
              </w:rPr>
              <w:t>Amortization of transition amount</w:t>
            </w:r>
          </w:p>
        </w:tc>
        <w:tc>
          <w:tcPr>
            <w:tcW w:w="660" w:type="dxa"/>
            <w:vAlign w:val="bottom"/>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0.7</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0.7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0.7</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314"/>
        </w:trPr>
        <w:tc>
          <w:tcPr>
            <w:tcW w:w="4280" w:type="dxa"/>
            <w:vAlign w:val="bottom"/>
          </w:tcPr>
          <w:p>
            <w:pPr>
              <w:ind w:left="60"/>
              <w:spacing w:after="0"/>
              <w:rPr>
                <w:sz w:val="20"/>
                <w:szCs w:val="20"/>
                <w:color w:val="auto"/>
              </w:rPr>
            </w:pPr>
            <w:r>
              <w:rPr>
                <w:rFonts w:ascii="Arial" w:cs="Arial" w:eastAsia="Arial" w:hAnsi="Arial"/>
                <w:sz w:val="17"/>
                <w:szCs w:val="17"/>
                <w:color w:val="auto"/>
              </w:rPr>
              <w:t>Amortization of prior service cost</w:t>
            </w:r>
          </w:p>
        </w:tc>
        <w:tc>
          <w:tcPr>
            <w:tcW w:w="660" w:type="dxa"/>
            <w:vAlign w:val="bottom"/>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0.4</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0.4</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w w:val="91"/>
              </w:rPr>
              <w:t>(1.7)</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7"/>
                <w:szCs w:val="17"/>
                <w:color w:val="auto"/>
                <w:w w:val="91"/>
              </w:rPr>
              <w:t>(1.7)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5"/>
          </w:tcPr>
          <w:p>
            <w:pPr>
              <w:jc w:val="right"/>
              <w:ind w:right="60"/>
              <w:spacing w:after="0"/>
              <w:rPr>
                <w:sz w:val="20"/>
                <w:szCs w:val="20"/>
                <w:color w:val="auto"/>
              </w:rPr>
            </w:pPr>
            <w:r>
              <w:rPr>
                <w:rFonts w:ascii="Arial" w:cs="Arial" w:eastAsia="Arial" w:hAnsi="Arial"/>
                <w:sz w:val="17"/>
                <w:szCs w:val="17"/>
                <w:color w:val="auto"/>
                <w:w w:val="97"/>
              </w:rPr>
              <w:t>(1.7)</w:t>
            </w:r>
          </w:p>
        </w:tc>
      </w:tr>
      <w:tr>
        <w:trPr>
          <w:trHeight w:val="277"/>
        </w:trPr>
        <w:tc>
          <w:tcPr>
            <w:tcW w:w="4280" w:type="dxa"/>
            <w:vAlign w:val="bottom"/>
          </w:tcPr>
          <w:p>
            <w:pPr>
              <w:ind w:left="60"/>
              <w:spacing w:after="0"/>
              <w:rPr>
                <w:sz w:val="20"/>
                <w:szCs w:val="20"/>
                <w:color w:val="auto"/>
              </w:rPr>
            </w:pPr>
            <w:r>
              <w:rPr>
                <w:rFonts w:ascii="Arial" w:cs="Arial" w:eastAsia="Arial" w:hAnsi="Arial"/>
                <w:sz w:val="17"/>
                <w:szCs w:val="17"/>
                <w:color w:val="auto"/>
              </w:rPr>
              <w:t>Recognized net actuarial gain</w:t>
            </w:r>
          </w:p>
        </w:tc>
        <w:tc>
          <w:tcPr>
            <w:tcW w:w="66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w w:val="85"/>
              </w:rPr>
              <w:t>(0.5)</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(0.6)</w:t>
            </w:r>
          </w:p>
        </w:tc>
        <w:tc>
          <w:tcPr>
            <w:tcW w:w="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20"/>
        </w:trPr>
        <w:tc>
          <w:tcPr>
            <w:tcW w:w="4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5"/>
        </w:trPr>
        <w:tc>
          <w:tcPr>
            <w:tcW w:w="4280" w:type="dxa"/>
            <w:vAlign w:val="bottom"/>
          </w:tcPr>
          <w:p>
            <w:pPr>
              <w:ind w:left="60"/>
              <w:spacing w:after="0"/>
              <w:rPr>
                <w:sz w:val="20"/>
                <w:szCs w:val="20"/>
                <w:color w:val="auto"/>
              </w:rPr>
            </w:pPr>
            <w:r>
              <w:rPr>
                <w:rFonts w:ascii="Arial" w:cs="Arial" w:eastAsia="Arial" w:hAnsi="Arial"/>
                <w:sz w:val="17"/>
                <w:szCs w:val="17"/>
                <w:color w:val="auto"/>
              </w:rPr>
              <w:t>Net periodic benefit cost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gridSpan w:val="2"/>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4.5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3.7</w:t>
            </w: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0.4</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4"/>
          </w:tcPr>
          <w:p>
            <w:pPr>
              <w:jc w:val="right"/>
              <w:ind w:right="40"/>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bl>
    <w:p>
      <w:pPr>
        <w:spacing w:after="0" w:line="21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Benefits under defined benefit plans are generally based on years of service and an employee's career earnings. Employees become fully vested after five years.</w:t>
      </w:r>
    </w:p>
    <w:p>
      <w:pPr>
        <w:spacing w:after="0" w:line="207" w:lineRule="exact"/>
        <w:rPr>
          <w:sz w:val="20"/>
          <w:szCs w:val="20"/>
          <w:color w:val="auto"/>
        </w:rPr>
      </w:pPr>
    </w:p>
    <w:p>
      <w:pPr>
        <w:ind w:right="480" w:firstLine="210"/>
        <w:spacing w:after="0" w:line="269" w:lineRule="auto"/>
        <w:rPr>
          <w:sz w:val="20"/>
          <w:szCs w:val="20"/>
          <w:color w:val="auto"/>
        </w:rPr>
      </w:pPr>
      <w:r>
        <w:rPr>
          <w:rFonts w:ascii="Arial" w:cs="Arial" w:eastAsia="Arial" w:hAnsi="Arial"/>
          <w:sz w:val="17"/>
          <w:szCs w:val="17"/>
          <w:color w:val="auto"/>
        </w:rPr>
        <w:t>The Company's funding policy for U.S. plans generally is to contribute annually into trust funds at a rate that is intended to remain at a level percentage of compensation for covered employees. The funding policy for the international plans conforms to local governmental and tax requirements. The plans' assets are invested primarily in stocks and bonds.</w:t>
      </w:r>
    </w:p>
    <w:p>
      <w:pPr>
        <w:spacing w:after="0" w:line="141" w:lineRule="exact"/>
        <w:rPr>
          <w:sz w:val="20"/>
          <w:szCs w:val="20"/>
          <w:color w:val="auto"/>
        </w:rPr>
      </w:pPr>
    </w:p>
    <w:p>
      <w:pPr>
        <w:ind w:firstLine="210"/>
        <w:spacing w:after="0" w:line="269" w:lineRule="auto"/>
        <w:rPr>
          <w:sz w:val="20"/>
          <w:szCs w:val="20"/>
          <w:color w:val="auto"/>
        </w:rPr>
      </w:pPr>
      <w:r>
        <w:rPr>
          <w:rFonts w:ascii="Arial" w:cs="Arial" w:eastAsia="Arial" w:hAnsi="Arial"/>
          <w:sz w:val="17"/>
          <w:szCs w:val="17"/>
          <w:color w:val="auto"/>
        </w:rPr>
        <w:t>The Company provides postretirement health care and life insurance benefits for substantially all of its U.S. retired employees. Employees are generally eligible for benefits upon retirement and completion of a specified number of years of creditable service. The Company does not pre-fund these benefits and has the right to modify or terminate the plan in the future.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one-percentage-point change in assumed health care cost trend rates would have the following effects: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0" w:type="dxa"/>
            <w:vAlign w:val="bottom"/>
            <w:shd w:val="clear" w:color="auto" w:fill="C0C0C0"/>
          </w:tcPr>
          <w:p>
            <w:pPr>
              <w:spacing w:after="0"/>
              <w:rPr>
                <w:sz w:val="17"/>
                <w:szCs w:val="17"/>
                <w:color w:val="auto"/>
              </w:rPr>
            </w:pPr>
          </w:p>
        </w:tc>
        <w:tc>
          <w:tcPr>
            <w:tcW w:w="3500" w:type="dxa"/>
            <w:vAlign w:val="bottom"/>
            <w:gridSpan w:val="4"/>
            <w:shd w:val="clear" w:color="auto" w:fill="C0C0C0"/>
          </w:tcPr>
          <w:p>
            <w:pPr>
              <w:ind w:left="1500"/>
              <w:spacing w:after="0"/>
              <w:rPr>
                <w:sz w:val="20"/>
                <w:szCs w:val="20"/>
                <w:color w:val="auto"/>
              </w:rPr>
            </w:pPr>
            <w:r>
              <w:rPr>
                <w:rFonts w:ascii="Arial" w:cs="Arial" w:eastAsia="Arial" w:hAnsi="Arial"/>
                <w:sz w:val="17"/>
                <w:szCs w:val="17"/>
                <w:color w:val="auto"/>
              </w:rPr>
              <w:t>1-Percentage-Point</w:t>
            </w:r>
          </w:p>
        </w:tc>
        <w:tc>
          <w:tcPr>
            <w:tcW w:w="2660" w:type="dxa"/>
            <w:vAlign w:val="bottom"/>
            <w:gridSpan w:val="4"/>
            <w:shd w:val="clear" w:color="auto" w:fill="C0C0C0"/>
          </w:tcPr>
          <w:p>
            <w:pPr>
              <w:ind w:left="680"/>
              <w:spacing w:after="0"/>
              <w:rPr>
                <w:sz w:val="20"/>
                <w:szCs w:val="20"/>
                <w:color w:val="auto"/>
              </w:rPr>
            </w:pPr>
            <w:r>
              <w:rPr>
                <w:rFonts w:ascii="Arial" w:cs="Arial" w:eastAsia="Arial" w:hAnsi="Arial"/>
                <w:sz w:val="17"/>
                <w:szCs w:val="17"/>
                <w:color w:val="auto"/>
              </w:rPr>
              <w:t>1-Percentage-Point</w:t>
            </w:r>
          </w:p>
        </w:tc>
      </w:tr>
      <w:tr>
        <w:trPr>
          <w:trHeight w:val="198"/>
        </w:trPr>
        <w:tc>
          <w:tcPr>
            <w:tcW w:w="5000" w:type="dxa"/>
            <w:vAlign w:val="bottom"/>
            <w:tcBorders>
              <w:bottom w:val="single" w:sz="8" w:color="C0C0C0"/>
            </w:tcBorders>
            <w:shd w:val="clear" w:color="auto" w:fill="C0C0C0"/>
          </w:tcPr>
          <w:p>
            <w:pPr>
              <w:spacing w:after="0"/>
              <w:rPr>
                <w:sz w:val="17"/>
                <w:szCs w:val="17"/>
                <w:color w:val="auto"/>
              </w:rPr>
            </w:pPr>
          </w:p>
        </w:tc>
        <w:tc>
          <w:tcPr>
            <w:tcW w:w="158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auto"/>
            </w:tcBorders>
            <w:shd w:val="clear" w:color="auto" w:fill="C0C0C0"/>
          </w:tcPr>
          <w:p>
            <w:pPr>
              <w:spacing w:after="0"/>
              <w:rPr>
                <w:sz w:val="17"/>
                <w:szCs w:val="17"/>
                <w:color w:val="auto"/>
              </w:rPr>
            </w:pPr>
          </w:p>
        </w:tc>
        <w:tc>
          <w:tcPr>
            <w:tcW w:w="920" w:type="dxa"/>
            <w:vAlign w:val="bottom"/>
            <w:tcBorders>
              <w:bottom w:val="single" w:sz="8" w:color="auto"/>
            </w:tcBorders>
            <w:shd w:val="clear" w:color="auto" w:fill="C0C0C0"/>
          </w:tcPr>
          <w:p>
            <w:pPr>
              <w:jc w:val="right"/>
              <w:ind w:right="215"/>
              <w:spacing w:after="0" w:line="179" w:lineRule="exact"/>
              <w:rPr>
                <w:sz w:val="20"/>
                <w:szCs w:val="20"/>
                <w:color w:val="auto"/>
              </w:rPr>
            </w:pPr>
            <w:r>
              <w:rPr>
                <w:rFonts w:ascii="Arial" w:cs="Arial" w:eastAsia="Arial" w:hAnsi="Arial"/>
                <w:sz w:val="17"/>
                <w:szCs w:val="17"/>
                <w:color w:val="auto"/>
                <w:w w:val="91"/>
              </w:rPr>
              <w:t>Increase</w:t>
            </w:r>
          </w:p>
        </w:tc>
        <w:tc>
          <w:tcPr>
            <w:tcW w:w="760" w:type="dxa"/>
            <w:vAlign w:val="bottom"/>
            <w:tcBorders>
              <w:bottom w:val="single" w:sz="8" w:color="C0C0C0"/>
            </w:tcBorders>
            <w:shd w:val="clear" w:color="auto" w:fill="C0C0C0"/>
          </w:tcPr>
          <w:p>
            <w:pPr>
              <w:spacing w:after="0"/>
              <w:rPr>
                <w:sz w:val="17"/>
                <w:szCs w:val="17"/>
                <w:color w:val="auto"/>
              </w:rPr>
            </w:pPr>
          </w:p>
        </w:tc>
        <w:tc>
          <w:tcPr>
            <w:tcW w:w="80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940" w:type="dxa"/>
            <w:vAlign w:val="bottom"/>
            <w:tcBorders>
              <w:bottom w:val="single" w:sz="8" w:color="auto"/>
            </w:tcBorders>
            <w:shd w:val="clear" w:color="auto" w:fill="C0C0C0"/>
          </w:tcPr>
          <w:p>
            <w:pPr>
              <w:jc w:val="right"/>
              <w:ind w:right="95"/>
              <w:spacing w:after="0" w:line="179" w:lineRule="exact"/>
              <w:rPr>
                <w:sz w:val="20"/>
                <w:szCs w:val="20"/>
                <w:color w:val="auto"/>
              </w:rPr>
            </w:pPr>
            <w:r>
              <w:rPr>
                <w:rFonts w:ascii="Arial" w:cs="Arial" w:eastAsia="Arial" w:hAnsi="Arial"/>
                <w:sz w:val="17"/>
                <w:szCs w:val="17"/>
                <w:color w:val="auto"/>
              </w:rPr>
              <w:t>Decrease</w:t>
            </w:r>
          </w:p>
        </w:tc>
        <w:tc>
          <w:tcPr>
            <w:tcW w:w="800" w:type="dxa"/>
            <w:vAlign w:val="bottom"/>
            <w:tcBorders>
              <w:bottom w:val="single" w:sz="8" w:color="C0C0C0"/>
            </w:tcBorders>
            <w:shd w:val="clear" w:color="auto" w:fill="C0C0C0"/>
          </w:tcPr>
          <w:p>
            <w:pPr>
              <w:spacing w:after="0"/>
              <w:rPr>
                <w:sz w:val="17"/>
                <w:szCs w:val="17"/>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Effect on total service and interest cost components</w:t>
            </w: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5"/>
              <w:spacing w:after="0"/>
              <w:rPr>
                <w:sz w:val="20"/>
                <w:szCs w:val="20"/>
                <w:color w:val="auto"/>
              </w:rPr>
            </w:pPr>
            <w:r>
              <w:rPr>
                <w:rFonts w:ascii="Arial" w:cs="Arial" w:eastAsia="Arial" w:hAnsi="Arial"/>
                <w:sz w:val="17"/>
                <w:szCs w:val="17"/>
                <w:color w:val="auto"/>
              </w:rPr>
              <w:t>3,000</w:t>
            </w:r>
          </w:p>
        </w:tc>
        <w:tc>
          <w:tcPr>
            <w:tcW w:w="7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(3,000)</w:t>
            </w:r>
          </w:p>
        </w:tc>
        <w:tc>
          <w:tcPr>
            <w:tcW w:w="800" w:type="dxa"/>
            <w:vAlign w:val="bottom"/>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Effect on postretirement benefit obligation</w:t>
            </w: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5"/>
              <w:spacing w:after="0"/>
              <w:rPr>
                <w:sz w:val="20"/>
                <w:szCs w:val="20"/>
                <w:color w:val="auto"/>
              </w:rPr>
            </w:pPr>
            <w:r>
              <w:rPr>
                <w:rFonts w:ascii="Arial" w:cs="Arial" w:eastAsia="Arial" w:hAnsi="Arial"/>
                <w:sz w:val="17"/>
                <w:szCs w:val="17"/>
                <w:color w:val="auto"/>
                <w:w w:val="88"/>
              </w:rPr>
              <w:t>40,000</w:t>
            </w:r>
          </w:p>
        </w:tc>
        <w:tc>
          <w:tcPr>
            <w:tcW w:w="7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55"/>
              <w:spacing w:after="0"/>
              <w:rPr>
                <w:sz w:val="20"/>
                <w:szCs w:val="20"/>
                <w:color w:val="auto"/>
              </w:rPr>
            </w:pPr>
            <w:r>
              <w:rPr>
                <w:rFonts w:ascii="Arial" w:cs="Arial" w:eastAsia="Arial" w:hAnsi="Arial"/>
                <w:sz w:val="17"/>
                <w:szCs w:val="17"/>
                <w:color w:val="auto"/>
                <w:w w:val="91"/>
              </w:rPr>
              <w:t>(40,000)</w:t>
            </w:r>
          </w:p>
        </w:tc>
        <w:tc>
          <w:tcPr>
            <w:tcW w:w="800" w:type="dxa"/>
            <w:vAlign w:val="bottom"/>
          </w:tcPr>
          <w:p>
            <w:pPr>
              <w:spacing w:after="0"/>
              <w:rPr>
                <w:sz w:val="18"/>
                <w:szCs w:val="18"/>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Savings and Investment Plans</w:t>
      </w:r>
    </w:p>
    <w:p>
      <w:pPr>
        <w:spacing w:after="0" w:line="188" w:lineRule="exact"/>
        <w:rPr>
          <w:sz w:val="20"/>
          <w:szCs w:val="20"/>
          <w:color w:val="auto"/>
        </w:rPr>
      </w:pPr>
    </w:p>
    <w:p>
      <w:pPr>
        <w:ind w:right="440" w:firstLine="210"/>
        <w:spacing w:after="0" w:line="269" w:lineRule="auto"/>
        <w:rPr>
          <w:sz w:val="20"/>
          <w:szCs w:val="20"/>
          <w:color w:val="auto"/>
        </w:rPr>
      </w:pPr>
      <w:r>
        <w:rPr>
          <w:rFonts w:ascii="Arial" w:cs="Arial" w:eastAsia="Arial" w:hAnsi="Arial"/>
          <w:sz w:val="17"/>
          <w:szCs w:val="17"/>
          <w:color w:val="auto"/>
        </w:rPr>
        <w:t>The Company maintains a voluntary Savings and Investment Plan for most non-union employees in the U.S. Within prescribed limits, the Company bases its contribution to the Plan on employee contributions. The Company's contributions amounted to $3.0 million, $3.0 million and $3.1 million for the years ended December 31, 2000, 1999 and 1998, respectively.</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60"/>
          </w:cols>
          <w:pgMar w:left="240" w:top="157" w:right="299" w:bottom="142" w:gutter="0" w:footer="0" w:header="0"/>
        </w:sectPr>
      </w:pPr>
    </w:p>
    <w:bookmarkStart w:id="32" w:name="page33"/>
    <w:bookmarkEnd w:id="32"/>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88" w:lineRule="exact"/>
        <w:rPr>
          <w:sz w:val="20"/>
          <w:szCs w:val="20"/>
          <w:color w:val="auto"/>
        </w:rPr>
      </w:pPr>
    </w:p>
    <w:p>
      <w:pPr>
        <w:ind w:right="120" w:firstLine="213"/>
        <w:spacing w:after="0" w:line="269" w:lineRule="auto"/>
        <w:rPr>
          <w:sz w:val="20"/>
          <w:szCs w:val="20"/>
          <w:color w:val="auto"/>
        </w:rPr>
      </w:pPr>
      <w:r>
        <w:rPr>
          <w:rFonts w:ascii="Arial" w:cs="Arial" w:eastAsia="Arial" w:hAnsi="Arial"/>
          <w:sz w:val="17"/>
          <w:szCs w:val="17"/>
          <w:color w:val="auto"/>
        </w:rPr>
        <w:t>Rent expense amounted to approximately $5.1 million, $4.6 million, and $3.4 million for the years ended December 31, 2000, 1999 and 1998, respectively. Total future minimum rental commitments under all noncancelable leases for the years 2001 through 2005 and thereafter are approximately $2.7 million, $2.5 million, $2.4 million, $2.2 million, $2.2 million and $10.8 million, respectively.</w:t>
      </w:r>
    </w:p>
    <w:p>
      <w:pPr>
        <w:spacing w:after="0" w:line="141" w:lineRule="exact"/>
        <w:rPr>
          <w:sz w:val="20"/>
          <w:szCs w:val="20"/>
          <w:color w:val="auto"/>
        </w:rPr>
      </w:pPr>
    </w:p>
    <w:p>
      <w:pPr>
        <w:ind w:right="260" w:firstLine="210"/>
        <w:spacing w:after="0" w:line="282" w:lineRule="auto"/>
        <w:rPr>
          <w:sz w:val="20"/>
          <w:szCs w:val="20"/>
          <w:color w:val="auto"/>
        </w:rPr>
      </w:pPr>
      <w:r>
        <w:rPr>
          <w:rFonts w:ascii="Arial" w:cs="Arial" w:eastAsia="Arial" w:hAnsi="Arial"/>
          <w:sz w:val="17"/>
          <w:szCs w:val="17"/>
          <w:color w:val="auto"/>
        </w:rPr>
        <w:t>Total future minimum payments to be received under direct financing leases for the years 2001 through 2005 and thereafter are approximately $0.2 million, $0.2 million, $0.2 million, 0.2 million, $0.2 million and $2.7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88" w:lineRule="exact"/>
        <w:rPr>
          <w:sz w:val="20"/>
          <w:szCs w:val="20"/>
          <w:color w:val="auto"/>
        </w:rPr>
      </w:pPr>
    </w:p>
    <w:p>
      <w:pPr>
        <w:ind w:right="200" w:firstLine="213"/>
        <w:spacing w:after="0" w:line="263" w:lineRule="auto"/>
        <w:rPr>
          <w:sz w:val="20"/>
          <w:szCs w:val="20"/>
          <w:color w:val="auto"/>
        </w:rPr>
      </w:pPr>
      <w:r>
        <w:rPr>
          <w:rFonts w:ascii="Arial" w:cs="Arial" w:eastAsia="Arial" w:hAnsi="Arial"/>
          <w:sz w:val="17"/>
          <w:szCs w:val="17"/>
          <w:color w:val="auto"/>
        </w:rPr>
        <w:t>Under the terms of certain agreements entered into in connection with the reorganization prior to the initial public offering of the Company's common stock in October 1992, Pfizer Inc ("Pfizer") and its wholly owned subsidiary, Quigley Company, Inc. ("Quigley") agreed to indemnify the Company against certain liabilities being retained by Pfizer and its subsidiaries including, but not limited to, pending lawsuits and claims and any lawsuits or claims brought at any time in the future alleging damages or injury from the use, handling of or exposure to any product sold by Pfizer's specialty minerals business prior to the closing of the initial public offering.</w:t>
      </w:r>
    </w:p>
    <w:p>
      <w:pPr>
        <w:spacing w:after="0" w:line="147" w:lineRule="exact"/>
        <w:rPr>
          <w:sz w:val="20"/>
          <w:szCs w:val="20"/>
          <w:color w:val="auto"/>
        </w:rPr>
      </w:pPr>
    </w:p>
    <w:p>
      <w:pPr>
        <w:ind w:right="20" w:firstLine="213"/>
        <w:spacing w:after="0" w:line="283" w:lineRule="auto"/>
        <w:rPr>
          <w:sz w:val="20"/>
          <w:szCs w:val="20"/>
          <w:color w:val="auto"/>
        </w:rPr>
      </w:pPr>
      <w:r>
        <w:rPr>
          <w:rFonts w:ascii="Arial" w:cs="Arial" w:eastAsia="Arial" w:hAnsi="Arial"/>
          <w:sz w:val="16"/>
          <w:szCs w:val="16"/>
          <w:color w:val="auto"/>
        </w:rPr>
        <w:t>Pfizer and Quigley also agreed to indemnify the Company against any liability arising from on-site remedial waste site claims and for other claims that may be made in the future with respect to wastes disposed of prior to the closing of the initial public offering. Further, Pfizer and Quigley agreed to indemnify the Company for 50% of the liabilities in excess of $1 million up to $10 million that may arise or accrue within ten years after the closing of the initial public offering with respect to remediation of on-site conditions existing at the time of the closing of the initial public offering. The Company will be responsible for the first $1 million of such liabilities, 50% of such liabilities in excess of $1 million up to $10 million, and all such liabilities in excess of $10 million.</w:t>
      </w:r>
    </w:p>
    <w:p>
      <w:pPr>
        <w:spacing w:after="0" w:line="133" w:lineRule="exact"/>
        <w:rPr>
          <w:sz w:val="20"/>
          <w:szCs w:val="20"/>
          <w:color w:val="auto"/>
        </w:rPr>
      </w:pPr>
    </w:p>
    <w:p>
      <w:pPr>
        <w:ind w:right="60" w:firstLine="210"/>
        <w:spacing w:after="0" w:line="306" w:lineRule="auto"/>
        <w:rPr>
          <w:sz w:val="20"/>
          <w:szCs w:val="20"/>
          <w:color w:val="auto"/>
        </w:rPr>
      </w:pPr>
      <w:r>
        <w:rPr>
          <w:rFonts w:ascii="Arial" w:cs="Arial" w:eastAsia="Arial" w:hAnsi="Arial"/>
          <w:sz w:val="15"/>
          <w:szCs w:val="15"/>
          <w:color w:val="auto"/>
        </w:rPr>
        <w:t>The transfer by Quigley of certain real property in New Jersey to the Company pursuant to the reorganization, including the former Quigley facility in Old Bridge, New Jersey, triggered certain obligations under the New Jersey Environmental Cleanup Responsibility Act ("ECRA"). Quigley retained liability for compliance with ECRA including the assessment and, if necessary, remediation of the Old Bridge property. Quigley's obligations under ECRA are embodied in an Administrative Consent Order with the New Jersey Department of Environmental Protection and Energy ("NJDEPE") that requires Quigley to perform any necessary remediation and to provide financial assurance of its ability to cover the costs of remediation as estimated by NJDEPE with no obligation to the Company.</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and its subsidiaries are not party to any other pending legal proceedings, other than ordinary routine litigation that is incidental to their businesses.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Stock</w:t>
      </w:r>
    </w:p>
    <w:p>
      <w:pPr>
        <w:spacing w:after="0" w:line="188" w:lineRule="exact"/>
        <w:rPr>
          <w:sz w:val="20"/>
          <w:szCs w:val="20"/>
          <w:color w:val="auto"/>
        </w:rPr>
      </w:pPr>
    </w:p>
    <w:p>
      <w:pPr>
        <w:ind w:right="320" w:firstLine="210"/>
        <w:spacing w:after="0" w:line="351" w:lineRule="auto"/>
        <w:rPr>
          <w:sz w:val="20"/>
          <w:szCs w:val="20"/>
          <w:color w:val="auto"/>
        </w:rPr>
      </w:pPr>
      <w:r>
        <w:rPr>
          <w:rFonts w:ascii="Arial" w:cs="Arial" w:eastAsia="Arial" w:hAnsi="Arial"/>
          <w:sz w:val="15"/>
          <w:szCs w:val="15"/>
          <w:color w:val="auto"/>
        </w:rPr>
        <w:t>The Company's authorized capital stock consists of 100 million shares of common stock, par value $0.10 per share, of which 19,966,854 shares and 20,885,718 shares were outstanding at December 31, 2000 and 1999, respectively, and 1,000,000 shares of preferred stock, none of which were issued and outstanding.</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Dividends</w:t>
      </w:r>
    </w:p>
    <w:p>
      <w:pPr>
        <w:spacing w:after="0" w:line="188" w:lineRule="exact"/>
        <w:rPr>
          <w:sz w:val="20"/>
          <w:szCs w:val="20"/>
          <w:color w:val="auto"/>
        </w:rPr>
      </w:pPr>
    </w:p>
    <w:p>
      <w:pPr>
        <w:ind w:right="240" w:firstLine="213"/>
        <w:spacing w:after="0" w:line="282" w:lineRule="auto"/>
        <w:rPr>
          <w:sz w:val="20"/>
          <w:szCs w:val="20"/>
          <w:color w:val="auto"/>
        </w:rPr>
      </w:pPr>
      <w:r>
        <w:rPr>
          <w:rFonts w:ascii="Arial" w:cs="Arial" w:eastAsia="Arial" w:hAnsi="Arial"/>
          <w:sz w:val="17"/>
          <w:szCs w:val="17"/>
          <w:color w:val="auto"/>
        </w:rPr>
        <w:t>Cash dividends of $2.0 million or $0.10 per common share were paid during 2000. In January 2001, a cash dividend of approximately $0.5 million or $0.025 per share, was declared, payable in the first quarter of 2001.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 Purchase Rights</w:t>
      </w:r>
    </w:p>
    <w:p>
      <w:pPr>
        <w:spacing w:after="0" w:line="188" w:lineRule="exact"/>
        <w:rPr>
          <w:sz w:val="20"/>
          <w:szCs w:val="20"/>
          <w:color w:val="auto"/>
        </w:rPr>
      </w:pPr>
    </w:p>
    <w:p>
      <w:pPr>
        <w:ind w:right="200" w:firstLine="213"/>
        <w:spacing w:after="0" w:line="314" w:lineRule="auto"/>
        <w:rPr>
          <w:sz w:val="20"/>
          <w:szCs w:val="20"/>
          <w:color w:val="auto"/>
        </w:rPr>
      </w:pPr>
      <w:r>
        <w:rPr>
          <w:rFonts w:ascii="Arial" w:cs="Arial" w:eastAsia="Arial" w:hAnsi="Arial"/>
          <w:sz w:val="16"/>
          <w:szCs w:val="16"/>
          <w:color w:val="auto"/>
        </w:rPr>
        <w:t>On August 27, 1999, the Company's Board of Directors redeemed the Company's current rights plan effective September 13, 1999 and simultaneously replaced it with a new rights plan. The redemption price for the old rights of $0.01 per right was paid to the stockholders of record as of September 13, 1999.</w:t>
      </w:r>
    </w:p>
    <w:p>
      <w:pPr>
        <w:spacing w:after="0" w:line="108" w:lineRule="exact"/>
        <w:rPr>
          <w:sz w:val="20"/>
          <w:szCs w:val="20"/>
          <w:color w:val="auto"/>
        </w:rPr>
      </w:pPr>
    </w:p>
    <w:p>
      <w:pPr>
        <w:ind w:right="220" w:firstLine="213"/>
        <w:spacing w:after="0" w:line="283" w:lineRule="auto"/>
        <w:rPr>
          <w:sz w:val="20"/>
          <w:szCs w:val="20"/>
          <w:color w:val="auto"/>
        </w:rPr>
      </w:pPr>
      <w:r>
        <w:rPr>
          <w:rFonts w:ascii="Arial" w:cs="Arial" w:eastAsia="Arial" w:hAnsi="Arial"/>
          <w:sz w:val="16"/>
          <w:szCs w:val="16"/>
          <w:color w:val="auto"/>
        </w:rPr>
        <w:t>Under the Company's new Preferred Stock Purchase Rights Plan, each share of the Company's common stock carries with it one preferred stock purchase right. Subject to the terms and conditions set forth in the plan, the rights will become exercisable if a person or group acquires beneficial ownership of 15% or more of the Company's common stock or announces a tender or exchange offer that would result in the acquisition of 30% or more thereof. If the rights become exercisable, separate certificates evidencing the rights will be distributed, and each right will entitle the holder to purchase from the Company a new series of preferred stock, designated as Series A Junior Preferred Stock, at a predefined price. The rights also entitle the holder to purchase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351155</wp:posOffset>
            </wp:positionV>
            <wp:extent cx="72758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shares in a change-of-control situation. The preferred stock, in addition to a preferred dividend and liquidation right, will entitle the holder to vote on a pro rata basis with the Company's common stock.</w:t>
      </w:r>
    </w:p>
    <w:p>
      <w:pPr>
        <w:spacing w:after="0" w:line="130" w:lineRule="exact"/>
        <w:rPr>
          <w:sz w:val="20"/>
          <w:szCs w:val="20"/>
          <w:color w:val="auto"/>
        </w:rPr>
      </w:pPr>
    </w:p>
    <w:p>
      <w:pPr>
        <w:ind w:right="200" w:firstLine="210"/>
        <w:spacing w:after="0" w:line="282" w:lineRule="auto"/>
        <w:rPr>
          <w:sz w:val="20"/>
          <w:szCs w:val="20"/>
          <w:color w:val="auto"/>
        </w:rPr>
      </w:pPr>
      <w:r>
        <w:rPr>
          <w:rFonts w:ascii="Arial" w:cs="Arial" w:eastAsia="Arial" w:hAnsi="Arial"/>
          <w:sz w:val="17"/>
          <w:szCs w:val="17"/>
          <w:color w:val="auto"/>
        </w:rPr>
        <w:t>The rights are redeemable by the Company at a fixed price until 10 days or longer, as determined by the Board, after certain defined events or at any time prior to the expiration of the rights on October 26, 2002 if such events do not occur.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and Incentive Plan</w:t>
      </w:r>
    </w:p>
    <w:p>
      <w:pPr>
        <w:spacing w:after="0" w:line="188" w:lineRule="exact"/>
        <w:rPr>
          <w:sz w:val="20"/>
          <w:szCs w:val="20"/>
          <w:color w:val="auto"/>
        </w:rPr>
      </w:pPr>
    </w:p>
    <w:p>
      <w:pPr>
        <w:jc w:val="both"/>
        <w:ind w:firstLine="210"/>
        <w:spacing w:after="0" w:line="287" w:lineRule="auto"/>
        <w:rPr>
          <w:sz w:val="20"/>
          <w:szCs w:val="20"/>
          <w:color w:val="auto"/>
        </w:rPr>
      </w:pPr>
      <w:r>
        <w:rPr>
          <w:rFonts w:ascii="Arial" w:cs="Arial" w:eastAsia="Arial" w:hAnsi="Arial"/>
          <w:sz w:val="16"/>
          <w:szCs w:val="16"/>
          <w:color w:val="auto"/>
        </w:rPr>
        <w:t>The Company has adopted a Stock and Incentive Plan (the "Plan"), which provides for grants of incentive and non-qualified stock options, stock appreciation rights, stock awards or performance unit awards. The Plan is administered by the Compensation and Nominating Committee of the Board of Directors. Stock options granted under the Plan have a term not in excess of ten years. The exercise price for stock options will not be less than the fair market value of the common stock on the date of the grant, and each award of stock options will vest ratably over a specified period, generally three years.</w:t>
      </w:r>
    </w:p>
    <w:p>
      <w:pPr>
        <w:spacing w:after="0" w:line="128" w:lineRule="exact"/>
        <w:rPr>
          <w:sz w:val="20"/>
          <w:szCs w:val="20"/>
          <w:color w:val="auto"/>
        </w:rPr>
      </w:pPr>
    </w:p>
    <w:p>
      <w:pPr>
        <w:ind w:right="420" w:firstLine="213"/>
        <w:spacing w:after="0" w:line="282" w:lineRule="auto"/>
        <w:rPr>
          <w:sz w:val="20"/>
          <w:szCs w:val="20"/>
          <w:color w:val="auto"/>
        </w:rPr>
      </w:pPr>
      <w:r>
        <w:rPr>
          <w:rFonts w:ascii="Arial" w:cs="Arial" w:eastAsia="Arial" w:hAnsi="Arial"/>
          <w:sz w:val="17"/>
          <w:szCs w:val="17"/>
          <w:color w:val="auto"/>
        </w:rPr>
        <w:t>In 1998, the Shareholders approved an amendment to the Plan to increase the number of shares of common stock available under the Plan by an additional 1.5 million.</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stock option activity for the Plan:</w:t>
      </w:r>
    </w:p>
    <w:p>
      <w:pPr>
        <w:sectPr>
          <w:pgSz w:w="11900" w:h="16882" w:orient="portrait"/>
          <w:cols w:equalWidth="0" w:num="1">
            <w:col w:w="11420"/>
          </w:cols>
          <w:pgMar w:left="240" w:top="507" w:right="2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86"/>
        </w:trPr>
        <w:tc>
          <w:tcPr>
            <w:tcW w:w="3940" w:type="dxa"/>
            <w:vAlign w:val="bottom"/>
            <w:tcBorders>
              <w:bottom w:val="single" w:sz="8" w:color="C0C0C0"/>
            </w:tcBorders>
            <w:shd w:val="clear" w:color="auto" w:fill="C0C0C0"/>
          </w:tcPr>
          <w:p>
            <w:pPr>
              <w:spacing w:after="0"/>
              <w:rPr>
                <w:sz w:val="24"/>
                <w:szCs w:val="24"/>
                <w:color w:val="auto"/>
              </w:rPr>
            </w:pPr>
          </w:p>
        </w:tc>
        <w:tc>
          <w:tcPr>
            <w:tcW w:w="114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6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56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1320" w:type="dxa"/>
            <w:vAlign w:val="bottom"/>
            <w:tcBorders>
              <w:bottom w:val="single" w:sz="8" w:color="C0C0C0"/>
              <w:right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1120" w:type="dxa"/>
            <w:vAlign w:val="bottom"/>
            <w:tcBorders>
              <w:bottom w:val="single" w:sz="8" w:color="C0C0C0"/>
            </w:tcBorders>
            <w:gridSpan w:val="3"/>
            <w:shd w:val="clear" w:color="auto" w:fill="C0C0C0"/>
          </w:tcPr>
          <w:p>
            <w:pPr>
              <w:jc w:val="right"/>
              <w:ind w:right="40"/>
              <w:spacing w:after="0"/>
              <w:rPr>
                <w:sz w:val="20"/>
                <w:szCs w:val="20"/>
                <w:color w:val="auto"/>
              </w:rPr>
            </w:pPr>
            <w:r>
              <w:rPr>
                <w:rFonts w:ascii="Arial" w:cs="Arial" w:eastAsia="Arial" w:hAnsi="Arial"/>
                <w:sz w:val="17"/>
                <w:szCs w:val="17"/>
                <w:b w:val="1"/>
                <w:bCs w:val="1"/>
                <w:color w:val="auto"/>
                <w:w w:val="97"/>
              </w:rPr>
              <w:t>Under Option</w:t>
            </w:r>
          </w:p>
        </w:tc>
        <w:tc>
          <w:tcPr>
            <w:tcW w:w="42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spacing w:after="0"/>
              <w:rPr>
                <w:sz w:val="24"/>
                <w:szCs w:val="24"/>
                <w:color w:val="auto"/>
              </w:rPr>
            </w:pPr>
          </w:p>
        </w:tc>
        <w:tc>
          <w:tcPr>
            <w:tcW w:w="380" w:type="dxa"/>
            <w:vAlign w:val="bottom"/>
            <w:tcBorders>
              <w:bottom w:val="single" w:sz="8" w:color="C0C0C0"/>
            </w:tcBorders>
            <w:shd w:val="clear" w:color="auto" w:fill="C0C0C0"/>
          </w:tcPr>
          <w:p>
            <w:pPr>
              <w:spacing w:after="0"/>
              <w:rPr>
                <w:sz w:val="24"/>
                <w:szCs w:val="24"/>
                <w:color w:val="auto"/>
              </w:rPr>
            </w:pPr>
          </w:p>
        </w:tc>
        <w:tc>
          <w:tcPr>
            <w:tcW w:w="20" w:type="dxa"/>
            <w:vAlign w:val="bottom"/>
            <w:tcBorders>
              <w:bottom w:val="single" w:sz="8" w:color="C0C0C0"/>
            </w:tcBorders>
            <w:shd w:val="clear" w:color="auto" w:fill="C0C0C0"/>
          </w:tcPr>
          <w:p>
            <w:pPr>
              <w:spacing w:after="0"/>
              <w:rPr>
                <w:sz w:val="24"/>
                <w:szCs w:val="24"/>
                <w:color w:val="auto"/>
              </w:rPr>
            </w:pPr>
          </w:p>
        </w:tc>
      </w:tr>
      <w:tr>
        <w:trPr>
          <w:trHeight w:val="260"/>
        </w:trPr>
        <w:tc>
          <w:tcPr>
            <w:tcW w:w="3940" w:type="dxa"/>
            <w:vAlign w:val="bottom"/>
            <w:tcBorders>
              <w:top w:val="single" w:sz="8" w:color="C0C0C0"/>
            </w:tcBorders>
            <w:shd w:val="clear" w:color="auto" w:fill="C0C0C0"/>
          </w:tcPr>
          <w:p>
            <w:pPr>
              <w:spacing w:after="0"/>
              <w:rPr>
                <w:sz w:val="22"/>
                <w:szCs w:val="22"/>
                <w:color w:val="auto"/>
              </w:rPr>
            </w:pPr>
          </w:p>
        </w:tc>
        <w:tc>
          <w:tcPr>
            <w:tcW w:w="1140" w:type="dxa"/>
            <w:vAlign w:val="bottom"/>
            <w:tcBorders>
              <w:top w:val="single" w:sz="8" w:color="C0C0C0"/>
            </w:tcBorders>
            <w:shd w:val="clear" w:color="auto" w:fill="C0C0C0"/>
          </w:tcPr>
          <w:p>
            <w:pPr>
              <w:spacing w:after="0"/>
              <w:rPr>
                <w:sz w:val="22"/>
                <w:szCs w:val="22"/>
                <w:color w:val="auto"/>
              </w:rPr>
            </w:pPr>
          </w:p>
        </w:tc>
        <w:tc>
          <w:tcPr>
            <w:tcW w:w="100" w:type="dxa"/>
            <w:vAlign w:val="bottom"/>
            <w:tcBorders>
              <w:top w:val="single" w:sz="8" w:color="C0C0C0"/>
            </w:tcBorders>
            <w:shd w:val="clear" w:color="auto" w:fill="C0C0C0"/>
          </w:tcPr>
          <w:p>
            <w:pPr>
              <w:spacing w:after="0"/>
              <w:rPr>
                <w:sz w:val="22"/>
                <w:szCs w:val="22"/>
                <w:color w:val="auto"/>
              </w:rPr>
            </w:pPr>
          </w:p>
        </w:tc>
        <w:tc>
          <w:tcPr>
            <w:tcW w:w="60" w:type="dxa"/>
            <w:vAlign w:val="bottom"/>
            <w:tcBorders>
              <w:top w:val="single" w:sz="8" w:color="C0C0C0"/>
            </w:tcBorders>
            <w:shd w:val="clear" w:color="auto" w:fill="C0C0C0"/>
          </w:tcPr>
          <w:p>
            <w:pPr>
              <w:spacing w:after="0"/>
              <w:rPr>
                <w:sz w:val="22"/>
                <w:szCs w:val="22"/>
                <w:color w:val="auto"/>
              </w:rPr>
            </w:pPr>
          </w:p>
        </w:tc>
        <w:tc>
          <w:tcPr>
            <w:tcW w:w="80" w:type="dxa"/>
            <w:vAlign w:val="bottom"/>
            <w:tcBorders>
              <w:top w:val="single" w:sz="8" w:color="C0C0C0"/>
            </w:tcBorders>
            <w:shd w:val="clear" w:color="auto" w:fill="C0C0C0"/>
          </w:tcPr>
          <w:p>
            <w:pPr>
              <w:spacing w:after="0"/>
              <w:rPr>
                <w:sz w:val="22"/>
                <w:szCs w:val="22"/>
                <w:color w:val="auto"/>
              </w:rPr>
            </w:pPr>
          </w:p>
        </w:tc>
        <w:tc>
          <w:tcPr>
            <w:tcW w:w="560" w:type="dxa"/>
            <w:vAlign w:val="bottom"/>
            <w:tcBorders>
              <w:top w:val="single" w:sz="8" w:color="C0C0C0"/>
            </w:tcBorders>
            <w:shd w:val="clear" w:color="auto" w:fill="C0C0C0"/>
          </w:tcPr>
          <w:p>
            <w:pPr>
              <w:spacing w:after="0"/>
              <w:rPr>
                <w:sz w:val="22"/>
                <w:szCs w:val="22"/>
                <w:color w:val="auto"/>
              </w:rPr>
            </w:pPr>
          </w:p>
        </w:tc>
        <w:tc>
          <w:tcPr>
            <w:tcW w:w="40" w:type="dxa"/>
            <w:vAlign w:val="bottom"/>
            <w:tcBorders>
              <w:top w:val="single" w:sz="8" w:color="C0C0C0"/>
            </w:tcBorders>
            <w:shd w:val="clear" w:color="auto" w:fill="C0C0C0"/>
          </w:tcPr>
          <w:p>
            <w:pPr>
              <w:spacing w:after="0"/>
              <w:rPr>
                <w:sz w:val="22"/>
                <w:szCs w:val="22"/>
                <w:color w:val="auto"/>
              </w:rPr>
            </w:pPr>
          </w:p>
        </w:tc>
        <w:tc>
          <w:tcPr>
            <w:tcW w:w="220" w:type="dxa"/>
            <w:vAlign w:val="bottom"/>
            <w:tcBorders>
              <w:top w:val="single" w:sz="8" w:color="C0C0C0"/>
            </w:tcBorders>
            <w:shd w:val="clear" w:color="auto" w:fill="C0C0C0"/>
          </w:tcPr>
          <w:p>
            <w:pPr>
              <w:spacing w:after="0"/>
              <w:rPr>
                <w:sz w:val="22"/>
                <w:szCs w:val="22"/>
                <w:color w:val="auto"/>
              </w:rPr>
            </w:pPr>
          </w:p>
        </w:tc>
        <w:tc>
          <w:tcPr>
            <w:tcW w:w="1320" w:type="dxa"/>
            <w:vAlign w:val="bottom"/>
            <w:tcBorders>
              <w:top w:val="single" w:sz="8" w:color="auto"/>
              <w:right w:val="single" w:sz="8" w:color="C0C0C0"/>
            </w:tcBorders>
            <w:shd w:val="clear" w:color="auto" w:fill="C0C0C0"/>
          </w:tcPr>
          <w:p>
            <w:pPr>
              <w:spacing w:after="0"/>
              <w:rPr>
                <w:sz w:val="22"/>
                <w:szCs w:val="22"/>
                <w:color w:val="auto"/>
              </w:rPr>
            </w:pPr>
          </w:p>
        </w:tc>
        <w:tc>
          <w:tcPr>
            <w:tcW w:w="80" w:type="dxa"/>
            <w:vAlign w:val="bottom"/>
            <w:tcBorders>
              <w:top w:val="single" w:sz="8" w:color="auto"/>
            </w:tcBorders>
            <w:shd w:val="clear" w:color="auto" w:fill="C0C0C0"/>
          </w:tcPr>
          <w:p>
            <w:pPr>
              <w:spacing w:after="0"/>
              <w:rPr>
                <w:sz w:val="22"/>
                <w:szCs w:val="22"/>
                <w:color w:val="auto"/>
              </w:rPr>
            </w:pPr>
          </w:p>
        </w:tc>
        <w:tc>
          <w:tcPr>
            <w:tcW w:w="500" w:type="dxa"/>
            <w:vAlign w:val="bottom"/>
            <w:tcBorders>
              <w:top w:val="single" w:sz="8" w:color="auto"/>
            </w:tcBorders>
            <w:shd w:val="clear" w:color="auto" w:fill="C0C0C0"/>
          </w:tcPr>
          <w:p>
            <w:pPr>
              <w:spacing w:after="0"/>
              <w:rPr>
                <w:sz w:val="22"/>
                <w:szCs w:val="22"/>
                <w:color w:val="auto"/>
              </w:rPr>
            </w:pPr>
          </w:p>
        </w:tc>
        <w:tc>
          <w:tcPr>
            <w:tcW w:w="20" w:type="dxa"/>
            <w:vAlign w:val="bottom"/>
            <w:tcBorders>
              <w:top w:val="single" w:sz="8" w:color="auto"/>
            </w:tcBorders>
            <w:shd w:val="clear" w:color="auto" w:fill="C0C0C0"/>
          </w:tcPr>
          <w:p>
            <w:pPr>
              <w:spacing w:after="0"/>
              <w:rPr>
                <w:sz w:val="22"/>
                <w:szCs w:val="22"/>
                <w:color w:val="auto"/>
              </w:rPr>
            </w:pPr>
          </w:p>
        </w:tc>
        <w:tc>
          <w:tcPr>
            <w:tcW w:w="600" w:type="dxa"/>
            <w:vAlign w:val="bottom"/>
            <w:tcBorders>
              <w:top w:val="single" w:sz="8" w:color="auto"/>
            </w:tcBorders>
            <w:shd w:val="clear" w:color="auto" w:fill="C0C0C0"/>
          </w:tcPr>
          <w:p>
            <w:pPr>
              <w:spacing w:after="0"/>
              <w:rPr>
                <w:sz w:val="22"/>
                <w:szCs w:val="22"/>
                <w:color w:val="auto"/>
              </w:rPr>
            </w:pPr>
          </w:p>
        </w:tc>
        <w:tc>
          <w:tcPr>
            <w:tcW w:w="1400" w:type="dxa"/>
            <w:vAlign w:val="bottom"/>
            <w:tcBorders>
              <w:top w:val="single" w:sz="8" w:color="auto"/>
            </w:tcBorders>
            <w:gridSpan w:val="4"/>
            <w:shd w:val="clear" w:color="auto" w:fill="C0C0C0"/>
          </w:tcPr>
          <w:p>
            <w:pPr>
              <w:jc w:val="right"/>
              <w:ind w:right="20"/>
              <w:spacing w:after="0"/>
              <w:rPr>
                <w:sz w:val="20"/>
                <w:szCs w:val="20"/>
                <w:color w:val="auto"/>
              </w:rPr>
            </w:pPr>
            <w:r>
              <w:rPr>
                <w:rFonts w:ascii="Arial" w:cs="Arial" w:eastAsia="Arial" w:hAnsi="Arial"/>
                <w:sz w:val="17"/>
                <w:szCs w:val="17"/>
                <w:b w:val="1"/>
                <w:bCs w:val="1"/>
                <w:color w:val="auto"/>
                <w:w w:val="91"/>
              </w:rPr>
              <w:t>Weighted Average</w:t>
            </w:r>
          </w:p>
        </w:tc>
      </w:tr>
      <w:tr>
        <w:trPr>
          <w:trHeight w:val="288"/>
        </w:trPr>
        <w:tc>
          <w:tcPr>
            <w:tcW w:w="3940" w:type="dxa"/>
            <w:vAlign w:val="bottom"/>
            <w:shd w:val="clear" w:color="auto" w:fill="C0C0C0"/>
          </w:tcPr>
          <w:p>
            <w:pPr>
              <w:spacing w:after="0"/>
              <w:rPr>
                <w:sz w:val="24"/>
                <w:szCs w:val="24"/>
                <w:color w:val="auto"/>
              </w:rPr>
            </w:pPr>
          </w:p>
        </w:tc>
        <w:tc>
          <w:tcPr>
            <w:tcW w:w="2200" w:type="dxa"/>
            <w:vAlign w:val="bottom"/>
            <w:gridSpan w:val="7"/>
            <w:shd w:val="clear" w:color="auto" w:fill="C0C0C0"/>
          </w:tcPr>
          <w:p>
            <w:pPr>
              <w:jc w:val="right"/>
              <w:ind w:right="220"/>
              <w:spacing w:after="0"/>
              <w:rPr>
                <w:sz w:val="20"/>
                <w:szCs w:val="20"/>
                <w:color w:val="auto"/>
              </w:rPr>
            </w:pPr>
            <w:r>
              <w:rPr>
                <w:rFonts w:ascii="Arial" w:cs="Arial" w:eastAsia="Arial" w:hAnsi="Arial"/>
                <w:sz w:val="17"/>
                <w:szCs w:val="17"/>
                <w:b w:val="1"/>
                <w:bCs w:val="1"/>
                <w:color w:val="auto"/>
              </w:rPr>
              <w:t>Shares Available</w:t>
            </w:r>
          </w:p>
        </w:tc>
        <w:tc>
          <w:tcPr>
            <w:tcW w:w="1320" w:type="dxa"/>
            <w:vAlign w:val="bottom"/>
            <w:tcBorders>
              <w:right w:val="single" w:sz="8" w:color="C0C0C0"/>
            </w:tcBorders>
            <w:shd w:val="clear" w:color="auto" w:fill="C0C0C0"/>
          </w:tcPr>
          <w:p>
            <w:pPr>
              <w:spacing w:after="0"/>
              <w:rPr>
                <w:sz w:val="24"/>
                <w:szCs w:val="24"/>
                <w:color w:val="auto"/>
              </w:rPr>
            </w:pPr>
          </w:p>
        </w:tc>
        <w:tc>
          <w:tcPr>
            <w:tcW w:w="80" w:type="dxa"/>
            <w:vAlign w:val="bottom"/>
            <w:shd w:val="clear" w:color="auto" w:fill="C0C0C0"/>
          </w:tcPr>
          <w:p>
            <w:pPr>
              <w:spacing w:after="0"/>
              <w:rPr>
                <w:sz w:val="24"/>
                <w:szCs w:val="24"/>
                <w:color w:val="auto"/>
              </w:rPr>
            </w:pPr>
          </w:p>
        </w:tc>
        <w:tc>
          <w:tcPr>
            <w:tcW w:w="500" w:type="dxa"/>
            <w:vAlign w:val="bottom"/>
            <w:shd w:val="clear" w:color="auto" w:fill="C0C0C0"/>
          </w:tcPr>
          <w:p>
            <w:pPr>
              <w:spacing w:after="0"/>
              <w:rPr>
                <w:sz w:val="24"/>
                <w:szCs w:val="24"/>
                <w:color w:val="auto"/>
              </w:rPr>
            </w:pPr>
          </w:p>
        </w:tc>
        <w:tc>
          <w:tcPr>
            <w:tcW w:w="20" w:type="dxa"/>
            <w:vAlign w:val="bottom"/>
            <w:shd w:val="clear" w:color="auto" w:fill="C0C0C0"/>
          </w:tcPr>
          <w:p>
            <w:pPr>
              <w:spacing w:after="0"/>
              <w:rPr>
                <w:sz w:val="24"/>
                <w:szCs w:val="24"/>
                <w:color w:val="auto"/>
              </w:rPr>
            </w:pPr>
          </w:p>
        </w:tc>
        <w:tc>
          <w:tcPr>
            <w:tcW w:w="600" w:type="dxa"/>
            <w:vAlign w:val="bottom"/>
            <w:shd w:val="clear" w:color="auto" w:fill="C0C0C0"/>
          </w:tcPr>
          <w:p>
            <w:pPr>
              <w:spacing w:after="0"/>
              <w:rPr>
                <w:sz w:val="24"/>
                <w:szCs w:val="24"/>
                <w:color w:val="auto"/>
              </w:rPr>
            </w:pPr>
          </w:p>
        </w:tc>
        <w:tc>
          <w:tcPr>
            <w:tcW w:w="1400" w:type="dxa"/>
            <w:vAlign w:val="bottom"/>
            <w:gridSpan w:val="4"/>
            <w:shd w:val="clear" w:color="auto" w:fill="C0C0C0"/>
          </w:tcPr>
          <w:p>
            <w:pPr>
              <w:jc w:val="right"/>
              <w:ind w:right="20"/>
              <w:spacing w:after="0"/>
              <w:rPr>
                <w:sz w:val="20"/>
                <w:szCs w:val="20"/>
                <w:color w:val="auto"/>
              </w:rPr>
            </w:pPr>
            <w:r>
              <w:rPr>
                <w:rFonts w:ascii="Arial" w:cs="Arial" w:eastAsia="Arial" w:hAnsi="Arial"/>
                <w:sz w:val="17"/>
                <w:szCs w:val="17"/>
                <w:b w:val="1"/>
                <w:bCs w:val="1"/>
                <w:color w:val="auto"/>
              </w:rPr>
              <w:t>Exercise Price</w:t>
            </w:r>
          </w:p>
        </w:tc>
      </w:tr>
      <w:tr>
        <w:trPr>
          <w:trHeight w:val="251"/>
        </w:trPr>
        <w:tc>
          <w:tcPr>
            <w:tcW w:w="394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1060" w:type="dxa"/>
            <w:vAlign w:val="bottom"/>
            <w:gridSpan w:val="6"/>
            <w:shd w:val="clear" w:color="auto" w:fill="C0C0C0"/>
          </w:tcPr>
          <w:p>
            <w:pPr>
              <w:jc w:val="right"/>
              <w:ind w:right="220"/>
              <w:spacing w:after="0"/>
              <w:rPr>
                <w:sz w:val="20"/>
                <w:szCs w:val="20"/>
                <w:color w:val="auto"/>
              </w:rPr>
            </w:pPr>
            <w:r>
              <w:rPr>
                <w:rFonts w:ascii="Arial" w:cs="Arial" w:eastAsia="Arial" w:hAnsi="Arial"/>
                <w:sz w:val="17"/>
                <w:szCs w:val="17"/>
                <w:b w:val="1"/>
                <w:bCs w:val="1"/>
                <w:color w:val="auto"/>
              </w:rPr>
              <w:t>For Grant</w:t>
            </w:r>
          </w:p>
        </w:tc>
        <w:tc>
          <w:tcPr>
            <w:tcW w:w="1320" w:type="dxa"/>
            <w:vAlign w:val="bottom"/>
            <w:tcBorders>
              <w:right w:val="single" w:sz="8" w:color="C0C0C0"/>
            </w:tcBorders>
            <w:shd w:val="clear" w:color="auto" w:fill="C0C0C0"/>
          </w:tcPr>
          <w:p>
            <w:pPr>
              <w:spacing w:after="0"/>
              <w:rPr>
                <w:sz w:val="21"/>
                <w:szCs w:val="21"/>
                <w:color w:val="auto"/>
              </w:rPr>
            </w:pPr>
          </w:p>
        </w:tc>
        <w:tc>
          <w:tcPr>
            <w:tcW w:w="1200" w:type="dxa"/>
            <w:vAlign w:val="bottom"/>
            <w:gridSpan w:val="4"/>
            <w:shd w:val="clear" w:color="auto" w:fill="C0C0C0"/>
          </w:tcPr>
          <w:p>
            <w:pPr>
              <w:jc w:val="right"/>
              <w:ind w:right="620"/>
              <w:spacing w:after="0"/>
              <w:rPr>
                <w:sz w:val="20"/>
                <w:szCs w:val="20"/>
                <w:color w:val="auto"/>
              </w:rPr>
            </w:pPr>
            <w:r>
              <w:rPr>
                <w:rFonts w:ascii="Arial" w:cs="Arial" w:eastAsia="Arial" w:hAnsi="Arial"/>
                <w:sz w:val="17"/>
                <w:szCs w:val="17"/>
                <w:b w:val="1"/>
                <w:bCs w:val="1"/>
                <w:color w:val="auto"/>
                <w:w w:val="98"/>
              </w:rPr>
              <w:t>Shares</w:t>
            </w:r>
          </w:p>
        </w:tc>
        <w:tc>
          <w:tcPr>
            <w:tcW w:w="420" w:type="dxa"/>
            <w:vAlign w:val="bottom"/>
            <w:shd w:val="clear" w:color="auto" w:fill="C0C0C0"/>
          </w:tcPr>
          <w:p>
            <w:pPr>
              <w:spacing w:after="0"/>
              <w:rPr>
                <w:sz w:val="21"/>
                <w:szCs w:val="21"/>
                <w:color w:val="auto"/>
              </w:rPr>
            </w:pPr>
          </w:p>
        </w:tc>
        <w:tc>
          <w:tcPr>
            <w:tcW w:w="980" w:type="dxa"/>
            <w:vAlign w:val="bottom"/>
            <w:gridSpan w:val="3"/>
            <w:shd w:val="clear" w:color="auto" w:fill="C0C0C0"/>
          </w:tcPr>
          <w:p>
            <w:pPr>
              <w:jc w:val="right"/>
              <w:ind w:right="20"/>
              <w:spacing w:after="0"/>
              <w:rPr>
                <w:sz w:val="20"/>
                <w:szCs w:val="20"/>
                <w:color w:val="auto"/>
              </w:rPr>
            </w:pPr>
            <w:r>
              <w:rPr>
                <w:rFonts w:ascii="Arial" w:cs="Arial" w:eastAsia="Arial" w:hAnsi="Arial"/>
                <w:sz w:val="17"/>
                <w:szCs w:val="17"/>
                <w:b w:val="1"/>
                <w:bCs w:val="1"/>
                <w:color w:val="auto"/>
                <w:w w:val="89"/>
              </w:rPr>
              <w:t xml:space="preserve">Per Share </w:t>
            </w:r>
            <w:r>
              <w:rPr>
                <w:rFonts w:ascii="Arial" w:cs="Arial" w:eastAsia="Arial" w:hAnsi="Arial"/>
                <w:sz w:val="17"/>
                <w:szCs w:val="17"/>
                <w:b w:val="1"/>
                <w:bCs w:val="1"/>
                <w:u w:val="single" w:color="auto"/>
                <w:color w:val="auto"/>
                <w:w w:val="89"/>
              </w:rPr>
              <w:t>($</w:t>
            </w:r>
            <w:r>
              <w:rPr>
                <w:rFonts w:ascii="Arial" w:cs="Arial" w:eastAsia="Arial" w:hAnsi="Arial"/>
                <w:sz w:val="17"/>
                <w:szCs w:val="17"/>
                <w:b w:val="1"/>
                <w:bCs w:val="1"/>
                <w:color w:val="auto"/>
                <w:w w:val="89"/>
              </w:rPr>
              <w:t>)</w:t>
            </w:r>
          </w:p>
        </w:tc>
      </w:tr>
      <w:tr>
        <w:trPr>
          <w:trHeight w:val="45"/>
        </w:trPr>
        <w:tc>
          <w:tcPr>
            <w:tcW w:w="3940" w:type="dxa"/>
            <w:vAlign w:val="bottom"/>
            <w:tcBorders>
              <w:top w:val="single" w:sz="8" w:color="C0C0C0"/>
            </w:tcBorders>
            <w:shd w:val="clear" w:color="auto" w:fill="C0C0C0"/>
          </w:tcPr>
          <w:p>
            <w:pPr>
              <w:spacing w:after="0"/>
              <w:rPr>
                <w:sz w:val="3"/>
                <w:szCs w:val="3"/>
                <w:color w:val="auto"/>
              </w:rPr>
            </w:pPr>
          </w:p>
        </w:tc>
        <w:tc>
          <w:tcPr>
            <w:tcW w:w="1140" w:type="dxa"/>
            <w:vAlign w:val="bottom"/>
            <w:tcBorders>
              <w:top w:val="single" w:sz="8" w:color="C0C0C0"/>
            </w:tcBorders>
            <w:shd w:val="clear" w:color="auto" w:fill="C0C0C0"/>
          </w:tcPr>
          <w:p>
            <w:pPr>
              <w:spacing w:after="0"/>
              <w:rPr>
                <w:sz w:val="3"/>
                <w:szCs w:val="3"/>
                <w:color w:val="auto"/>
              </w:rPr>
            </w:pPr>
          </w:p>
        </w:tc>
        <w:tc>
          <w:tcPr>
            <w:tcW w:w="100" w:type="dxa"/>
            <w:vAlign w:val="bottom"/>
            <w:tcBorders>
              <w:top w:val="single" w:sz="8" w:color="C0C0C0"/>
            </w:tcBorders>
            <w:shd w:val="clear" w:color="auto" w:fill="C0C0C0"/>
          </w:tcPr>
          <w:p>
            <w:pPr>
              <w:spacing w:after="0"/>
              <w:rPr>
                <w:sz w:val="3"/>
                <w:szCs w:val="3"/>
                <w:color w:val="auto"/>
              </w:rPr>
            </w:pPr>
          </w:p>
        </w:tc>
        <w:tc>
          <w:tcPr>
            <w:tcW w:w="60" w:type="dxa"/>
            <w:vAlign w:val="bottom"/>
            <w:tcBorders>
              <w:top w:val="single" w:sz="8" w:color="auto"/>
            </w:tcBorders>
            <w:shd w:val="clear" w:color="auto" w:fill="C0C0C0"/>
          </w:tcPr>
          <w:p>
            <w:pPr>
              <w:spacing w:after="0"/>
              <w:rPr>
                <w:sz w:val="3"/>
                <w:szCs w:val="3"/>
                <w:color w:val="auto"/>
              </w:rPr>
            </w:pPr>
          </w:p>
        </w:tc>
        <w:tc>
          <w:tcPr>
            <w:tcW w:w="80" w:type="dxa"/>
            <w:vAlign w:val="bottom"/>
            <w:tcBorders>
              <w:top w:val="single" w:sz="8" w:color="auto"/>
            </w:tcBorders>
            <w:shd w:val="clear" w:color="auto" w:fill="C0C0C0"/>
          </w:tcPr>
          <w:p>
            <w:pPr>
              <w:spacing w:after="0"/>
              <w:rPr>
                <w:sz w:val="3"/>
                <w:szCs w:val="3"/>
                <w:color w:val="auto"/>
              </w:rPr>
            </w:pPr>
          </w:p>
        </w:tc>
        <w:tc>
          <w:tcPr>
            <w:tcW w:w="560" w:type="dxa"/>
            <w:vAlign w:val="bottom"/>
            <w:tcBorders>
              <w:top w:val="single" w:sz="8" w:color="auto"/>
            </w:tcBorders>
            <w:shd w:val="clear" w:color="auto" w:fill="C0C0C0"/>
          </w:tcPr>
          <w:p>
            <w:pPr>
              <w:spacing w:after="0"/>
              <w:rPr>
                <w:sz w:val="3"/>
                <w:szCs w:val="3"/>
                <w:color w:val="auto"/>
              </w:rPr>
            </w:pPr>
          </w:p>
        </w:tc>
        <w:tc>
          <w:tcPr>
            <w:tcW w:w="40" w:type="dxa"/>
            <w:vAlign w:val="bottom"/>
            <w:tcBorders>
              <w:top w:val="single" w:sz="8" w:color="auto"/>
            </w:tcBorders>
            <w:shd w:val="clear" w:color="auto" w:fill="C0C0C0"/>
          </w:tcPr>
          <w:p>
            <w:pPr>
              <w:spacing w:after="0"/>
              <w:rPr>
                <w:sz w:val="3"/>
                <w:szCs w:val="3"/>
                <w:color w:val="auto"/>
              </w:rPr>
            </w:pPr>
          </w:p>
        </w:tc>
        <w:tc>
          <w:tcPr>
            <w:tcW w:w="220" w:type="dxa"/>
            <w:vAlign w:val="bottom"/>
            <w:tcBorders>
              <w:top w:val="single" w:sz="8" w:color="C0C0C0"/>
            </w:tcBorders>
            <w:shd w:val="clear" w:color="auto" w:fill="C0C0C0"/>
          </w:tcPr>
          <w:p>
            <w:pPr>
              <w:spacing w:after="0"/>
              <w:rPr>
                <w:sz w:val="3"/>
                <w:szCs w:val="3"/>
                <w:color w:val="auto"/>
              </w:rPr>
            </w:pPr>
          </w:p>
        </w:tc>
        <w:tc>
          <w:tcPr>
            <w:tcW w:w="1320" w:type="dxa"/>
            <w:vAlign w:val="bottom"/>
            <w:tcBorders>
              <w:top w:val="single" w:sz="8" w:color="C0C0C0"/>
              <w:right w:val="single" w:sz="8" w:color="C0C0C0"/>
            </w:tcBorders>
            <w:shd w:val="clear" w:color="auto" w:fill="C0C0C0"/>
          </w:tcPr>
          <w:p>
            <w:pPr>
              <w:spacing w:after="0"/>
              <w:rPr>
                <w:sz w:val="3"/>
                <w:szCs w:val="3"/>
                <w:color w:val="auto"/>
              </w:rPr>
            </w:pPr>
          </w:p>
        </w:tc>
        <w:tc>
          <w:tcPr>
            <w:tcW w:w="80" w:type="dxa"/>
            <w:vAlign w:val="bottom"/>
            <w:tcBorders>
              <w:top w:val="single" w:sz="8" w:color="C0C0C0"/>
            </w:tcBorders>
            <w:shd w:val="clear" w:color="auto" w:fill="C0C0C0"/>
          </w:tcPr>
          <w:p>
            <w:pPr>
              <w:spacing w:after="0"/>
              <w:rPr>
                <w:sz w:val="3"/>
                <w:szCs w:val="3"/>
                <w:color w:val="auto"/>
              </w:rPr>
            </w:pPr>
          </w:p>
        </w:tc>
        <w:tc>
          <w:tcPr>
            <w:tcW w:w="500" w:type="dxa"/>
            <w:vAlign w:val="bottom"/>
            <w:tcBorders>
              <w:top w:val="single" w:sz="8" w:color="auto"/>
            </w:tcBorders>
            <w:shd w:val="clear" w:color="auto" w:fill="C0C0C0"/>
          </w:tcPr>
          <w:p>
            <w:pPr>
              <w:spacing w:after="0"/>
              <w:rPr>
                <w:sz w:val="3"/>
                <w:szCs w:val="3"/>
                <w:color w:val="auto"/>
              </w:rPr>
            </w:pPr>
          </w:p>
        </w:tc>
        <w:tc>
          <w:tcPr>
            <w:tcW w:w="20" w:type="dxa"/>
            <w:vAlign w:val="bottom"/>
            <w:tcBorders>
              <w:top w:val="single" w:sz="8" w:color="C0C0C0"/>
            </w:tcBorders>
            <w:shd w:val="clear" w:color="auto" w:fill="C0C0C0"/>
          </w:tcPr>
          <w:p>
            <w:pPr>
              <w:spacing w:after="0"/>
              <w:rPr>
                <w:sz w:val="3"/>
                <w:szCs w:val="3"/>
                <w:color w:val="auto"/>
              </w:rPr>
            </w:pPr>
          </w:p>
        </w:tc>
        <w:tc>
          <w:tcPr>
            <w:tcW w:w="600" w:type="dxa"/>
            <w:vAlign w:val="bottom"/>
            <w:tcBorders>
              <w:top w:val="single" w:sz="8" w:color="C0C0C0"/>
            </w:tcBorders>
            <w:shd w:val="clear" w:color="auto" w:fill="C0C0C0"/>
          </w:tcPr>
          <w:p>
            <w:pPr>
              <w:spacing w:after="0"/>
              <w:rPr>
                <w:sz w:val="3"/>
                <w:szCs w:val="3"/>
                <w:color w:val="auto"/>
              </w:rPr>
            </w:pPr>
          </w:p>
        </w:tc>
        <w:tc>
          <w:tcPr>
            <w:tcW w:w="420" w:type="dxa"/>
            <w:vAlign w:val="bottom"/>
            <w:tcBorders>
              <w:top w:val="single" w:sz="8" w:color="C0C0C0"/>
            </w:tcBorders>
            <w:shd w:val="clear" w:color="auto" w:fill="C0C0C0"/>
          </w:tcPr>
          <w:p>
            <w:pPr>
              <w:spacing w:after="0"/>
              <w:rPr>
                <w:sz w:val="3"/>
                <w:szCs w:val="3"/>
                <w:color w:val="auto"/>
              </w:rPr>
            </w:pPr>
          </w:p>
        </w:tc>
        <w:tc>
          <w:tcPr>
            <w:tcW w:w="580" w:type="dxa"/>
            <w:vAlign w:val="bottom"/>
            <w:tcBorders>
              <w:top w:val="single" w:sz="8" w:color="auto"/>
            </w:tcBorders>
            <w:shd w:val="clear" w:color="auto" w:fill="C0C0C0"/>
          </w:tcPr>
          <w:p>
            <w:pPr>
              <w:spacing w:after="0"/>
              <w:rPr>
                <w:sz w:val="3"/>
                <w:szCs w:val="3"/>
                <w:color w:val="auto"/>
              </w:rPr>
            </w:pPr>
          </w:p>
        </w:tc>
        <w:tc>
          <w:tcPr>
            <w:tcW w:w="380" w:type="dxa"/>
            <w:vAlign w:val="bottom"/>
            <w:tcBorders>
              <w:top w:val="single" w:sz="8" w:color="auto"/>
            </w:tcBorders>
            <w:shd w:val="clear" w:color="auto" w:fill="C0C0C0"/>
          </w:tcPr>
          <w:p>
            <w:pPr>
              <w:spacing w:after="0"/>
              <w:rPr>
                <w:sz w:val="3"/>
                <w:szCs w:val="3"/>
                <w:color w:val="auto"/>
              </w:rPr>
            </w:pPr>
          </w:p>
        </w:tc>
        <w:tc>
          <w:tcPr>
            <w:tcW w:w="20" w:type="dxa"/>
            <w:vAlign w:val="bottom"/>
            <w:tcBorders>
              <w:top w:val="single" w:sz="8" w:color="C0C0C0"/>
            </w:tcBorders>
            <w:shd w:val="clear" w:color="auto" w:fill="C0C0C0"/>
          </w:tcPr>
          <w:p>
            <w:pPr>
              <w:spacing w:after="0"/>
              <w:rPr>
                <w:sz w:val="3"/>
                <w:szCs w:val="3"/>
                <w:color w:val="auto"/>
              </w:rPr>
            </w:pPr>
          </w:p>
        </w:tc>
      </w:tr>
      <w:tr>
        <w:trPr>
          <w:trHeight w:val="260"/>
        </w:trPr>
        <w:tc>
          <w:tcPr>
            <w:tcW w:w="3940" w:type="dxa"/>
            <w:vAlign w:val="bottom"/>
          </w:tcPr>
          <w:p>
            <w:pPr>
              <w:ind w:left="40"/>
              <w:spacing w:after="0"/>
              <w:rPr>
                <w:sz w:val="20"/>
                <w:szCs w:val="20"/>
                <w:color w:val="auto"/>
              </w:rPr>
            </w:pPr>
            <w:r>
              <w:rPr>
                <w:rFonts w:ascii="Arial" w:cs="Arial" w:eastAsia="Arial" w:hAnsi="Arial"/>
                <w:sz w:val="17"/>
                <w:szCs w:val="17"/>
                <w:color w:val="auto"/>
              </w:rPr>
              <w:t>Balance January 1, 1998</w:t>
            </w:r>
          </w:p>
        </w:tc>
        <w:tc>
          <w:tcPr>
            <w:tcW w:w="1240" w:type="dxa"/>
            <w:vAlign w:val="bottom"/>
            <w:gridSpan w:val="2"/>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w w:val="89"/>
              </w:rPr>
              <w:t>1,125,364</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7"/>
                <w:szCs w:val="17"/>
                <w:color w:val="auto"/>
              </w:rPr>
              <w:t>1,628,017</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26.41</w:t>
            </w:r>
          </w:p>
        </w:tc>
        <w:tc>
          <w:tcPr>
            <w:tcW w:w="20" w:type="dxa"/>
            <w:vAlign w:val="bottom"/>
          </w:tcPr>
          <w:p>
            <w:pPr>
              <w:spacing w:after="0"/>
              <w:rPr>
                <w:sz w:val="22"/>
                <w:szCs w:val="22"/>
                <w:color w:val="auto"/>
              </w:rPr>
            </w:pPr>
          </w:p>
        </w:tc>
      </w:tr>
      <w:tr>
        <w:trPr>
          <w:trHeight w:val="288"/>
        </w:trPr>
        <w:tc>
          <w:tcPr>
            <w:tcW w:w="3940" w:type="dxa"/>
            <w:vAlign w:val="bottom"/>
          </w:tcPr>
          <w:p>
            <w:pPr>
              <w:ind w:left="40"/>
              <w:spacing w:after="0"/>
              <w:rPr>
                <w:sz w:val="20"/>
                <w:szCs w:val="20"/>
                <w:color w:val="auto"/>
              </w:rPr>
            </w:pPr>
            <w:r>
              <w:rPr>
                <w:rFonts w:ascii="Arial" w:cs="Arial" w:eastAsia="Arial" w:hAnsi="Arial"/>
                <w:sz w:val="17"/>
                <w:szCs w:val="17"/>
                <w:color w:val="auto"/>
              </w:rPr>
              <w:t>Authorized</w:t>
            </w:r>
          </w:p>
        </w:tc>
        <w:tc>
          <w:tcPr>
            <w:tcW w:w="1940" w:type="dxa"/>
            <w:vAlign w:val="bottom"/>
            <w:gridSpan w:val="5"/>
          </w:tcPr>
          <w:p>
            <w:pPr>
              <w:jc w:val="right"/>
              <w:spacing w:after="0"/>
              <w:rPr>
                <w:sz w:val="20"/>
                <w:szCs w:val="20"/>
                <w:color w:val="auto"/>
              </w:rPr>
            </w:pPr>
            <w:r>
              <w:rPr>
                <w:rFonts w:ascii="Arial" w:cs="Arial" w:eastAsia="Arial" w:hAnsi="Arial"/>
                <w:sz w:val="17"/>
                <w:szCs w:val="17"/>
                <w:color w:val="auto"/>
              </w:rPr>
              <w:t>1,500,000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r>
      <w:tr>
        <w:trPr>
          <w:trHeight w:val="288"/>
        </w:trPr>
        <w:tc>
          <w:tcPr>
            <w:tcW w:w="3940" w:type="dxa"/>
            <w:vAlign w:val="bottom"/>
          </w:tcPr>
          <w:p>
            <w:pPr>
              <w:ind w:left="40"/>
              <w:spacing w:after="0"/>
              <w:rPr>
                <w:sz w:val="20"/>
                <w:szCs w:val="20"/>
                <w:color w:val="auto"/>
              </w:rPr>
            </w:pPr>
            <w:r>
              <w:rPr>
                <w:rFonts w:ascii="Arial" w:cs="Arial" w:eastAsia="Arial" w:hAnsi="Arial"/>
                <w:sz w:val="17"/>
                <w:szCs w:val="17"/>
                <w:color w:val="auto"/>
              </w:rPr>
              <w:t>Granted</w:t>
            </w:r>
          </w:p>
        </w:tc>
        <w:tc>
          <w:tcPr>
            <w:tcW w:w="2200" w:type="dxa"/>
            <w:vAlign w:val="bottom"/>
            <w:gridSpan w:val="7"/>
          </w:tcPr>
          <w:p>
            <w:pPr>
              <w:jc w:val="right"/>
              <w:ind w:right="220"/>
              <w:spacing w:after="0"/>
              <w:rPr>
                <w:sz w:val="20"/>
                <w:szCs w:val="20"/>
                <w:color w:val="auto"/>
              </w:rPr>
            </w:pPr>
            <w:r>
              <w:rPr>
                <w:rFonts w:ascii="Arial" w:cs="Arial" w:eastAsia="Arial" w:hAnsi="Arial"/>
                <w:sz w:val="17"/>
                <w:szCs w:val="17"/>
                <w:color w:val="auto"/>
              </w:rPr>
              <w:t>(22,500)</w:t>
            </w:r>
          </w:p>
        </w:tc>
        <w:tc>
          <w:tcPr>
            <w:tcW w:w="2520" w:type="dxa"/>
            <w:vAlign w:val="bottom"/>
            <w:gridSpan w:val="5"/>
          </w:tcPr>
          <w:p>
            <w:pPr>
              <w:jc w:val="right"/>
              <w:ind w:right="580"/>
              <w:spacing w:after="0"/>
              <w:rPr>
                <w:sz w:val="20"/>
                <w:szCs w:val="20"/>
                <w:color w:val="auto"/>
              </w:rPr>
            </w:pPr>
            <w:r>
              <w:rPr>
                <w:rFonts w:ascii="Arial" w:cs="Arial" w:eastAsia="Arial" w:hAnsi="Arial"/>
                <w:sz w:val="17"/>
                <w:szCs w:val="17"/>
                <w:color w:val="auto"/>
              </w:rPr>
              <w:t>22,500</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45.86</w:t>
            </w:r>
          </w:p>
        </w:tc>
        <w:tc>
          <w:tcPr>
            <w:tcW w:w="20" w:type="dxa"/>
            <w:vAlign w:val="bottom"/>
          </w:tcPr>
          <w:p>
            <w:pPr>
              <w:spacing w:after="0"/>
              <w:rPr>
                <w:sz w:val="24"/>
                <w:szCs w:val="24"/>
                <w:color w:val="auto"/>
              </w:rPr>
            </w:pPr>
          </w:p>
        </w:tc>
      </w:tr>
      <w:tr>
        <w:trPr>
          <w:trHeight w:val="288"/>
        </w:trPr>
        <w:tc>
          <w:tcPr>
            <w:tcW w:w="3940" w:type="dxa"/>
            <w:vAlign w:val="bottom"/>
          </w:tcPr>
          <w:p>
            <w:pPr>
              <w:ind w:left="40"/>
              <w:spacing w:after="0"/>
              <w:rPr>
                <w:sz w:val="20"/>
                <w:szCs w:val="20"/>
                <w:color w:val="auto"/>
              </w:rPr>
            </w:pPr>
            <w:r>
              <w:rPr>
                <w:rFonts w:ascii="Arial" w:cs="Arial" w:eastAsia="Arial" w:hAnsi="Arial"/>
                <w:sz w:val="17"/>
                <w:szCs w:val="17"/>
                <w:color w:val="auto"/>
              </w:rPr>
              <w:t>Exercised</w:t>
            </w:r>
          </w:p>
        </w:tc>
        <w:tc>
          <w:tcPr>
            <w:tcW w:w="19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7"/>
                <w:szCs w:val="17"/>
                <w:color w:val="auto"/>
              </w:rPr>
              <w:t>(162,835)</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25.17</w:t>
            </w:r>
          </w:p>
        </w:tc>
        <w:tc>
          <w:tcPr>
            <w:tcW w:w="20" w:type="dxa"/>
            <w:vAlign w:val="bottom"/>
          </w:tcPr>
          <w:p>
            <w:pPr>
              <w:spacing w:after="0"/>
              <w:rPr>
                <w:sz w:val="24"/>
                <w:szCs w:val="24"/>
                <w:color w:val="auto"/>
              </w:rPr>
            </w:pPr>
          </w:p>
        </w:tc>
      </w:tr>
      <w:tr>
        <w:trPr>
          <w:trHeight w:val="251"/>
        </w:trPr>
        <w:tc>
          <w:tcPr>
            <w:tcW w:w="3940" w:type="dxa"/>
            <w:vAlign w:val="bottom"/>
          </w:tcPr>
          <w:p>
            <w:pPr>
              <w:ind w:left="40"/>
              <w:spacing w:after="0"/>
              <w:rPr>
                <w:sz w:val="20"/>
                <w:szCs w:val="20"/>
                <w:color w:val="auto"/>
              </w:rPr>
            </w:pPr>
            <w:r>
              <w:rPr>
                <w:rFonts w:ascii="Arial" w:cs="Arial" w:eastAsia="Arial" w:hAnsi="Arial"/>
                <w:sz w:val="17"/>
                <w:szCs w:val="17"/>
                <w:color w:val="auto"/>
              </w:rPr>
              <w:t>Canceled</w:t>
            </w:r>
          </w:p>
        </w:tc>
        <w:tc>
          <w:tcPr>
            <w:tcW w:w="1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27,451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7"/>
                <w:szCs w:val="17"/>
                <w:color w:val="auto"/>
              </w:rPr>
              <w:t>(27,451)</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30.</w:t>
            </w:r>
            <w:r>
              <w:rPr>
                <w:rFonts w:ascii="Arial" w:cs="Arial" w:eastAsia="Arial" w:hAnsi="Arial"/>
                <w:sz w:val="17"/>
                <w:szCs w:val="17"/>
                <w:u w:val="single" w:color="auto"/>
                <w:color w:val="auto"/>
              </w:rPr>
              <w:t>48</w:t>
            </w:r>
          </w:p>
        </w:tc>
        <w:tc>
          <w:tcPr>
            <w:tcW w:w="2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5"/>
        </w:trPr>
        <w:tc>
          <w:tcPr>
            <w:tcW w:w="3940" w:type="dxa"/>
            <w:vAlign w:val="bottom"/>
          </w:tcPr>
          <w:p>
            <w:pPr>
              <w:ind w:left="40"/>
              <w:spacing w:after="0"/>
              <w:rPr>
                <w:sz w:val="20"/>
                <w:szCs w:val="20"/>
                <w:color w:val="auto"/>
              </w:rPr>
            </w:pPr>
            <w:r>
              <w:rPr>
                <w:rFonts w:ascii="Arial" w:cs="Arial" w:eastAsia="Arial" w:hAnsi="Arial"/>
                <w:sz w:val="17"/>
                <w:szCs w:val="17"/>
                <w:color w:val="auto"/>
              </w:rPr>
              <w:t>Balance December 31, 1998</w:t>
            </w:r>
          </w:p>
        </w:tc>
        <w:tc>
          <w:tcPr>
            <w:tcW w:w="114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2,630,315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gridSpan w:val="4"/>
          </w:tcPr>
          <w:p>
            <w:pPr>
              <w:jc w:val="right"/>
              <w:ind w:right="580"/>
              <w:spacing w:after="0"/>
              <w:rPr>
                <w:sz w:val="20"/>
                <w:szCs w:val="20"/>
                <w:color w:val="auto"/>
              </w:rPr>
            </w:pPr>
            <w:r>
              <w:rPr>
                <w:rFonts w:ascii="Arial" w:cs="Arial" w:eastAsia="Arial" w:hAnsi="Arial"/>
                <w:sz w:val="17"/>
                <w:szCs w:val="17"/>
                <w:color w:val="auto"/>
                <w:w w:val="79"/>
              </w:rPr>
              <w:t>1,460,231</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26.77</w:t>
            </w:r>
          </w:p>
        </w:tc>
        <w:tc>
          <w:tcPr>
            <w:tcW w:w="20" w:type="dxa"/>
            <w:vAlign w:val="bottom"/>
          </w:tcPr>
          <w:p>
            <w:pPr>
              <w:spacing w:after="0"/>
              <w:rPr>
                <w:sz w:val="24"/>
                <w:szCs w:val="24"/>
                <w:color w:val="auto"/>
              </w:rPr>
            </w:pPr>
          </w:p>
        </w:tc>
      </w:tr>
      <w:tr>
        <w:trPr>
          <w:trHeight w:val="288"/>
        </w:trPr>
        <w:tc>
          <w:tcPr>
            <w:tcW w:w="3940" w:type="dxa"/>
            <w:vAlign w:val="bottom"/>
          </w:tcPr>
          <w:p>
            <w:pPr>
              <w:ind w:left="40"/>
              <w:spacing w:after="0"/>
              <w:rPr>
                <w:sz w:val="20"/>
                <w:szCs w:val="20"/>
                <w:color w:val="auto"/>
              </w:rPr>
            </w:pPr>
            <w:r>
              <w:rPr>
                <w:rFonts w:ascii="Arial" w:cs="Arial" w:eastAsia="Arial" w:hAnsi="Arial"/>
                <w:sz w:val="17"/>
                <w:szCs w:val="17"/>
                <w:color w:val="auto"/>
              </w:rPr>
              <w:t>Granted</w:t>
            </w:r>
          </w:p>
        </w:tc>
        <w:tc>
          <w:tcPr>
            <w:tcW w:w="2200" w:type="dxa"/>
            <w:vAlign w:val="bottom"/>
            <w:gridSpan w:val="7"/>
          </w:tcPr>
          <w:p>
            <w:pPr>
              <w:jc w:val="right"/>
              <w:ind w:right="220"/>
              <w:spacing w:after="0"/>
              <w:rPr>
                <w:sz w:val="20"/>
                <w:szCs w:val="20"/>
                <w:color w:val="auto"/>
              </w:rPr>
            </w:pPr>
            <w:r>
              <w:rPr>
                <w:rFonts w:ascii="Arial" w:cs="Arial" w:eastAsia="Arial" w:hAnsi="Arial"/>
                <w:sz w:val="17"/>
                <w:szCs w:val="17"/>
                <w:color w:val="auto"/>
              </w:rPr>
              <w:t>(1,322,151)</w:t>
            </w:r>
          </w:p>
        </w:tc>
        <w:tc>
          <w:tcPr>
            <w:tcW w:w="2520" w:type="dxa"/>
            <w:vAlign w:val="bottom"/>
            <w:gridSpan w:val="5"/>
          </w:tcPr>
          <w:p>
            <w:pPr>
              <w:jc w:val="right"/>
              <w:ind w:right="580"/>
              <w:spacing w:after="0"/>
              <w:rPr>
                <w:sz w:val="20"/>
                <w:szCs w:val="20"/>
                <w:color w:val="auto"/>
              </w:rPr>
            </w:pPr>
            <w:r>
              <w:rPr>
                <w:rFonts w:ascii="Arial" w:cs="Arial" w:eastAsia="Arial" w:hAnsi="Arial"/>
                <w:sz w:val="17"/>
                <w:szCs w:val="17"/>
                <w:color w:val="auto"/>
              </w:rPr>
              <w:t>1,322,151</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39.57</w:t>
            </w:r>
          </w:p>
        </w:tc>
        <w:tc>
          <w:tcPr>
            <w:tcW w:w="20" w:type="dxa"/>
            <w:vAlign w:val="bottom"/>
          </w:tcPr>
          <w:p>
            <w:pPr>
              <w:spacing w:after="0"/>
              <w:rPr>
                <w:sz w:val="24"/>
                <w:szCs w:val="24"/>
                <w:color w:val="auto"/>
              </w:rPr>
            </w:pPr>
          </w:p>
        </w:tc>
      </w:tr>
      <w:tr>
        <w:trPr>
          <w:trHeight w:val="288"/>
        </w:trPr>
        <w:tc>
          <w:tcPr>
            <w:tcW w:w="3940" w:type="dxa"/>
            <w:vAlign w:val="bottom"/>
          </w:tcPr>
          <w:p>
            <w:pPr>
              <w:ind w:left="40"/>
              <w:spacing w:after="0"/>
              <w:rPr>
                <w:sz w:val="20"/>
                <w:szCs w:val="20"/>
                <w:color w:val="auto"/>
              </w:rPr>
            </w:pPr>
            <w:r>
              <w:rPr>
                <w:rFonts w:ascii="Arial" w:cs="Arial" w:eastAsia="Arial" w:hAnsi="Arial"/>
                <w:sz w:val="17"/>
                <w:szCs w:val="17"/>
                <w:color w:val="auto"/>
              </w:rPr>
              <w:t>Exercised</w:t>
            </w:r>
          </w:p>
        </w:tc>
        <w:tc>
          <w:tcPr>
            <w:tcW w:w="19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7"/>
                <w:szCs w:val="17"/>
                <w:color w:val="auto"/>
              </w:rPr>
              <w:t>(170,195)</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25.72</w:t>
            </w:r>
          </w:p>
        </w:tc>
        <w:tc>
          <w:tcPr>
            <w:tcW w:w="20" w:type="dxa"/>
            <w:vAlign w:val="bottom"/>
          </w:tcPr>
          <w:p>
            <w:pPr>
              <w:spacing w:after="0"/>
              <w:rPr>
                <w:sz w:val="24"/>
                <w:szCs w:val="24"/>
                <w:color w:val="auto"/>
              </w:rPr>
            </w:pPr>
          </w:p>
        </w:tc>
      </w:tr>
      <w:tr>
        <w:trPr>
          <w:trHeight w:val="251"/>
        </w:trPr>
        <w:tc>
          <w:tcPr>
            <w:tcW w:w="3940" w:type="dxa"/>
            <w:vAlign w:val="bottom"/>
          </w:tcPr>
          <w:p>
            <w:pPr>
              <w:ind w:left="40"/>
              <w:spacing w:after="0"/>
              <w:rPr>
                <w:sz w:val="20"/>
                <w:szCs w:val="20"/>
                <w:color w:val="auto"/>
              </w:rPr>
            </w:pPr>
            <w:r>
              <w:rPr>
                <w:rFonts w:ascii="Arial" w:cs="Arial" w:eastAsia="Arial" w:hAnsi="Arial"/>
                <w:sz w:val="17"/>
                <w:szCs w:val="17"/>
                <w:color w:val="auto"/>
              </w:rPr>
              <w:t>Canceled</w:t>
            </w:r>
          </w:p>
        </w:tc>
        <w:tc>
          <w:tcPr>
            <w:tcW w:w="1300" w:type="dxa"/>
            <w:vAlign w:val="bottom"/>
            <w:gridSpan w:val="3"/>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31,388</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7"/>
                <w:szCs w:val="17"/>
                <w:color w:val="auto"/>
              </w:rPr>
              <w:t>(31,388)</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38.</w:t>
            </w:r>
            <w:r>
              <w:rPr>
                <w:rFonts w:ascii="Arial" w:cs="Arial" w:eastAsia="Arial" w:hAnsi="Arial"/>
                <w:sz w:val="17"/>
                <w:szCs w:val="17"/>
                <w:u w:val="single" w:color="auto"/>
                <w:color w:val="auto"/>
              </w:rPr>
              <w:t>90</w:t>
            </w:r>
          </w:p>
        </w:tc>
        <w:tc>
          <w:tcPr>
            <w:tcW w:w="2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5"/>
        </w:trPr>
        <w:tc>
          <w:tcPr>
            <w:tcW w:w="3940" w:type="dxa"/>
            <w:vAlign w:val="bottom"/>
          </w:tcPr>
          <w:p>
            <w:pPr>
              <w:ind w:left="40"/>
              <w:spacing w:after="0"/>
              <w:rPr>
                <w:sz w:val="20"/>
                <w:szCs w:val="20"/>
                <w:color w:val="auto"/>
              </w:rPr>
            </w:pPr>
            <w:r>
              <w:rPr>
                <w:rFonts w:ascii="Arial" w:cs="Arial" w:eastAsia="Arial" w:hAnsi="Arial"/>
                <w:sz w:val="17"/>
                <w:szCs w:val="17"/>
                <w:color w:val="auto"/>
              </w:rPr>
              <w:t>Balance December 31, 1999</w:t>
            </w:r>
          </w:p>
        </w:tc>
        <w:tc>
          <w:tcPr>
            <w:tcW w:w="1940" w:type="dxa"/>
            <w:vAlign w:val="bottom"/>
            <w:gridSpan w:val="5"/>
          </w:tcPr>
          <w:p>
            <w:pPr>
              <w:jc w:val="right"/>
              <w:spacing w:after="0"/>
              <w:rPr>
                <w:sz w:val="20"/>
                <w:szCs w:val="20"/>
                <w:color w:val="auto"/>
              </w:rPr>
            </w:pPr>
            <w:r>
              <w:rPr>
                <w:rFonts w:ascii="Arial" w:cs="Arial" w:eastAsia="Arial" w:hAnsi="Arial"/>
                <w:sz w:val="17"/>
                <w:szCs w:val="17"/>
                <w:color w:val="auto"/>
              </w:rPr>
              <w:t>1,339,552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7"/>
                <w:szCs w:val="17"/>
                <w:color w:val="auto"/>
              </w:rPr>
              <w:t>2,580,799</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33.25</w:t>
            </w:r>
          </w:p>
        </w:tc>
        <w:tc>
          <w:tcPr>
            <w:tcW w:w="20" w:type="dxa"/>
            <w:vAlign w:val="bottom"/>
          </w:tcPr>
          <w:p>
            <w:pPr>
              <w:spacing w:after="0"/>
              <w:rPr>
                <w:sz w:val="24"/>
                <w:szCs w:val="24"/>
                <w:color w:val="auto"/>
              </w:rPr>
            </w:pPr>
          </w:p>
        </w:tc>
      </w:tr>
      <w:tr>
        <w:trPr>
          <w:trHeight w:val="288"/>
        </w:trPr>
        <w:tc>
          <w:tcPr>
            <w:tcW w:w="3940" w:type="dxa"/>
            <w:vAlign w:val="bottom"/>
          </w:tcPr>
          <w:p>
            <w:pPr>
              <w:ind w:left="40"/>
              <w:spacing w:after="0"/>
              <w:rPr>
                <w:sz w:val="20"/>
                <w:szCs w:val="20"/>
                <w:color w:val="auto"/>
              </w:rPr>
            </w:pPr>
            <w:r>
              <w:rPr>
                <w:rFonts w:ascii="Arial" w:cs="Arial" w:eastAsia="Arial" w:hAnsi="Arial"/>
                <w:sz w:val="17"/>
                <w:szCs w:val="17"/>
                <w:color w:val="auto"/>
              </w:rPr>
              <w:t>Granted</w:t>
            </w:r>
          </w:p>
        </w:tc>
        <w:tc>
          <w:tcPr>
            <w:tcW w:w="2200" w:type="dxa"/>
            <w:vAlign w:val="bottom"/>
            <w:gridSpan w:val="7"/>
          </w:tcPr>
          <w:p>
            <w:pPr>
              <w:jc w:val="right"/>
              <w:ind w:right="220"/>
              <w:spacing w:after="0"/>
              <w:rPr>
                <w:sz w:val="20"/>
                <w:szCs w:val="20"/>
                <w:color w:val="auto"/>
              </w:rPr>
            </w:pPr>
            <w:r>
              <w:rPr>
                <w:rFonts w:ascii="Arial" w:cs="Arial" w:eastAsia="Arial" w:hAnsi="Arial"/>
                <w:sz w:val="17"/>
                <w:szCs w:val="17"/>
                <w:color w:val="auto"/>
              </w:rPr>
              <w:t>(107,000)</w:t>
            </w:r>
          </w:p>
        </w:tc>
        <w:tc>
          <w:tcPr>
            <w:tcW w:w="2520" w:type="dxa"/>
            <w:vAlign w:val="bottom"/>
            <w:gridSpan w:val="5"/>
          </w:tcPr>
          <w:p>
            <w:pPr>
              <w:jc w:val="right"/>
              <w:ind w:right="580"/>
              <w:spacing w:after="0"/>
              <w:rPr>
                <w:sz w:val="20"/>
                <w:szCs w:val="20"/>
                <w:color w:val="auto"/>
              </w:rPr>
            </w:pPr>
            <w:r>
              <w:rPr>
                <w:rFonts w:ascii="Arial" w:cs="Arial" w:eastAsia="Arial" w:hAnsi="Arial"/>
                <w:sz w:val="17"/>
                <w:szCs w:val="17"/>
                <w:color w:val="auto"/>
              </w:rPr>
              <w:t>107,000</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50.34</w:t>
            </w:r>
          </w:p>
        </w:tc>
        <w:tc>
          <w:tcPr>
            <w:tcW w:w="20" w:type="dxa"/>
            <w:vAlign w:val="bottom"/>
          </w:tcPr>
          <w:p>
            <w:pPr>
              <w:spacing w:after="0"/>
              <w:rPr>
                <w:sz w:val="24"/>
                <w:szCs w:val="24"/>
                <w:color w:val="auto"/>
              </w:rPr>
            </w:pPr>
          </w:p>
        </w:tc>
      </w:tr>
      <w:tr>
        <w:trPr>
          <w:trHeight w:val="288"/>
        </w:trPr>
        <w:tc>
          <w:tcPr>
            <w:tcW w:w="3940" w:type="dxa"/>
            <w:vAlign w:val="bottom"/>
          </w:tcPr>
          <w:p>
            <w:pPr>
              <w:ind w:left="40"/>
              <w:spacing w:after="0"/>
              <w:rPr>
                <w:sz w:val="20"/>
                <w:szCs w:val="20"/>
                <w:color w:val="auto"/>
              </w:rPr>
            </w:pPr>
            <w:r>
              <w:rPr>
                <w:rFonts w:ascii="Arial" w:cs="Arial" w:eastAsia="Arial" w:hAnsi="Arial"/>
                <w:sz w:val="17"/>
                <w:szCs w:val="17"/>
                <w:color w:val="auto"/>
              </w:rPr>
              <w:t>Exercised</w:t>
            </w:r>
          </w:p>
        </w:tc>
        <w:tc>
          <w:tcPr>
            <w:tcW w:w="19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7"/>
                <w:szCs w:val="17"/>
                <w:color w:val="auto"/>
              </w:rPr>
              <w:t>(148,148)</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28.20</w:t>
            </w:r>
          </w:p>
        </w:tc>
        <w:tc>
          <w:tcPr>
            <w:tcW w:w="20" w:type="dxa"/>
            <w:vAlign w:val="bottom"/>
          </w:tcPr>
          <w:p>
            <w:pPr>
              <w:spacing w:after="0"/>
              <w:rPr>
                <w:sz w:val="24"/>
                <w:szCs w:val="24"/>
                <w:color w:val="auto"/>
              </w:rPr>
            </w:pPr>
          </w:p>
        </w:tc>
      </w:tr>
      <w:tr>
        <w:trPr>
          <w:trHeight w:val="251"/>
        </w:trPr>
        <w:tc>
          <w:tcPr>
            <w:tcW w:w="3940" w:type="dxa"/>
            <w:vAlign w:val="bottom"/>
          </w:tcPr>
          <w:p>
            <w:pPr>
              <w:ind w:left="40"/>
              <w:spacing w:after="0"/>
              <w:rPr>
                <w:sz w:val="20"/>
                <w:szCs w:val="20"/>
                <w:color w:val="auto"/>
              </w:rPr>
            </w:pPr>
            <w:r>
              <w:rPr>
                <w:rFonts w:ascii="Arial" w:cs="Arial" w:eastAsia="Arial" w:hAnsi="Arial"/>
                <w:sz w:val="17"/>
                <w:szCs w:val="17"/>
                <w:color w:val="auto"/>
              </w:rPr>
              <w:t>Canceled</w:t>
            </w:r>
          </w:p>
        </w:tc>
        <w:tc>
          <w:tcPr>
            <w:tcW w:w="1380" w:type="dxa"/>
            <w:vAlign w:val="bottom"/>
            <w:gridSpan w:val="4"/>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20,437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7"/>
                <w:szCs w:val="17"/>
                <w:color w:val="auto"/>
              </w:rPr>
              <w:t>(20,437)</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39.</w:t>
            </w:r>
            <w:r>
              <w:rPr>
                <w:rFonts w:ascii="Arial" w:cs="Arial" w:eastAsia="Arial" w:hAnsi="Arial"/>
                <w:sz w:val="17"/>
                <w:szCs w:val="17"/>
                <w:u w:val="single" w:color="auto"/>
                <w:color w:val="auto"/>
              </w:rPr>
              <w:t>26</w:t>
            </w:r>
          </w:p>
        </w:tc>
        <w:tc>
          <w:tcPr>
            <w:tcW w:w="2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3940" w:type="dxa"/>
            <w:vAlign w:val="bottom"/>
          </w:tcPr>
          <w:p>
            <w:pPr>
              <w:ind w:left="40"/>
              <w:spacing w:after="0"/>
              <w:rPr>
                <w:sz w:val="20"/>
                <w:szCs w:val="20"/>
                <w:color w:val="auto"/>
              </w:rPr>
            </w:pPr>
            <w:r>
              <w:rPr>
                <w:rFonts w:ascii="Arial" w:cs="Arial" w:eastAsia="Arial" w:hAnsi="Arial"/>
                <w:sz w:val="17"/>
                <w:szCs w:val="17"/>
                <w:color w:val="auto"/>
              </w:rPr>
              <w:t>Balance December 31, 2000</w:t>
            </w:r>
          </w:p>
        </w:tc>
        <w:tc>
          <w:tcPr>
            <w:tcW w:w="1940" w:type="dxa"/>
            <w:vAlign w:val="bottom"/>
            <w:gridSpan w:val="5"/>
          </w:tcPr>
          <w:p>
            <w:pPr>
              <w:jc w:val="right"/>
              <w:spacing w:after="0"/>
              <w:rPr>
                <w:sz w:val="20"/>
                <w:szCs w:val="20"/>
                <w:color w:val="auto"/>
              </w:rPr>
            </w:pPr>
            <w:r>
              <w:rPr>
                <w:rFonts w:ascii="Arial" w:cs="Arial" w:eastAsia="Arial" w:hAnsi="Arial"/>
                <w:sz w:val="17"/>
                <w:szCs w:val="17"/>
                <w:color w:val="auto"/>
              </w:rPr>
              <w:t>1,252,989</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7"/>
                <w:szCs w:val="17"/>
                <w:color w:val="auto"/>
              </w:rPr>
              <w:t>2,519,214</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34.23</w:t>
            </w:r>
          </w:p>
        </w:tc>
        <w:tc>
          <w:tcPr>
            <w:tcW w:w="20" w:type="dxa"/>
            <w:vAlign w:val="bottom"/>
          </w:tcPr>
          <w:p>
            <w:pPr>
              <w:spacing w:after="0"/>
              <w:rPr>
                <w:sz w:val="23"/>
                <w:szCs w:val="23"/>
                <w:color w:val="auto"/>
              </w:rPr>
            </w:pPr>
          </w:p>
        </w:tc>
      </w:tr>
      <w:tr>
        <w:trPr>
          <w:trHeight w:val="216"/>
        </w:trPr>
        <w:tc>
          <w:tcPr>
            <w:tcW w:w="3940" w:type="dxa"/>
            <w:vAlign w:val="bottom"/>
          </w:tcPr>
          <w:p>
            <w:pPr>
              <w:spacing w:after="0"/>
              <w:rPr>
                <w:sz w:val="18"/>
                <w:szCs w:val="18"/>
                <w:color w:val="auto"/>
              </w:rPr>
            </w:pPr>
          </w:p>
        </w:tc>
        <w:tc>
          <w:tcPr>
            <w:tcW w:w="1980" w:type="dxa"/>
            <w:vAlign w:val="bottom"/>
            <w:gridSpan w:val="6"/>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7"/>
                <w:szCs w:val="17"/>
                <w:color w:val="auto"/>
              </w:rPr>
              <w:t>=======</w:t>
            </w:r>
          </w:p>
        </w:tc>
        <w:tc>
          <w:tcPr>
            <w:tcW w:w="140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r>
    </w:tbl>
    <w:p>
      <w:pPr>
        <w:spacing w:after="0" w:line="190" w:lineRule="exact"/>
        <w:rPr>
          <w:sz w:val="20"/>
          <w:szCs w:val="20"/>
          <w:color w:val="auto"/>
        </w:rPr>
      </w:pPr>
    </w:p>
    <w:p>
      <w:pPr>
        <w:jc w:val="both"/>
        <w:ind w:right="80" w:firstLine="213"/>
        <w:spacing w:after="0" w:line="269" w:lineRule="auto"/>
        <w:rPr>
          <w:sz w:val="20"/>
          <w:szCs w:val="20"/>
          <w:color w:val="auto"/>
        </w:rPr>
      </w:pPr>
      <w:r>
        <w:rPr>
          <w:rFonts w:ascii="Arial" w:cs="Arial" w:eastAsia="Arial" w:hAnsi="Arial"/>
          <w:sz w:val="17"/>
          <w:szCs w:val="17"/>
          <w:color w:val="auto"/>
        </w:rPr>
        <w:t>SFAS No. 123, "Accounting for Stock-Based Compensation," requires the disclosure of pro forma net income and net income per share as if the Company adopted the fair-value method of accounting for stock-based awards. The fair value of stock-based awards to employees was calculated using the Black-Scholes option-pricing model, modified for dividends, with the following weighted average assumptions: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shd w:val="clear" w:color="auto" w:fill="C0C0C0"/>
          </w:tcPr>
          <w:p>
            <w:pPr>
              <w:spacing w:after="0"/>
              <w:rPr>
                <w:sz w:val="19"/>
                <w:szCs w:val="19"/>
                <w:color w:val="auto"/>
              </w:rPr>
            </w:pPr>
          </w:p>
        </w:tc>
        <w:tc>
          <w:tcPr>
            <w:tcW w:w="2060" w:type="dxa"/>
            <w:vAlign w:val="bottom"/>
            <w:gridSpan w:val="3"/>
            <w:shd w:val="clear" w:color="auto" w:fill="C0C0C0"/>
          </w:tcPr>
          <w:p>
            <w:pPr>
              <w:jc w:val="right"/>
              <w:ind w:right="420"/>
              <w:spacing w:after="0"/>
              <w:rPr>
                <w:sz w:val="20"/>
                <w:szCs w:val="20"/>
                <w:color w:val="auto"/>
              </w:rPr>
            </w:pPr>
            <w:r>
              <w:rPr>
                <w:rFonts w:ascii="Arial" w:cs="Arial" w:eastAsia="Arial" w:hAnsi="Arial"/>
                <w:sz w:val="17"/>
                <w:szCs w:val="17"/>
                <w:b w:val="1"/>
                <w:bCs w:val="1"/>
                <w:color w:val="auto"/>
              </w:rPr>
              <w:t>2000</w:t>
            </w: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142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b w:val="1"/>
                <w:bCs w:val="1"/>
                <w:color w:val="auto"/>
              </w:rPr>
              <w:t>1998</w:t>
            </w:r>
          </w:p>
        </w:tc>
      </w:tr>
      <w:tr>
        <w:trPr>
          <w:trHeight w:val="98"/>
        </w:trPr>
        <w:tc>
          <w:tcPr>
            <w:tcW w:w="2840" w:type="dxa"/>
            <w:vAlign w:val="bottom"/>
            <w:tcBorders>
              <w:top w:val="single" w:sz="8" w:color="C0C0C0"/>
            </w:tcBorders>
            <w:shd w:val="clear" w:color="auto" w:fill="C0C0C0"/>
          </w:tcPr>
          <w:p>
            <w:pPr>
              <w:spacing w:after="0"/>
              <w:rPr>
                <w:sz w:val="8"/>
                <w:szCs w:val="8"/>
                <w:color w:val="auto"/>
              </w:rPr>
            </w:pPr>
          </w:p>
        </w:tc>
        <w:tc>
          <w:tcPr>
            <w:tcW w:w="1300" w:type="dxa"/>
            <w:vAlign w:val="bottom"/>
            <w:tcBorders>
              <w:top w:val="single" w:sz="8" w:color="C0C0C0"/>
            </w:tcBorders>
            <w:shd w:val="clear" w:color="auto" w:fill="C0C0C0"/>
          </w:tcPr>
          <w:p>
            <w:pPr>
              <w:spacing w:after="0"/>
              <w:rPr>
                <w:sz w:val="8"/>
                <w:szCs w:val="8"/>
                <w:color w:val="auto"/>
              </w:rPr>
            </w:pPr>
          </w:p>
        </w:tc>
        <w:tc>
          <w:tcPr>
            <w:tcW w:w="340" w:type="dxa"/>
            <w:vAlign w:val="bottom"/>
            <w:tcBorders>
              <w:top w:val="single" w:sz="8" w:color="auto"/>
            </w:tcBorders>
            <w:shd w:val="clear" w:color="auto" w:fill="C0C0C0"/>
          </w:tcPr>
          <w:p>
            <w:pPr>
              <w:spacing w:after="0"/>
              <w:rPr>
                <w:sz w:val="8"/>
                <w:szCs w:val="8"/>
                <w:color w:val="auto"/>
              </w:rPr>
            </w:pPr>
          </w:p>
        </w:tc>
        <w:tc>
          <w:tcPr>
            <w:tcW w:w="420" w:type="dxa"/>
            <w:vAlign w:val="bottom"/>
            <w:tcBorders>
              <w:top w:val="single" w:sz="8" w:color="C0C0C0"/>
            </w:tcBorders>
            <w:shd w:val="clear" w:color="auto" w:fill="C0C0C0"/>
          </w:tcPr>
          <w:p>
            <w:pPr>
              <w:spacing w:after="0"/>
              <w:rPr>
                <w:sz w:val="8"/>
                <w:szCs w:val="8"/>
                <w:color w:val="auto"/>
              </w:rPr>
            </w:pPr>
          </w:p>
        </w:tc>
        <w:tc>
          <w:tcPr>
            <w:tcW w:w="620" w:type="dxa"/>
            <w:vAlign w:val="bottom"/>
            <w:tcBorders>
              <w:top w:val="single" w:sz="8" w:color="C0C0C0"/>
            </w:tcBorders>
            <w:shd w:val="clear" w:color="auto" w:fill="C0C0C0"/>
          </w:tcPr>
          <w:p>
            <w:pPr>
              <w:spacing w:after="0"/>
              <w:rPr>
                <w:sz w:val="8"/>
                <w:szCs w:val="8"/>
                <w:color w:val="auto"/>
              </w:rPr>
            </w:pPr>
          </w:p>
        </w:tc>
        <w:tc>
          <w:tcPr>
            <w:tcW w:w="340" w:type="dxa"/>
            <w:vAlign w:val="bottom"/>
            <w:tcBorders>
              <w:top w:val="single" w:sz="8" w:color="auto"/>
            </w:tcBorders>
            <w:shd w:val="clear" w:color="auto" w:fill="C0C0C0"/>
          </w:tcPr>
          <w:p>
            <w:pPr>
              <w:spacing w:after="0"/>
              <w:rPr>
                <w:sz w:val="8"/>
                <w:szCs w:val="8"/>
                <w:color w:val="auto"/>
              </w:rPr>
            </w:pPr>
          </w:p>
        </w:tc>
        <w:tc>
          <w:tcPr>
            <w:tcW w:w="1040" w:type="dxa"/>
            <w:vAlign w:val="bottom"/>
            <w:tcBorders>
              <w:top w:val="single" w:sz="8" w:color="C0C0C0"/>
            </w:tcBorders>
            <w:shd w:val="clear" w:color="auto" w:fill="C0C0C0"/>
          </w:tcPr>
          <w:p>
            <w:pPr>
              <w:spacing w:after="0"/>
              <w:rPr>
                <w:sz w:val="8"/>
                <w:szCs w:val="8"/>
                <w:color w:val="auto"/>
              </w:rPr>
            </w:pPr>
          </w:p>
        </w:tc>
        <w:tc>
          <w:tcPr>
            <w:tcW w:w="340" w:type="dxa"/>
            <w:vAlign w:val="bottom"/>
            <w:tcBorders>
              <w:top w:val="single" w:sz="8" w:color="auto"/>
            </w:tcBorders>
            <w:shd w:val="clear" w:color="auto" w:fill="C0C0C0"/>
          </w:tcPr>
          <w:p>
            <w:pPr>
              <w:spacing w:after="0"/>
              <w:rPr>
                <w:sz w:val="8"/>
                <w:szCs w:val="8"/>
                <w:color w:val="auto"/>
              </w:rPr>
            </w:pPr>
          </w:p>
        </w:tc>
        <w:tc>
          <w:tcPr>
            <w:tcW w:w="40" w:type="dxa"/>
            <w:vAlign w:val="bottom"/>
            <w:tcBorders>
              <w:top w:val="single" w:sz="8" w:color="C0C0C0"/>
            </w:tcBorders>
            <w:shd w:val="clear" w:color="auto" w:fill="C0C0C0"/>
          </w:tcPr>
          <w:p>
            <w:pPr>
              <w:spacing w:after="0"/>
              <w:rPr>
                <w:sz w:val="8"/>
                <w:szCs w:val="8"/>
                <w:color w:val="auto"/>
              </w:rPr>
            </w:pPr>
          </w:p>
        </w:tc>
      </w:tr>
      <w:tr>
        <w:trPr>
          <w:trHeight w:val="260"/>
        </w:trPr>
        <w:tc>
          <w:tcPr>
            <w:tcW w:w="2840" w:type="dxa"/>
            <w:vAlign w:val="bottom"/>
          </w:tcPr>
          <w:p>
            <w:pPr>
              <w:ind w:left="60"/>
              <w:spacing w:after="0"/>
              <w:rPr>
                <w:sz w:val="20"/>
                <w:szCs w:val="20"/>
                <w:color w:val="auto"/>
              </w:rPr>
            </w:pPr>
            <w:r>
              <w:rPr>
                <w:rFonts w:ascii="Arial" w:cs="Arial" w:eastAsia="Arial" w:hAnsi="Arial"/>
                <w:sz w:val="17"/>
                <w:szCs w:val="17"/>
                <w:color w:val="auto"/>
              </w:rPr>
              <w:t>Expected life (years)</w:t>
            </w:r>
          </w:p>
        </w:tc>
        <w:tc>
          <w:tcPr>
            <w:tcW w:w="164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4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22"/>
                <w:szCs w:val="22"/>
                <w:color w:val="auto"/>
              </w:rPr>
            </w:pPr>
          </w:p>
        </w:tc>
      </w:tr>
      <w:tr>
        <w:trPr>
          <w:trHeight w:val="314"/>
        </w:trPr>
        <w:tc>
          <w:tcPr>
            <w:tcW w:w="2840" w:type="dxa"/>
            <w:vAlign w:val="bottom"/>
          </w:tcPr>
          <w:p>
            <w:pPr>
              <w:ind w:left="60"/>
              <w:spacing w:after="0"/>
              <w:rPr>
                <w:sz w:val="20"/>
                <w:szCs w:val="20"/>
                <w:color w:val="auto"/>
              </w:rPr>
            </w:pPr>
            <w:r>
              <w:rPr>
                <w:rFonts w:ascii="Arial" w:cs="Arial" w:eastAsia="Arial" w:hAnsi="Arial"/>
                <w:sz w:val="17"/>
                <w:szCs w:val="17"/>
                <w:color w:val="auto"/>
              </w:rPr>
              <w:t>Interest rate</w:t>
            </w:r>
          </w:p>
        </w:tc>
        <w:tc>
          <w:tcPr>
            <w:tcW w:w="2060" w:type="dxa"/>
            <w:vAlign w:val="bottom"/>
            <w:gridSpan w:val="3"/>
          </w:tcPr>
          <w:p>
            <w:pPr>
              <w:jc w:val="right"/>
              <w:ind w:right="420"/>
              <w:spacing w:after="0"/>
              <w:rPr>
                <w:sz w:val="20"/>
                <w:szCs w:val="20"/>
                <w:color w:val="auto"/>
              </w:rPr>
            </w:pPr>
            <w:r>
              <w:rPr>
                <w:rFonts w:ascii="Arial" w:cs="Arial" w:eastAsia="Arial" w:hAnsi="Arial"/>
                <w:sz w:val="17"/>
                <w:szCs w:val="17"/>
                <w:color w:val="auto"/>
              </w:rPr>
              <w:t>5.03%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6.65%</w:t>
            </w:r>
          </w:p>
        </w:tc>
        <w:tc>
          <w:tcPr>
            <w:tcW w:w="1420" w:type="dxa"/>
            <w:vAlign w:val="bottom"/>
            <w:gridSpan w:val="3"/>
          </w:tcPr>
          <w:p>
            <w:pPr>
              <w:jc w:val="right"/>
              <w:ind w:right="40"/>
              <w:spacing w:after="0"/>
              <w:rPr>
                <w:sz w:val="20"/>
                <w:szCs w:val="20"/>
                <w:color w:val="auto"/>
              </w:rPr>
            </w:pPr>
            <w:r>
              <w:rPr>
                <w:rFonts w:ascii="Arial" w:cs="Arial" w:eastAsia="Arial" w:hAnsi="Arial"/>
                <w:sz w:val="17"/>
                <w:szCs w:val="17"/>
                <w:color w:val="auto"/>
              </w:rPr>
              <w:t>5.03%</w:t>
            </w:r>
          </w:p>
        </w:tc>
      </w:tr>
      <w:tr>
        <w:trPr>
          <w:trHeight w:val="314"/>
        </w:trPr>
        <w:tc>
          <w:tcPr>
            <w:tcW w:w="2840" w:type="dxa"/>
            <w:vAlign w:val="bottom"/>
          </w:tcPr>
          <w:p>
            <w:pPr>
              <w:ind w:left="60"/>
              <w:spacing w:after="0"/>
              <w:rPr>
                <w:sz w:val="20"/>
                <w:szCs w:val="20"/>
                <w:color w:val="auto"/>
              </w:rPr>
            </w:pPr>
            <w:r>
              <w:rPr>
                <w:rFonts w:ascii="Arial" w:cs="Arial" w:eastAsia="Arial" w:hAnsi="Arial"/>
                <w:sz w:val="17"/>
                <w:szCs w:val="17"/>
                <w:color w:val="auto"/>
              </w:rPr>
              <w:t>Volatility</w:t>
            </w:r>
          </w:p>
        </w:tc>
        <w:tc>
          <w:tcPr>
            <w:tcW w:w="2060" w:type="dxa"/>
            <w:vAlign w:val="bottom"/>
            <w:gridSpan w:val="3"/>
          </w:tcPr>
          <w:p>
            <w:pPr>
              <w:jc w:val="right"/>
              <w:ind w:right="420"/>
              <w:spacing w:after="0"/>
              <w:rPr>
                <w:sz w:val="20"/>
                <w:szCs w:val="20"/>
                <w:color w:val="auto"/>
              </w:rPr>
            </w:pPr>
            <w:r>
              <w:rPr>
                <w:rFonts w:ascii="Arial" w:cs="Arial" w:eastAsia="Arial" w:hAnsi="Arial"/>
                <w:sz w:val="17"/>
                <w:szCs w:val="17"/>
                <w:color w:val="auto"/>
              </w:rPr>
              <w:t>31.13%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28.20%</w:t>
            </w:r>
          </w:p>
        </w:tc>
        <w:tc>
          <w:tcPr>
            <w:tcW w:w="1420" w:type="dxa"/>
            <w:vAlign w:val="bottom"/>
            <w:gridSpan w:val="3"/>
          </w:tcPr>
          <w:p>
            <w:pPr>
              <w:jc w:val="right"/>
              <w:ind w:right="40"/>
              <w:spacing w:after="0"/>
              <w:rPr>
                <w:sz w:val="20"/>
                <w:szCs w:val="20"/>
                <w:color w:val="auto"/>
              </w:rPr>
            </w:pPr>
            <w:r>
              <w:rPr>
                <w:rFonts w:ascii="Arial" w:cs="Arial" w:eastAsia="Arial" w:hAnsi="Arial"/>
                <w:sz w:val="17"/>
                <w:szCs w:val="17"/>
                <w:color w:val="auto"/>
              </w:rPr>
              <w:t>28.10%</w:t>
            </w:r>
          </w:p>
        </w:tc>
      </w:tr>
      <w:tr>
        <w:trPr>
          <w:trHeight w:val="314"/>
        </w:trPr>
        <w:tc>
          <w:tcPr>
            <w:tcW w:w="2840" w:type="dxa"/>
            <w:vAlign w:val="bottom"/>
          </w:tcPr>
          <w:p>
            <w:pPr>
              <w:ind w:left="60"/>
              <w:spacing w:after="0"/>
              <w:rPr>
                <w:sz w:val="20"/>
                <w:szCs w:val="20"/>
                <w:color w:val="auto"/>
              </w:rPr>
            </w:pPr>
            <w:r>
              <w:rPr>
                <w:rFonts w:ascii="Arial" w:cs="Arial" w:eastAsia="Arial" w:hAnsi="Arial"/>
                <w:sz w:val="17"/>
                <w:szCs w:val="17"/>
                <w:color w:val="auto"/>
              </w:rPr>
              <w:t>Expected dividend yield</w:t>
            </w:r>
          </w:p>
        </w:tc>
        <w:tc>
          <w:tcPr>
            <w:tcW w:w="2060" w:type="dxa"/>
            <w:vAlign w:val="bottom"/>
            <w:gridSpan w:val="3"/>
          </w:tcPr>
          <w:p>
            <w:pPr>
              <w:jc w:val="right"/>
              <w:ind w:right="420"/>
              <w:spacing w:after="0"/>
              <w:rPr>
                <w:sz w:val="20"/>
                <w:szCs w:val="20"/>
                <w:color w:val="auto"/>
              </w:rPr>
            </w:pPr>
            <w:r>
              <w:rPr>
                <w:rFonts w:ascii="Arial" w:cs="Arial" w:eastAsia="Arial" w:hAnsi="Arial"/>
                <w:sz w:val="17"/>
                <w:szCs w:val="17"/>
                <w:color w:val="auto"/>
              </w:rPr>
              <w:t>0.20%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0.25%</w:t>
            </w:r>
          </w:p>
        </w:tc>
        <w:tc>
          <w:tcPr>
            <w:tcW w:w="1420" w:type="dxa"/>
            <w:vAlign w:val="bottom"/>
            <w:gridSpan w:val="3"/>
          </w:tcPr>
          <w:p>
            <w:pPr>
              <w:jc w:val="right"/>
              <w:ind w:right="40"/>
              <w:spacing w:after="0"/>
              <w:rPr>
                <w:sz w:val="20"/>
                <w:szCs w:val="20"/>
                <w:color w:val="auto"/>
              </w:rPr>
            </w:pPr>
            <w:r>
              <w:rPr>
                <w:rFonts w:ascii="Arial" w:cs="Arial" w:eastAsia="Arial" w:hAnsi="Arial"/>
                <w:sz w:val="17"/>
                <w:szCs w:val="17"/>
                <w:color w:val="auto"/>
              </w:rPr>
              <w:t>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firstLine="203"/>
        <w:spacing w:after="0" w:line="269" w:lineRule="auto"/>
        <w:rPr>
          <w:sz w:val="20"/>
          <w:szCs w:val="20"/>
          <w:color w:val="auto"/>
        </w:rPr>
      </w:pPr>
      <w:r>
        <w:rPr>
          <w:rFonts w:ascii="Arial" w:cs="Arial" w:eastAsia="Arial" w:hAnsi="Arial"/>
          <w:sz w:val="17"/>
          <w:szCs w:val="17"/>
          <w:color w:val="auto"/>
        </w:rPr>
        <w:t>As required by SFAS No. 123, the Company has determined that the weighted average estimated fair values of options granted in 2000, 1999 and 1998 were $21.85, $17.69 and $15.47 per share, respectively. Pro forma net income and earnings per share reflecting compensation cost for the fair value of stock options awarded in 2000, 1999 and 1998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Millions of Dollars, Except</w:t>
            </w:r>
          </w:p>
        </w:tc>
        <w:tc>
          <w:tcPr>
            <w:tcW w:w="244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70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0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Per Share Amounts</w:t>
            </w:r>
          </w:p>
        </w:tc>
        <w:tc>
          <w:tcPr>
            <w:tcW w:w="2440" w:type="dxa"/>
            <w:vAlign w:val="bottom"/>
            <w:shd w:val="clear" w:color="auto" w:fill="C0C0C0"/>
          </w:tcPr>
          <w:p>
            <w:pPr>
              <w:spacing w:after="0"/>
              <w:rPr>
                <w:sz w:val="19"/>
                <w:szCs w:val="19"/>
                <w:color w:val="auto"/>
              </w:rPr>
            </w:pPr>
          </w:p>
        </w:tc>
        <w:tc>
          <w:tcPr>
            <w:tcW w:w="1200" w:type="dxa"/>
            <w:vAlign w:val="bottom"/>
            <w:gridSpan w:val="2"/>
            <w:vMerge w:val="restart"/>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2060" w:type="dxa"/>
            <w:vAlign w:val="bottom"/>
            <w:gridSpan w:val="2"/>
            <w:vMerge w:val="restart"/>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1400" w:type="dxa"/>
            <w:vAlign w:val="bottom"/>
            <w:gridSpan w:val="2"/>
            <w:vMerge w:val="restart"/>
            <w:shd w:val="clear" w:color="auto" w:fill="C0C0C0"/>
          </w:tcPr>
          <w:p>
            <w:pPr>
              <w:jc w:val="right"/>
              <w:spacing w:after="0"/>
              <w:rPr>
                <w:sz w:val="20"/>
                <w:szCs w:val="20"/>
                <w:color w:val="auto"/>
              </w:rPr>
            </w:pPr>
            <w:r>
              <w:rPr>
                <w:rFonts w:ascii="Arial" w:cs="Arial" w:eastAsia="Arial" w:hAnsi="Arial"/>
                <w:sz w:val="17"/>
                <w:szCs w:val="17"/>
                <w:b w:val="1"/>
                <w:bCs w:val="1"/>
                <w:color w:val="auto"/>
              </w:rPr>
              <w:t>1998</w:t>
            </w:r>
          </w:p>
        </w:tc>
        <w:tc>
          <w:tcPr>
            <w:tcW w:w="0" w:type="dxa"/>
            <w:vAlign w:val="bottom"/>
          </w:tcPr>
          <w:p>
            <w:pPr>
              <w:spacing w:after="0"/>
              <w:rPr>
                <w:sz w:val="1"/>
                <w:szCs w:val="1"/>
                <w:color w:val="auto"/>
              </w:rPr>
            </w:pPr>
          </w:p>
        </w:tc>
      </w:tr>
      <w:tr>
        <w:trPr>
          <w:trHeight w:val="173"/>
        </w:trPr>
        <w:tc>
          <w:tcPr>
            <w:tcW w:w="2800" w:type="dxa"/>
            <w:vAlign w:val="bottom"/>
            <w:shd w:val="clear" w:color="auto" w:fill="C0C0C0"/>
          </w:tcPr>
          <w:p>
            <w:pPr>
              <w:spacing w:after="0"/>
              <w:rPr>
                <w:sz w:val="15"/>
                <w:szCs w:val="15"/>
                <w:color w:val="auto"/>
              </w:rPr>
            </w:pPr>
          </w:p>
        </w:tc>
        <w:tc>
          <w:tcPr>
            <w:tcW w:w="2440" w:type="dxa"/>
            <w:vAlign w:val="bottom"/>
            <w:shd w:val="clear" w:color="auto" w:fill="C0C0C0"/>
          </w:tcPr>
          <w:p>
            <w:pPr>
              <w:spacing w:after="0"/>
              <w:rPr>
                <w:sz w:val="15"/>
                <w:szCs w:val="15"/>
                <w:color w:val="auto"/>
              </w:rPr>
            </w:pPr>
          </w:p>
        </w:tc>
        <w:tc>
          <w:tcPr>
            <w:tcW w:w="1200" w:type="dxa"/>
            <w:vAlign w:val="bottom"/>
            <w:gridSpan w:val="2"/>
            <w:vMerge w:val="continue"/>
            <w:shd w:val="clear" w:color="auto" w:fill="C0C0C0"/>
          </w:tcPr>
          <w:p>
            <w:pPr>
              <w:spacing w:after="0"/>
              <w:rPr>
                <w:sz w:val="15"/>
                <w:szCs w:val="15"/>
                <w:color w:val="auto"/>
              </w:rPr>
            </w:pPr>
          </w:p>
        </w:tc>
        <w:tc>
          <w:tcPr>
            <w:tcW w:w="2060" w:type="dxa"/>
            <w:vAlign w:val="bottom"/>
            <w:gridSpan w:val="2"/>
            <w:vMerge w:val="continue"/>
            <w:shd w:val="clear" w:color="auto" w:fill="C0C0C0"/>
          </w:tcPr>
          <w:p>
            <w:pPr>
              <w:spacing w:after="0"/>
              <w:rPr>
                <w:sz w:val="15"/>
                <w:szCs w:val="15"/>
                <w:color w:val="auto"/>
              </w:rPr>
            </w:pPr>
          </w:p>
        </w:tc>
        <w:tc>
          <w:tcPr>
            <w:tcW w:w="1400" w:type="dxa"/>
            <w:vAlign w:val="bottom"/>
            <w:gridSpan w:val="2"/>
            <w:vMerge w:val="continue"/>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800" w:type="dxa"/>
            <w:vAlign w:val="bottom"/>
            <w:tcBorders>
              <w:top w:val="single" w:sz="8" w:color="C0C0C0"/>
            </w:tcBorders>
            <w:shd w:val="clear" w:color="auto" w:fill="C0C0C0"/>
          </w:tcPr>
          <w:p>
            <w:pPr>
              <w:spacing w:after="0"/>
              <w:rPr>
                <w:sz w:val="3"/>
                <w:szCs w:val="3"/>
                <w:color w:val="auto"/>
              </w:rPr>
            </w:pPr>
          </w:p>
        </w:tc>
        <w:tc>
          <w:tcPr>
            <w:tcW w:w="2440" w:type="dxa"/>
            <w:vAlign w:val="bottom"/>
            <w:tcBorders>
              <w:top w:val="single" w:sz="8" w:color="C0C0C0"/>
            </w:tcBorders>
            <w:shd w:val="clear" w:color="auto" w:fill="C0C0C0"/>
          </w:tcPr>
          <w:p>
            <w:pPr>
              <w:spacing w:after="0"/>
              <w:rPr>
                <w:sz w:val="3"/>
                <w:szCs w:val="3"/>
                <w:color w:val="auto"/>
              </w:rPr>
            </w:pPr>
          </w:p>
        </w:tc>
        <w:tc>
          <w:tcPr>
            <w:tcW w:w="860" w:type="dxa"/>
            <w:vAlign w:val="bottom"/>
            <w:tcBorders>
              <w:top w:val="single" w:sz="8" w:color="C0C0C0"/>
            </w:tcBorders>
            <w:shd w:val="clear" w:color="auto" w:fill="C0C0C0"/>
          </w:tcPr>
          <w:p>
            <w:pPr>
              <w:spacing w:after="0"/>
              <w:rPr>
                <w:sz w:val="3"/>
                <w:szCs w:val="3"/>
                <w:color w:val="auto"/>
              </w:rPr>
            </w:pPr>
          </w:p>
        </w:tc>
        <w:tc>
          <w:tcPr>
            <w:tcW w:w="340" w:type="dxa"/>
            <w:vAlign w:val="bottom"/>
            <w:tcBorders>
              <w:top w:val="single" w:sz="8" w:color="auto"/>
            </w:tcBorders>
            <w:shd w:val="clear" w:color="auto" w:fill="C0C0C0"/>
          </w:tcPr>
          <w:p>
            <w:pPr>
              <w:spacing w:after="0"/>
              <w:rPr>
                <w:sz w:val="3"/>
                <w:szCs w:val="3"/>
                <w:color w:val="auto"/>
              </w:rPr>
            </w:pPr>
          </w:p>
        </w:tc>
        <w:tc>
          <w:tcPr>
            <w:tcW w:w="1700" w:type="dxa"/>
            <w:vAlign w:val="bottom"/>
            <w:tcBorders>
              <w:top w:val="single" w:sz="8" w:color="C0C0C0"/>
            </w:tcBorders>
            <w:shd w:val="clear" w:color="auto" w:fill="C0C0C0"/>
          </w:tcPr>
          <w:p>
            <w:pPr>
              <w:spacing w:after="0"/>
              <w:rPr>
                <w:sz w:val="3"/>
                <w:szCs w:val="3"/>
                <w:color w:val="auto"/>
              </w:rPr>
            </w:pPr>
          </w:p>
        </w:tc>
        <w:tc>
          <w:tcPr>
            <w:tcW w:w="360" w:type="dxa"/>
            <w:vAlign w:val="bottom"/>
            <w:tcBorders>
              <w:top w:val="single" w:sz="8" w:color="auto"/>
            </w:tcBorders>
            <w:shd w:val="clear" w:color="auto" w:fill="C0C0C0"/>
          </w:tcPr>
          <w:p>
            <w:pPr>
              <w:spacing w:after="0"/>
              <w:rPr>
                <w:sz w:val="3"/>
                <w:szCs w:val="3"/>
                <w:color w:val="auto"/>
              </w:rPr>
            </w:pPr>
          </w:p>
        </w:tc>
        <w:tc>
          <w:tcPr>
            <w:tcW w:w="1060" w:type="dxa"/>
            <w:vAlign w:val="bottom"/>
            <w:tcBorders>
              <w:top w:val="single" w:sz="8" w:color="C0C0C0"/>
            </w:tcBorders>
            <w:shd w:val="clear" w:color="auto" w:fill="C0C0C0"/>
          </w:tcPr>
          <w:p>
            <w:pPr>
              <w:spacing w:after="0"/>
              <w:rPr>
                <w:sz w:val="3"/>
                <w:szCs w:val="3"/>
                <w:color w:val="auto"/>
              </w:rPr>
            </w:pPr>
          </w:p>
        </w:tc>
        <w:tc>
          <w:tcPr>
            <w:tcW w:w="340" w:type="dxa"/>
            <w:vAlign w:val="bottom"/>
            <w:tcBorders>
              <w:top w:val="single" w:sz="8" w:color="auto"/>
            </w:tcBorders>
            <w:shd w:val="clear" w:color="auto" w:fill="C0C0C0"/>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800" w:type="dxa"/>
            <w:vAlign w:val="bottom"/>
          </w:tcPr>
          <w:p>
            <w:pPr>
              <w:spacing w:after="0"/>
              <w:rPr>
                <w:sz w:val="20"/>
                <w:szCs w:val="20"/>
                <w:color w:val="auto"/>
              </w:rPr>
            </w:pPr>
            <w:r>
              <w:rPr>
                <w:rFonts w:ascii="Arial" w:cs="Arial" w:eastAsia="Arial" w:hAnsi="Arial"/>
                <w:sz w:val="17"/>
                <w:szCs w:val="17"/>
                <w:color w:val="auto"/>
              </w:rPr>
              <w:t>Net income</w:t>
            </w:r>
          </w:p>
        </w:tc>
        <w:tc>
          <w:tcPr>
            <w:tcW w:w="2440" w:type="dxa"/>
            <w:vAlign w:val="bottom"/>
          </w:tcPr>
          <w:p>
            <w:pPr>
              <w:ind w:left="880"/>
              <w:spacing w:after="0"/>
              <w:rPr>
                <w:sz w:val="20"/>
                <w:szCs w:val="20"/>
                <w:color w:val="auto"/>
              </w:rPr>
            </w:pPr>
            <w:r>
              <w:rPr>
                <w:rFonts w:ascii="Arial" w:cs="Arial" w:eastAsia="Arial" w:hAnsi="Arial"/>
                <w:sz w:val="17"/>
                <w:szCs w:val="17"/>
                <w:color w:val="auto"/>
              </w:rPr>
              <w:t>As reported</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$ 54.2</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$ 62.1</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440" w:type="dxa"/>
            <w:vAlign w:val="bottom"/>
          </w:tcPr>
          <w:p>
            <w:pPr>
              <w:ind w:left="880"/>
              <w:spacing w:after="0"/>
              <w:rPr>
                <w:sz w:val="20"/>
                <w:szCs w:val="20"/>
                <w:color w:val="auto"/>
              </w:rPr>
            </w:pPr>
            <w:r>
              <w:rPr>
                <w:rFonts w:ascii="Arial" w:cs="Arial" w:eastAsia="Arial" w:hAnsi="Arial"/>
                <w:sz w:val="17"/>
                <w:szCs w:val="17"/>
                <w:color w:val="auto"/>
              </w:rPr>
              <w:t>Pro forma</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$ 49.4</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$ 57.6</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465"/>
        </w:trPr>
        <w:tc>
          <w:tcPr>
            <w:tcW w:w="2800" w:type="dxa"/>
            <w:vAlign w:val="bottom"/>
          </w:tcPr>
          <w:p>
            <w:pPr>
              <w:spacing w:after="0"/>
              <w:rPr>
                <w:sz w:val="20"/>
                <w:szCs w:val="20"/>
                <w:color w:val="auto"/>
              </w:rPr>
            </w:pPr>
            <w:r>
              <w:rPr>
                <w:rFonts w:ascii="Arial" w:cs="Arial" w:eastAsia="Arial" w:hAnsi="Arial"/>
                <w:sz w:val="17"/>
                <w:szCs w:val="17"/>
                <w:color w:val="auto"/>
              </w:rPr>
              <w:t>Basic earnings per share</w:t>
            </w:r>
          </w:p>
        </w:tc>
        <w:tc>
          <w:tcPr>
            <w:tcW w:w="2440" w:type="dxa"/>
            <w:vAlign w:val="bottom"/>
          </w:tcPr>
          <w:p>
            <w:pPr>
              <w:ind w:left="880"/>
              <w:spacing w:after="0"/>
              <w:rPr>
                <w:sz w:val="20"/>
                <w:szCs w:val="20"/>
                <w:color w:val="auto"/>
              </w:rPr>
            </w:pPr>
            <w:r>
              <w:rPr>
                <w:rFonts w:ascii="Arial" w:cs="Arial" w:eastAsia="Arial" w:hAnsi="Arial"/>
                <w:sz w:val="17"/>
                <w:szCs w:val="17"/>
                <w:color w:val="auto"/>
              </w:rPr>
              <w:t>As reported</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$ 2.65</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$ 2.90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440" w:type="dxa"/>
            <w:vAlign w:val="bottom"/>
          </w:tcPr>
          <w:p>
            <w:pPr>
              <w:ind w:left="880"/>
              <w:spacing w:after="0"/>
              <w:rPr>
                <w:sz w:val="20"/>
                <w:szCs w:val="20"/>
                <w:color w:val="auto"/>
              </w:rPr>
            </w:pPr>
            <w:r>
              <w:rPr>
                <w:rFonts w:ascii="Arial" w:cs="Arial" w:eastAsia="Arial" w:hAnsi="Arial"/>
                <w:sz w:val="17"/>
                <w:szCs w:val="17"/>
                <w:color w:val="auto"/>
              </w:rPr>
              <w:t>Pro forma</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$ 2.41</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$ 2.69</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465"/>
        </w:trPr>
        <w:tc>
          <w:tcPr>
            <w:tcW w:w="2800" w:type="dxa"/>
            <w:vAlign w:val="bottom"/>
          </w:tcPr>
          <w:p>
            <w:pPr>
              <w:spacing w:after="0"/>
              <w:rPr>
                <w:sz w:val="20"/>
                <w:szCs w:val="20"/>
                <w:color w:val="auto"/>
              </w:rPr>
            </w:pPr>
            <w:r>
              <w:rPr>
                <w:rFonts w:ascii="Arial" w:cs="Arial" w:eastAsia="Arial" w:hAnsi="Arial"/>
                <w:sz w:val="17"/>
                <w:szCs w:val="17"/>
                <w:color w:val="auto"/>
              </w:rPr>
              <w:t>Diluted earnings per share</w:t>
            </w:r>
          </w:p>
        </w:tc>
        <w:tc>
          <w:tcPr>
            <w:tcW w:w="2440" w:type="dxa"/>
            <w:vAlign w:val="bottom"/>
          </w:tcPr>
          <w:p>
            <w:pPr>
              <w:ind w:left="880"/>
              <w:spacing w:after="0"/>
              <w:rPr>
                <w:sz w:val="20"/>
                <w:szCs w:val="20"/>
                <w:color w:val="auto"/>
              </w:rPr>
            </w:pPr>
            <w:r>
              <w:rPr>
                <w:rFonts w:ascii="Arial" w:cs="Arial" w:eastAsia="Arial" w:hAnsi="Arial"/>
                <w:sz w:val="17"/>
                <w:szCs w:val="17"/>
                <w:color w:val="auto"/>
              </w:rPr>
              <w:t>As reported</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$ 2.58</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$ 2.80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440" w:type="dxa"/>
            <w:vAlign w:val="bottom"/>
          </w:tcPr>
          <w:p>
            <w:pPr>
              <w:ind w:left="880"/>
              <w:spacing w:after="0"/>
              <w:rPr>
                <w:sz w:val="20"/>
                <w:szCs w:val="20"/>
                <w:color w:val="auto"/>
              </w:rPr>
            </w:pPr>
            <w:r>
              <w:rPr>
                <w:rFonts w:ascii="Arial" w:cs="Arial" w:eastAsia="Arial" w:hAnsi="Arial"/>
                <w:sz w:val="17"/>
                <w:szCs w:val="17"/>
                <w:color w:val="auto"/>
              </w:rPr>
              <w:t>Pro forma</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$ 2.35</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$ 2.60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information concerning Plan options outstanding at December 31, 2000: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Borders>
              <w:bottom w:val="single" w:sz="8" w:color="auto"/>
            </w:tcBorders>
            <w:shd w:val="clear" w:color="auto" w:fill="C0C0C0"/>
          </w:tcPr>
          <w:p>
            <w:pPr>
              <w:spacing w:after="0"/>
              <w:rPr>
                <w:sz w:val="19"/>
                <w:szCs w:val="19"/>
                <w:color w:val="auto"/>
              </w:rPr>
            </w:pPr>
          </w:p>
        </w:tc>
        <w:tc>
          <w:tcPr>
            <w:tcW w:w="1100" w:type="dxa"/>
            <w:vAlign w:val="bottom"/>
            <w:tcBorders>
              <w:bottom w:val="single" w:sz="8" w:color="auto"/>
            </w:tcBorders>
            <w:shd w:val="clear" w:color="auto" w:fill="C0C0C0"/>
          </w:tcPr>
          <w:p>
            <w:pPr>
              <w:spacing w:after="0"/>
              <w:rPr>
                <w:sz w:val="19"/>
                <w:szCs w:val="19"/>
                <w:color w:val="auto"/>
              </w:rPr>
            </w:pPr>
          </w:p>
        </w:tc>
        <w:tc>
          <w:tcPr>
            <w:tcW w:w="480" w:type="dxa"/>
            <w:vAlign w:val="bottom"/>
            <w:tcBorders>
              <w:bottom w:val="single" w:sz="8" w:color="auto"/>
            </w:tcBorders>
            <w:shd w:val="clear" w:color="auto" w:fill="C0C0C0"/>
          </w:tcPr>
          <w:p>
            <w:pPr>
              <w:spacing w:after="0"/>
              <w:rPr>
                <w:sz w:val="19"/>
                <w:szCs w:val="19"/>
                <w:color w:val="auto"/>
              </w:rPr>
            </w:pPr>
          </w:p>
        </w:tc>
        <w:tc>
          <w:tcPr>
            <w:tcW w:w="640" w:type="dxa"/>
            <w:vAlign w:val="bottom"/>
            <w:tcBorders>
              <w:bottom w:val="single" w:sz="8" w:color="auto"/>
            </w:tcBorders>
            <w:shd w:val="clear" w:color="auto" w:fill="C0C0C0"/>
          </w:tcPr>
          <w:p>
            <w:pPr>
              <w:spacing w:after="0"/>
              <w:rPr>
                <w:sz w:val="19"/>
                <w:szCs w:val="19"/>
                <w:color w:val="auto"/>
              </w:rPr>
            </w:pPr>
          </w:p>
        </w:tc>
        <w:tc>
          <w:tcPr>
            <w:tcW w:w="3480" w:type="dxa"/>
            <w:vAlign w:val="bottom"/>
            <w:tcBorders>
              <w:bottom w:val="single" w:sz="8" w:color="auto"/>
            </w:tcBorders>
            <w:gridSpan w:val="5"/>
            <w:shd w:val="clear" w:color="auto" w:fill="C0C0C0"/>
          </w:tcPr>
          <w:p>
            <w:pPr>
              <w:ind w:left="660"/>
              <w:spacing w:after="0"/>
              <w:rPr>
                <w:sz w:val="20"/>
                <w:szCs w:val="20"/>
                <w:color w:val="auto"/>
              </w:rPr>
            </w:pPr>
            <w:r>
              <w:rPr>
                <w:rFonts w:ascii="Arial" w:cs="Arial" w:eastAsia="Arial" w:hAnsi="Arial"/>
                <w:sz w:val="17"/>
                <w:szCs w:val="17"/>
                <w:b w:val="1"/>
                <w:bCs w:val="1"/>
                <w:color w:val="auto"/>
              </w:rPr>
              <w:t>Options Outstanding</w:t>
            </w:r>
          </w:p>
        </w:tc>
        <w:tc>
          <w:tcPr>
            <w:tcW w:w="840" w:type="dxa"/>
            <w:vAlign w:val="bottom"/>
            <w:tcBorders>
              <w:bottom w:val="single" w:sz="8" w:color="auto"/>
            </w:tcBorders>
            <w:shd w:val="clear" w:color="auto" w:fill="C0C0C0"/>
          </w:tcPr>
          <w:p>
            <w:pPr>
              <w:spacing w:after="0"/>
              <w:rPr>
                <w:sz w:val="19"/>
                <w:szCs w:val="19"/>
                <w:color w:val="auto"/>
              </w:rPr>
            </w:pPr>
          </w:p>
        </w:tc>
        <w:tc>
          <w:tcPr>
            <w:tcW w:w="360" w:type="dxa"/>
            <w:vAlign w:val="bottom"/>
            <w:tcBorders>
              <w:bottom w:val="single" w:sz="8" w:color="auto"/>
            </w:tcBorders>
            <w:shd w:val="clear" w:color="auto" w:fill="C0C0C0"/>
          </w:tcPr>
          <w:p>
            <w:pPr>
              <w:spacing w:after="0"/>
              <w:rPr>
                <w:sz w:val="19"/>
                <w:szCs w:val="19"/>
                <w:color w:val="auto"/>
              </w:rPr>
            </w:pPr>
          </w:p>
        </w:tc>
        <w:tc>
          <w:tcPr>
            <w:tcW w:w="840" w:type="dxa"/>
            <w:vAlign w:val="bottom"/>
            <w:tcBorders>
              <w:bottom w:val="single" w:sz="8" w:color="auto"/>
            </w:tcBorders>
            <w:shd w:val="clear" w:color="auto" w:fill="C0C0C0"/>
          </w:tcPr>
          <w:p>
            <w:pPr>
              <w:spacing w:after="0"/>
              <w:rPr>
                <w:sz w:val="19"/>
                <w:szCs w:val="19"/>
                <w:color w:val="auto"/>
              </w:rPr>
            </w:pPr>
          </w:p>
        </w:tc>
        <w:tc>
          <w:tcPr>
            <w:tcW w:w="24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auto"/>
            </w:tcBorders>
            <w:shd w:val="clear" w:color="auto" w:fill="C0C0C0"/>
          </w:tcPr>
          <w:p>
            <w:pPr>
              <w:spacing w:after="0"/>
              <w:rPr>
                <w:sz w:val="19"/>
                <w:szCs w:val="19"/>
                <w:color w:val="auto"/>
              </w:rPr>
            </w:pPr>
          </w:p>
        </w:tc>
        <w:tc>
          <w:tcPr>
            <w:tcW w:w="2560" w:type="dxa"/>
            <w:vAlign w:val="bottom"/>
            <w:tcBorders>
              <w:bottom w:val="single" w:sz="8" w:color="auto"/>
            </w:tcBorders>
            <w:gridSpan w:val="5"/>
            <w:shd w:val="clear" w:color="auto" w:fill="C0C0C0"/>
          </w:tcPr>
          <w:p>
            <w:pPr>
              <w:ind w:left="340"/>
              <w:spacing w:after="0"/>
              <w:rPr>
                <w:sz w:val="20"/>
                <w:szCs w:val="20"/>
                <w:color w:val="auto"/>
              </w:rPr>
            </w:pPr>
            <w:r>
              <w:rPr>
                <w:rFonts w:ascii="Arial" w:cs="Arial" w:eastAsia="Arial" w:hAnsi="Arial"/>
                <w:sz w:val="17"/>
                <w:szCs w:val="17"/>
                <w:b w:val="1"/>
                <w:bCs w:val="1"/>
                <w:color w:val="auto"/>
              </w:rPr>
              <w:t>Options Exercisable</w:t>
            </w:r>
          </w:p>
        </w:tc>
      </w:tr>
      <w:tr>
        <w:trPr>
          <w:trHeight w:val="220"/>
        </w:trPr>
        <w:tc>
          <w:tcPr>
            <w:tcW w:w="480" w:type="dxa"/>
            <w:vAlign w:val="bottom"/>
            <w:shd w:val="clear" w:color="auto" w:fill="C0C0C0"/>
          </w:tcPr>
          <w:p>
            <w:pPr>
              <w:spacing w:after="0"/>
              <w:rPr>
                <w:sz w:val="19"/>
                <w:szCs w:val="19"/>
                <w:color w:val="auto"/>
              </w:rPr>
            </w:pPr>
          </w:p>
        </w:tc>
        <w:tc>
          <w:tcPr>
            <w:tcW w:w="110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520" w:type="dxa"/>
            <w:vAlign w:val="bottom"/>
            <w:gridSpan w:val="2"/>
            <w:shd w:val="clear" w:color="auto" w:fill="C0C0C0"/>
          </w:tcPr>
          <w:p>
            <w:pPr>
              <w:jc w:val="center"/>
              <w:ind w:right="560"/>
              <w:spacing w:after="0"/>
              <w:rPr>
                <w:sz w:val="20"/>
                <w:szCs w:val="20"/>
                <w:color w:val="auto"/>
              </w:rPr>
            </w:pPr>
            <w:r>
              <w:rPr>
                <w:rFonts w:ascii="Arial" w:cs="Arial" w:eastAsia="Arial" w:hAnsi="Arial"/>
                <w:sz w:val="17"/>
                <w:szCs w:val="17"/>
                <w:b w:val="1"/>
                <w:bCs w:val="1"/>
                <w:color w:val="auto"/>
                <w:w w:val="88"/>
              </w:rPr>
              <w:t>Weighted</w:t>
            </w:r>
          </w:p>
        </w:tc>
        <w:tc>
          <w:tcPr>
            <w:tcW w:w="84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r>
      <w:tr>
        <w:trPr>
          <w:trHeight w:val="223"/>
        </w:trPr>
        <w:tc>
          <w:tcPr>
            <w:tcW w:w="480" w:type="dxa"/>
            <w:vAlign w:val="bottom"/>
            <w:shd w:val="clear" w:color="auto" w:fill="C0C0C0"/>
          </w:tcPr>
          <w:p>
            <w:pPr>
              <w:spacing w:after="0"/>
              <w:rPr>
                <w:sz w:val="19"/>
                <w:szCs w:val="19"/>
                <w:color w:val="auto"/>
              </w:rPr>
            </w:pPr>
          </w:p>
        </w:tc>
        <w:tc>
          <w:tcPr>
            <w:tcW w:w="110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520" w:type="dxa"/>
            <w:vAlign w:val="bottom"/>
            <w:gridSpan w:val="2"/>
            <w:shd w:val="clear" w:color="auto" w:fill="C0C0C0"/>
          </w:tcPr>
          <w:p>
            <w:pPr>
              <w:jc w:val="center"/>
              <w:ind w:right="560"/>
              <w:spacing w:after="0"/>
              <w:rPr>
                <w:sz w:val="20"/>
                <w:szCs w:val="20"/>
                <w:color w:val="auto"/>
              </w:rPr>
            </w:pPr>
            <w:r>
              <w:rPr>
                <w:rFonts w:ascii="Arial" w:cs="Arial" w:eastAsia="Arial" w:hAnsi="Arial"/>
                <w:sz w:val="17"/>
                <w:szCs w:val="17"/>
                <w:b w:val="1"/>
                <w:bCs w:val="1"/>
                <w:color w:val="auto"/>
                <w:w w:val="89"/>
              </w:rPr>
              <w:t>Average</w:t>
            </w:r>
          </w:p>
        </w:tc>
        <w:tc>
          <w:tcPr>
            <w:tcW w:w="204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88"/>
              </w:rPr>
              <w:t>Weighted</w:t>
            </w:r>
          </w:p>
        </w:tc>
        <w:tc>
          <w:tcPr>
            <w:tcW w:w="24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38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91"/>
              </w:rPr>
              <w:t>Weighted</w:t>
            </w:r>
          </w:p>
        </w:tc>
      </w:tr>
      <w:tr>
        <w:trPr>
          <w:trHeight w:val="236"/>
        </w:trPr>
        <w:tc>
          <w:tcPr>
            <w:tcW w:w="480" w:type="dxa"/>
            <w:vAlign w:val="bottom"/>
            <w:shd w:val="clear" w:color="auto" w:fill="C0C0C0"/>
          </w:tcPr>
          <w:p>
            <w:pPr>
              <w:spacing w:after="0"/>
              <w:rPr>
                <w:sz w:val="20"/>
                <w:szCs w:val="20"/>
                <w:color w:val="auto"/>
              </w:rPr>
            </w:pPr>
          </w:p>
        </w:tc>
        <w:tc>
          <w:tcPr>
            <w:tcW w:w="11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1420" w:type="dxa"/>
            <w:vAlign w:val="bottom"/>
            <w:gridSpan w:val="2"/>
            <w:shd w:val="clear" w:color="auto" w:fill="C0C0C0"/>
          </w:tcPr>
          <w:p>
            <w:pPr>
              <w:jc w:val="center"/>
              <w:ind w:right="640"/>
              <w:spacing w:after="0"/>
              <w:rPr>
                <w:sz w:val="20"/>
                <w:szCs w:val="20"/>
                <w:color w:val="auto"/>
              </w:rPr>
            </w:pPr>
            <w:r>
              <w:rPr>
                <w:rFonts w:ascii="Arial" w:cs="Arial" w:eastAsia="Arial" w:hAnsi="Arial"/>
                <w:sz w:val="17"/>
                <w:szCs w:val="17"/>
                <w:b w:val="1"/>
                <w:bCs w:val="1"/>
                <w:color w:val="auto"/>
                <w:w w:val="96"/>
              </w:rPr>
              <w:t>Number</w:t>
            </w:r>
          </w:p>
        </w:tc>
        <w:tc>
          <w:tcPr>
            <w:tcW w:w="540" w:type="dxa"/>
            <w:vAlign w:val="bottom"/>
            <w:shd w:val="clear" w:color="auto" w:fill="C0C0C0"/>
          </w:tcPr>
          <w:p>
            <w:pPr>
              <w:spacing w:after="0"/>
              <w:rPr>
                <w:sz w:val="20"/>
                <w:szCs w:val="20"/>
                <w:color w:val="auto"/>
              </w:rPr>
            </w:pPr>
          </w:p>
        </w:tc>
        <w:tc>
          <w:tcPr>
            <w:tcW w:w="1520" w:type="dxa"/>
            <w:vAlign w:val="bottom"/>
            <w:gridSpan w:val="2"/>
            <w:shd w:val="clear" w:color="auto" w:fill="C0C0C0"/>
          </w:tcPr>
          <w:p>
            <w:pPr>
              <w:jc w:val="center"/>
              <w:ind w:right="560"/>
              <w:spacing w:after="0"/>
              <w:rPr>
                <w:sz w:val="20"/>
                <w:szCs w:val="20"/>
                <w:color w:val="auto"/>
              </w:rPr>
            </w:pPr>
            <w:r>
              <w:rPr>
                <w:rFonts w:ascii="Arial" w:cs="Arial" w:eastAsia="Arial" w:hAnsi="Arial"/>
                <w:sz w:val="17"/>
                <w:szCs w:val="17"/>
                <w:b w:val="1"/>
                <w:bCs w:val="1"/>
                <w:color w:val="auto"/>
                <w:w w:val="91"/>
              </w:rPr>
              <w:t>Remaining</w:t>
            </w:r>
          </w:p>
        </w:tc>
        <w:tc>
          <w:tcPr>
            <w:tcW w:w="204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89"/>
              </w:rPr>
              <w:t>Average</w:t>
            </w:r>
          </w:p>
        </w:tc>
        <w:tc>
          <w:tcPr>
            <w:tcW w:w="24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1180" w:type="dxa"/>
            <w:vAlign w:val="bottom"/>
            <w:gridSpan w:val="2"/>
            <w:shd w:val="clear" w:color="auto" w:fill="C0C0C0"/>
          </w:tcPr>
          <w:p>
            <w:pPr>
              <w:jc w:val="center"/>
              <w:ind w:right="380"/>
              <w:spacing w:after="0"/>
              <w:rPr>
                <w:sz w:val="20"/>
                <w:szCs w:val="20"/>
                <w:color w:val="auto"/>
              </w:rPr>
            </w:pPr>
            <w:r>
              <w:rPr>
                <w:rFonts w:ascii="Arial" w:cs="Arial" w:eastAsia="Arial" w:hAnsi="Arial"/>
                <w:sz w:val="17"/>
                <w:szCs w:val="17"/>
                <w:b w:val="1"/>
                <w:bCs w:val="1"/>
                <w:color w:val="auto"/>
                <w:w w:val="93"/>
              </w:rPr>
              <w:t>Number</w:t>
            </w:r>
          </w:p>
        </w:tc>
        <w:tc>
          <w:tcPr>
            <w:tcW w:w="138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86"/>
              </w:rPr>
              <w:t>Average</w:t>
            </w:r>
          </w:p>
        </w:tc>
      </w:tr>
      <w:tr>
        <w:trPr>
          <w:trHeight w:val="236"/>
        </w:trPr>
        <w:tc>
          <w:tcPr>
            <w:tcW w:w="480" w:type="dxa"/>
            <w:vAlign w:val="bottom"/>
            <w:shd w:val="clear" w:color="auto" w:fill="C0C0C0"/>
          </w:tcPr>
          <w:p>
            <w:pPr>
              <w:spacing w:after="0"/>
              <w:rPr>
                <w:sz w:val="20"/>
                <w:szCs w:val="20"/>
                <w:color w:val="auto"/>
              </w:rPr>
            </w:pPr>
          </w:p>
        </w:tc>
        <w:tc>
          <w:tcPr>
            <w:tcW w:w="1580" w:type="dxa"/>
            <w:vAlign w:val="bottom"/>
            <w:gridSpan w:val="2"/>
            <w:shd w:val="clear" w:color="auto" w:fill="C0C0C0"/>
          </w:tcPr>
          <w:p>
            <w:pPr>
              <w:jc w:val="center"/>
              <w:ind w:right="480"/>
              <w:spacing w:after="0"/>
              <w:rPr>
                <w:sz w:val="20"/>
                <w:szCs w:val="20"/>
                <w:color w:val="auto"/>
              </w:rPr>
            </w:pPr>
            <w:r>
              <w:rPr>
                <w:rFonts w:ascii="Arial" w:cs="Arial" w:eastAsia="Arial" w:hAnsi="Arial"/>
                <w:sz w:val="17"/>
                <w:szCs w:val="17"/>
                <w:b w:val="1"/>
                <w:bCs w:val="1"/>
                <w:color w:val="auto"/>
                <w:w w:val="90"/>
              </w:rPr>
              <w:t>Range of</w:t>
            </w:r>
          </w:p>
        </w:tc>
        <w:tc>
          <w:tcPr>
            <w:tcW w:w="206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540" w:type="dxa"/>
            <w:vAlign w:val="bottom"/>
            <w:shd w:val="clear" w:color="auto" w:fill="C0C0C0"/>
          </w:tcPr>
          <w:p>
            <w:pPr>
              <w:spacing w:after="0"/>
              <w:rPr>
                <w:sz w:val="20"/>
                <w:szCs w:val="20"/>
                <w:color w:val="auto"/>
              </w:rPr>
            </w:pPr>
          </w:p>
        </w:tc>
        <w:tc>
          <w:tcPr>
            <w:tcW w:w="1520" w:type="dxa"/>
            <w:vAlign w:val="bottom"/>
            <w:gridSpan w:val="2"/>
            <w:shd w:val="clear" w:color="auto" w:fill="C0C0C0"/>
          </w:tcPr>
          <w:p>
            <w:pPr>
              <w:jc w:val="center"/>
              <w:ind w:right="560"/>
              <w:spacing w:after="0"/>
              <w:rPr>
                <w:sz w:val="20"/>
                <w:szCs w:val="20"/>
                <w:color w:val="auto"/>
              </w:rPr>
            </w:pPr>
            <w:r>
              <w:rPr>
                <w:rFonts w:ascii="Arial" w:cs="Arial" w:eastAsia="Arial" w:hAnsi="Arial"/>
                <w:sz w:val="17"/>
                <w:szCs w:val="17"/>
                <w:b w:val="1"/>
                <w:bCs w:val="1"/>
                <w:color w:val="auto"/>
                <w:w w:val="93"/>
              </w:rPr>
              <w:t>Contractual</w:t>
            </w:r>
          </w:p>
        </w:tc>
        <w:tc>
          <w:tcPr>
            <w:tcW w:w="204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85"/>
              </w:rPr>
              <w:t>Exercise</w:t>
            </w:r>
          </w:p>
        </w:tc>
        <w:tc>
          <w:tcPr>
            <w:tcW w:w="240" w:type="dxa"/>
            <w:vAlign w:val="bottom"/>
            <w:shd w:val="clear" w:color="auto" w:fill="C0C0C0"/>
          </w:tcPr>
          <w:p>
            <w:pPr>
              <w:spacing w:after="0"/>
              <w:rPr>
                <w:sz w:val="20"/>
                <w:szCs w:val="20"/>
                <w:color w:val="auto"/>
              </w:rPr>
            </w:pPr>
          </w:p>
        </w:tc>
        <w:tc>
          <w:tcPr>
            <w:tcW w:w="158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88"/>
              </w:rPr>
              <w:t>Exercisable</w:t>
            </w:r>
          </w:p>
        </w:tc>
        <w:tc>
          <w:tcPr>
            <w:tcW w:w="138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88"/>
              </w:rPr>
              <w:t>Exercise</w:t>
            </w:r>
          </w:p>
        </w:tc>
      </w:tr>
      <w:tr>
        <w:trPr>
          <w:trHeight w:val="199"/>
        </w:trPr>
        <w:tc>
          <w:tcPr>
            <w:tcW w:w="480" w:type="dxa"/>
            <w:vAlign w:val="bottom"/>
            <w:shd w:val="clear" w:color="auto" w:fill="C0C0C0"/>
          </w:tcPr>
          <w:p>
            <w:pPr>
              <w:spacing w:after="0"/>
              <w:rPr>
                <w:sz w:val="17"/>
                <w:szCs w:val="17"/>
                <w:color w:val="auto"/>
              </w:rPr>
            </w:pPr>
          </w:p>
        </w:tc>
        <w:tc>
          <w:tcPr>
            <w:tcW w:w="1580" w:type="dxa"/>
            <w:vAlign w:val="bottom"/>
            <w:gridSpan w:val="2"/>
            <w:shd w:val="clear" w:color="auto" w:fill="C0C0C0"/>
          </w:tcPr>
          <w:p>
            <w:pPr>
              <w:jc w:val="center"/>
              <w:ind w:right="480"/>
              <w:spacing w:after="0"/>
              <w:rPr>
                <w:sz w:val="20"/>
                <w:szCs w:val="20"/>
                <w:color w:val="auto"/>
              </w:rPr>
            </w:pPr>
            <w:r>
              <w:rPr>
                <w:rFonts w:ascii="Arial" w:cs="Arial" w:eastAsia="Arial" w:hAnsi="Arial"/>
                <w:sz w:val="17"/>
                <w:szCs w:val="17"/>
                <w:b w:val="1"/>
                <w:bCs w:val="1"/>
                <w:color w:val="auto"/>
                <w:w w:val="87"/>
              </w:rPr>
              <w:t>Exercise Prices</w:t>
            </w:r>
          </w:p>
        </w:tc>
        <w:tc>
          <w:tcPr>
            <w:tcW w:w="206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90"/>
              </w:rPr>
              <w:t>at 12/31/00</w:t>
            </w:r>
          </w:p>
        </w:tc>
        <w:tc>
          <w:tcPr>
            <w:tcW w:w="2060" w:type="dxa"/>
            <w:vAlign w:val="bottom"/>
            <w:gridSpan w:val="3"/>
            <w:shd w:val="clear" w:color="auto" w:fill="C0C0C0"/>
          </w:tcPr>
          <w:p>
            <w:pPr>
              <w:jc w:val="center"/>
              <w:ind w:right="20"/>
              <w:spacing w:after="0"/>
              <w:rPr>
                <w:sz w:val="20"/>
                <w:szCs w:val="20"/>
                <w:color w:val="auto"/>
              </w:rPr>
            </w:pPr>
            <w:r>
              <w:rPr>
                <w:rFonts w:ascii="Arial" w:cs="Arial" w:eastAsia="Arial" w:hAnsi="Arial"/>
                <w:sz w:val="17"/>
                <w:szCs w:val="17"/>
                <w:b w:val="1"/>
                <w:bCs w:val="1"/>
                <w:color w:val="auto"/>
                <w:w w:val="92"/>
              </w:rPr>
              <w:t>Term (Years)</w:t>
            </w:r>
          </w:p>
        </w:tc>
        <w:tc>
          <w:tcPr>
            <w:tcW w:w="840" w:type="dxa"/>
            <w:vAlign w:val="bottom"/>
            <w:shd w:val="clear" w:color="auto" w:fill="C0C0C0"/>
          </w:tcPr>
          <w:p>
            <w:pPr>
              <w:spacing w:after="0"/>
              <w:rPr>
                <w:sz w:val="17"/>
                <w:szCs w:val="17"/>
                <w:color w:val="auto"/>
              </w:rPr>
            </w:pPr>
          </w:p>
        </w:tc>
        <w:tc>
          <w:tcPr>
            <w:tcW w:w="1200" w:type="dxa"/>
            <w:vAlign w:val="bottom"/>
            <w:gridSpan w:val="2"/>
            <w:shd w:val="clear" w:color="auto" w:fill="C0C0C0"/>
          </w:tcPr>
          <w:p>
            <w:pPr>
              <w:jc w:val="center"/>
              <w:ind w:right="840"/>
              <w:spacing w:after="0"/>
              <w:rPr>
                <w:sz w:val="20"/>
                <w:szCs w:val="20"/>
                <w:color w:val="auto"/>
              </w:rPr>
            </w:pPr>
            <w:r>
              <w:rPr>
                <w:rFonts w:ascii="Arial" w:cs="Arial" w:eastAsia="Arial" w:hAnsi="Arial"/>
                <w:sz w:val="17"/>
                <w:szCs w:val="17"/>
                <w:b w:val="1"/>
                <w:bCs w:val="1"/>
                <w:color w:val="auto"/>
                <w:w w:val="86"/>
              </w:rPr>
              <w:t>Price</w:t>
            </w:r>
          </w:p>
        </w:tc>
        <w:tc>
          <w:tcPr>
            <w:tcW w:w="240" w:type="dxa"/>
            <w:vAlign w:val="bottom"/>
            <w:shd w:val="clear" w:color="auto" w:fill="C0C0C0"/>
          </w:tcPr>
          <w:p>
            <w:pPr>
              <w:spacing w:after="0"/>
              <w:rPr>
                <w:sz w:val="17"/>
                <w:szCs w:val="17"/>
                <w:color w:val="auto"/>
              </w:rPr>
            </w:pPr>
          </w:p>
        </w:tc>
        <w:tc>
          <w:tcPr>
            <w:tcW w:w="1580" w:type="dxa"/>
            <w:vAlign w:val="bottom"/>
            <w:gridSpan w:val="3"/>
            <w:shd w:val="clear" w:color="auto" w:fill="C0C0C0"/>
          </w:tcPr>
          <w:p>
            <w:pPr>
              <w:jc w:val="center"/>
              <w:spacing w:after="0"/>
              <w:rPr>
                <w:sz w:val="20"/>
                <w:szCs w:val="20"/>
                <w:color w:val="auto"/>
              </w:rPr>
            </w:pPr>
            <w:r>
              <w:rPr>
                <w:rFonts w:ascii="Arial" w:cs="Arial" w:eastAsia="Arial" w:hAnsi="Arial"/>
                <w:sz w:val="17"/>
                <w:szCs w:val="17"/>
                <w:b w:val="1"/>
                <w:bCs w:val="1"/>
                <w:color w:val="auto"/>
                <w:w w:val="92"/>
              </w:rPr>
              <w:t>at 12/31/00</w:t>
            </w:r>
          </w:p>
        </w:tc>
        <w:tc>
          <w:tcPr>
            <w:tcW w:w="50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center"/>
              <w:ind w:right="500"/>
              <w:spacing w:after="0"/>
              <w:rPr>
                <w:sz w:val="20"/>
                <w:szCs w:val="20"/>
                <w:color w:val="auto"/>
              </w:rPr>
            </w:pPr>
            <w:r>
              <w:rPr>
                <w:rFonts w:ascii="Arial" w:cs="Arial" w:eastAsia="Arial" w:hAnsi="Arial"/>
                <w:sz w:val="17"/>
                <w:szCs w:val="17"/>
                <w:b w:val="1"/>
                <w:bCs w:val="1"/>
                <w:color w:val="auto"/>
                <w:w w:val="91"/>
              </w:rPr>
              <w:t>Price</w:t>
            </w:r>
          </w:p>
        </w:tc>
      </w:tr>
      <w:tr>
        <w:trPr>
          <w:trHeight w:val="45"/>
        </w:trPr>
        <w:tc>
          <w:tcPr>
            <w:tcW w:w="480" w:type="dxa"/>
            <w:vAlign w:val="bottom"/>
            <w:tcBorders>
              <w:top w:val="single" w:sz="8" w:color="C0C0C0"/>
            </w:tcBorders>
            <w:shd w:val="clear" w:color="auto" w:fill="C0C0C0"/>
          </w:tcPr>
          <w:p>
            <w:pPr>
              <w:spacing w:after="0"/>
              <w:rPr>
                <w:sz w:val="3"/>
                <w:szCs w:val="3"/>
                <w:color w:val="auto"/>
              </w:rPr>
            </w:pPr>
          </w:p>
        </w:tc>
        <w:tc>
          <w:tcPr>
            <w:tcW w:w="1100" w:type="dxa"/>
            <w:vAlign w:val="bottom"/>
            <w:tcBorders>
              <w:top w:val="single" w:sz="8" w:color="auto"/>
            </w:tcBorders>
            <w:shd w:val="clear" w:color="auto" w:fill="C0C0C0"/>
          </w:tcPr>
          <w:p>
            <w:pPr>
              <w:spacing w:after="0"/>
              <w:rPr>
                <w:sz w:val="3"/>
                <w:szCs w:val="3"/>
                <w:color w:val="auto"/>
              </w:rPr>
            </w:pPr>
          </w:p>
        </w:tc>
        <w:tc>
          <w:tcPr>
            <w:tcW w:w="480" w:type="dxa"/>
            <w:vAlign w:val="bottom"/>
            <w:tcBorders>
              <w:top w:val="single" w:sz="8" w:color="C0C0C0"/>
            </w:tcBorders>
            <w:shd w:val="clear" w:color="auto" w:fill="C0C0C0"/>
          </w:tcPr>
          <w:p>
            <w:pPr>
              <w:spacing w:after="0"/>
              <w:rPr>
                <w:sz w:val="3"/>
                <w:szCs w:val="3"/>
                <w:color w:val="auto"/>
              </w:rPr>
            </w:pPr>
          </w:p>
        </w:tc>
        <w:tc>
          <w:tcPr>
            <w:tcW w:w="640" w:type="dxa"/>
            <w:vAlign w:val="bottom"/>
            <w:tcBorders>
              <w:top w:val="single" w:sz="8" w:color="C0C0C0"/>
            </w:tcBorders>
            <w:shd w:val="clear" w:color="auto" w:fill="C0C0C0"/>
          </w:tcPr>
          <w:p>
            <w:pPr>
              <w:spacing w:after="0"/>
              <w:rPr>
                <w:sz w:val="3"/>
                <w:szCs w:val="3"/>
                <w:color w:val="auto"/>
              </w:rPr>
            </w:pPr>
          </w:p>
        </w:tc>
        <w:tc>
          <w:tcPr>
            <w:tcW w:w="780" w:type="dxa"/>
            <w:vAlign w:val="bottom"/>
            <w:tcBorders>
              <w:top w:val="single" w:sz="8" w:color="auto"/>
            </w:tcBorders>
            <w:shd w:val="clear" w:color="auto" w:fill="C0C0C0"/>
          </w:tcPr>
          <w:p>
            <w:pPr>
              <w:spacing w:after="0"/>
              <w:rPr>
                <w:sz w:val="3"/>
                <w:szCs w:val="3"/>
                <w:color w:val="auto"/>
              </w:rPr>
            </w:pPr>
          </w:p>
        </w:tc>
        <w:tc>
          <w:tcPr>
            <w:tcW w:w="640" w:type="dxa"/>
            <w:vAlign w:val="bottom"/>
            <w:tcBorders>
              <w:top w:val="single" w:sz="8" w:color="C0C0C0"/>
            </w:tcBorders>
            <w:shd w:val="clear" w:color="auto" w:fill="C0C0C0"/>
          </w:tcPr>
          <w:p>
            <w:pPr>
              <w:spacing w:after="0"/>
              <w:rPr>
                <w:sz w:val="3"/>
                <w:szCs w:val="3"/>
                <w:color w:val="auto"/>
              </w:rPr>
            </w:pPr>
          </w:p>
        </w:tc>
        <w:tc>
          <w:tcPr>
            <w:tcW w:w="540" w:type="dxa"/>
            <w:vAlign w:val="bottom"/>
            <w:tcBorders>
              <w:top w:val="single" w:sz="8" w:color="C0C0C0"/>
            </w:tcBorders>
            <w:shd w:val="clear" w:color="auto" w:fill="C0C0C0"/>
          </w:tcPr>
          <w:p>
            <w:pPr>
              <w:spacing w:after="0"/>
              <w:rPr>
                <w:sz w:val="3"/>
                <w:szCs w:val="3"/>
                <w:color w:val="auto"/>
              </w:rPr>
            </w:pPr>
          </w:p>
        </w:tc>
        <w:tc>
          <w:tcPr>
            <w:tcW w:w="960" w:type="dxa"/>
            <w:vAlign w:val="bottom"/>
            <w:tcBorders>
              <w:top w:val="single" w:sz="8" w:color="auto"/>
            </w:tcBorders>
            <w:shd w:val="clear" w:color="auto" w:fill="C0C0C0"/>
          </w:tcPr>
          <w:p>
            <w:pPr>
              <w:spacing w:after="0"/>
              <w:rPr>
                <w:sz w:val="3"/>
                <w:szCs w:val="3"/>
                <w:color w:val="auto"/>
              </w:rPr>
            </w:pPr>
          </w:p>
        </w:tc>
        <w:tc>
          <w:tcPr>
            <w:tcW w:w="560" w:type="dxa"/>
            <w:vAlign w:val="bottom"/>
            <w:tcBorders>
              <w:top w:val="single" w:sz="8" w:color="C0C0C0"/>
            </w:tcBorders>
            <w:shd w:val="clear" w:color="auto" w:fill="C0C0C0"/>
          </w:tcPr>
          <w:p>
            <w:pPr>
              <w:spacing w:after="0"/>
              <w:rPr>
                <w:sz w:val="3"/>
                <w:szCs w:val="3"/>
                <w:color w:val="auto"/>
              </w:rPr>
            </w:pPr>
          </w:p>
        </w:tc>
        <w:tc>
          <w:tcPr>
            <w:tcW w:w="840" w:type="dxa"/>
            <w:vAlign w:val="bottom"/>
            <w:tcBorders>
              <w:top w:val="single" w:sz="8" w:color="C0C0C0"/>
            </w:tcBorders>
            <w:shd w:val="clear" w:color="auto" w:fill="C0C0C0"/>
          </w:tcPr>
          <w:p>
            <w:pPr>
              <w:spacing w:after="0"/>
              <w:rPr>
                <w:sz w:val="3"/>
                <w:szCs w:val="3"/>
                <w:color w:val="auto"/>
              </w:rPr>
            </w:pPr>
          </w:p>
        </w:tc>
        <w:tc>
          <w:tcPr>
            <w:tcW w:w="360" w:type="dxa"/>
            <w:vAlign w:val="bottom"/>
            <w:tcBorders>
              <w:top w:val="single" w:sz="8" w:color="auto"/>
            </w:tcBorders>
            <w:shd w:val="clear" w:color="auto" w:fill="C0C0C0"/>
          </w:tcPr>
          <w:p>
            <w:pPr>
              <w:spacing w:after="0"/>
              <w:rPr>
                <w:sz w:val="3"/>
                <w:szCs w:val="3"/>
                <w:color w:val="auto"/>
              </w:rPr>
            </w:pPr>
          </w:p>
        </w:tc>
        <w:tc>
          <w:tcPr>
            <w:tcW w:w="840" w:type="dxa"/>
            <w:vAlign w:val="bottom"/>
            <w:tcBorders>
              <w:top w:val="single" w:sz="8" w:color="C0C0C0"/>
            </w:tcBorders>
            <w:shd w:val="clear" w:color="auto" w:fill="C0C0C0"/>
          </w:tcPr>
          <w:p>
            <w:pPr>
              <w:spacing w:after="0"/>
              <w:rPr>
                <w:sz w:val="3"/>
                <w:szCs w:val="3"/>
                <w:color w:val="auto"/>
              </w:rPr>
            </w:pPr>
          </w:p>
        </w:tc>
        <w:tc>
          <w:tcPr>
            <w:tcW w:w="240" w:type="dxa"/>
            <w:vAlign w:val="bottom"/>
            <w:tcBorders>
              <w:top w:val="single" w:sz="8" w:color="C0C0C0"/>
            </w:tcBorders>
            <w:shd w:val="clear" w:color="auto" w:fill="C0C0C0"/>
          </w:tcPr>
          <w:p>
            <w:pPr>
              <w:spacing w:after="0"/>
              <w:rPr>
                <w:sz w:val="3"/>
                <w:szCs w:val="3"/>
                <w:color w:val="auto"/>
              </w:rPr>
            </w:pPr>
          </w:p>
        </w:tc>
        <w:tc>
          <w:tcPr>
            <w:tcW w:w="400" w:type="dxa"/>
            <w:vAlign w:val="bottom"/>
            <w:tcBorders>
              <w:top w:val="single" w:sz="8" w:color="C0C0C0"/>
            </w:tcBorders>
            <w:shd w:val="clear" w:color="auto" w:fill="C0C0C0"/>
          </w:tcPr>
          <w:p>
            <w:pPr>
              <w:spacing w:after="0"/>
              <w:rPr>
                <w:sz w:val="3"/>
                <w:szCs w:val="3"/>
                <w:color w:val="auto"/>
              </w:rPr>
            </w:pPr>
          </w:p>
        </w:tc>
        <w:tc>
          <w:tcPr>
            <w:tcW w:w="800" w:type="dxa"/>
            <w:vAlign w:val="bottom"/>
            <w:tcBorders>
              <w:top w:val="single" w:sz="8" w:color="auto"/>
            </w:tcBorders>
            <w:shd w:val="clear" w:color="auto" w:fill="C0C0C0"/>
          </w:tcPr>
          <w:p>
            <w:pPr>
              <w:spacing w:after="0"/>
              <w:rPr>
                <w:sz w:val="3"/>
                <w:szCs w:val="3"/>
                <w:color w:val="auto"/>
              </w:rPr>
            </w:pPr>
          </w:p>
        </w:tc>
        <w:tc>
          <w:tcPr>
            <w:tcW w:w="380" w:type="dxa"/>
            <w:vAlign w:val="bottom"/>
            <w:tcBorders>
              <w:top w:val="single" w:sz="8" w:color="C0C0C0"/>
            </w:tcBorders>
            <w:shd w:val="clear" w:color="auto" w:fill="C0C0C0"/>
          </w:tcPr>
          <w:p>
            <w:pPr>
              <w:spacing w:after="0"/>
              <w:rPr>
                <w:sz w:val="3"/>
                <w:szCs w:val="3"/>
                <w:color w:val="auto"/>
              </w:rPr>
            </w:pPr>
          </w:p>
        </w:tc>
        <w:tc>
          <w:tcPr>
            <w:tcW w:w="500" w:type="dxa"/>
            <w:vAlign w:val="bottom"/>
            <w:tcBorders>
              <w:top w:val="single" w:sz="8" w:color="C0C0C0"/>
            </w:tcBorders>
            <w:shd w:val="clear" w:color="auto" w:fill="C0C0C0"/>
          </w:tcPr>
          <w:p>
            <w:pPr>
              <w:spacing w:after="0"/>
              <w:rPr>
                <w:sz w:val="3"/>
                <w:szCs w:val="3"/>
                <w:color w:val="auto"/>
              </w:rPr>
            </w:pPr>
          </w:p>
        </w:tc>
        <w:tc>
          <w:tcPr>
            <w:tcW w:w="380" w:type="dxa"/>
            <w:vAlign w:val="bottom"/>
            <w:tcBorders>
              <w:top w:val="single" w:sz="8" w:color="auto"/>
            </w:tcBorders>
            <w:shd w:val="clear" w:color="auto" w:fill="C0C0C0"/>
          </w:tcPr>
          <w:p>
            <w:pPr>
              <w:spacing w:after="0"/>
              <w:rPr>
                <w:sz w:val="3"/>
                <w:szCs w:val="3"/>
                <w:color w:val="auto"/>
              </w:rPr>
            </w:pPr>
          </w:p>
        </w:tc>
        <w:tc>
          <w:tcPr>
            <w:tcW w:w="500" w:type="dxa"/>
            <w:vAlign w:val="bottom"/>
            <w:tcBorders>
              <w:top w:val="single" w:sz="8" w:color="C0C0C0"/>
            </w:tcBorders>
            <w:shd w:val="clear" w:color="auto" w:fill="C0C0C0"/>
          </w:tcPr>
          <w:p>
            <w:pPr>
              <w:spacing w:after="0"/>
              <w:rPr>
                <w:sz w:val="3"/>
                <w:szCs w:val="3"/>
                <w:color w:val="auto"/>
              </w:rPr>
            </w:pPr>
          </w:p>
        </w:tc>
      </w:tr>
      <w:tr>
        <w:trPr>
          <w:trHeight w:val="216"/>
        </w:trPr>
        <w:tc>
          <w:tcPr>
            <w:tcW w:w="2060" w:type="dxa"/>
            <w:vAlign w:val="bottom"/>
            <w:gridSpan w:val="3"/>
          </w:tcPr>
          <w:p>
            <w:pPr>
              <w:jc w:val="center"/>
              <w:spacing w:after="0"/>
              <w:rPr>
                <w:sz w:val="20"/>
                <w:szCs w:val="20"/>
                <w:color w:val="auto"/>
              </w:rPr>
            </w:pPr>
            <w:r>
              <w:rPr>
                <w:rFonts w:ascii="Arial" w:cs="Arial" w:eastAsia="Arial" w:hAnsi="Arial"/>
                <w:sz w:val="17"/>
                <w:szCs w:val="17"/>
                <w:color w:val="auto"/>
                <w:w w:val="90"/>
              </w:rPr>
              <w:t>$22.625 - 29.375</w:t>
            </w:r>
          </w:p>
        </w:tc>
        <w:tc>
          <w:tcPr>
            <w:tcW w:w="1420" w:type="dxa"/>
            <w:vAlign w:val="bottom"/>
            <w:gridSpan w:val="2"/>
          </w:tcPr>
          <w:p>
            <w:pPr>
              <w:jc w:val="right"/>
              <w:ind w:right="115"/>
              <w:spacing w:after="0"/>
              <w:rPr>
                <w:sz w:val="20"/>
                <w:szCs w:val="20"/>
                <w:color w:val="auto"/>
              </w:rPr>
            </w:pPr>
            <w:r>
              <w:rPr>
                <w:rFonts w:ascii="Arial" w:cs="Arial" w:eastAsia="Arial" w:hAnsi="Arial"/>
                <w:sz w:val="17"/>
                <w:szCs w:val="17"/>
                <w:color w:val="auto"/>
              </w:rPr>
              <w:t>579,273</w:t>
            </w:r>
          </w:p>
        </w:tc>
        <w:tc>
          <w:tcPr>
            <w:tcW w:w="640" w:type="dxa"/>
            <w:vAlign w:val="bottom"/>
          </w:tcPr>
          <w:p>
            <w:pPr>
              <w:spacing w:after="0"/>
              <w:rPr>
                <w:sz w:val="18"/>
                <w:szCs w:val="18"/>
                <w:color w:val="auto"/>
              </w:rPr>
            </w:pPr>
          </w:p>
        </w:tc>
        <w:tc>
          <w:tcPr>
            <w:tcW w:w="1500" w:type="dxa"/>
            <w:vAlign w:val="bottom"/>
            <w:gridSpan w:val="2"/>
          </w:tcPr>
          <w:p>
            <w:pPr>
              <w:jc w:val="center"/>
              <w:ind w:left="475"/>
              <w:spacing w:after="0"/>
              <w:rPr>
                <w:sz w:val="20"/>
                <w:szCs w:val="20"/>
                <w:color w:val="auto"/>
              </w:rPr>
            </w:pPr>
            <w:r>
              <w:rPr>
                <w:rFonts w:ascii="Arial" w:cs="Arial" w:eastAsia="Arial" w:hAnsi="Arial"/>
                <w:sz w:val="17"/>
                <w:szCs w:val="17"/>
                <w:color w:val="auto"/>
                <w:w w:val="92"/>
              </w:rPr>
              <w:t>2.1</w:t>
            </w:r>
          </w:p>
        </w:tc>
        <w:tc>
          <w:tcPr>
            <w:tcW w:w="56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7"/>
                <w:szCs w:val="17"/>
                <w:color w:val="auto"/>
                <w:w w:val="92"/>
              </w:rPr>
              <w:t>$22.87</w:t>
            </w:r>
          </w:p>
        </w:tc>
        <w:tc>
          <w:tcPr>
            <w:tcW w:w="240" w:type="dxa"/>
            <w:vAlign w:val="bottom"/>
          </w:tcPr>
          <w:p>
            <w:pPr>
              <w:spacing w:after="0"/>
              <w:rPr>
                <w:sz w:val="18"/>
                <w:szCs w:val="18"/>
                <w:color w:val="auto"/>
              </w:rPr>
            </w:pPr>
          </w:p>
        </w:tc>
        <w:tc>
          <w:tcPr>
            <w:tcW w:w="1200" w:type="dxa"/>
            <w:vAlign w:val="bottom"/>
            <w:gridSpan w:val="2"/>
          </w:tcPr>
          <w:p>
            <w:pPr>
              <w:jc w:val="right"/>
              <w:ind w:right="135"/>
              <w:spacing w:after="0"/>
              <w:rPr>
                <w:sz w:val="20"/>
                <w:szCs w:val="20"/>
                <w:color w:val="auto"/>
              </w:rPr>
            </w:pPr>
            <w:r>
              <w:rPr>
                <w:rFonts w:ascii="Arial" w:cs="Arial" w:eastAsia="Arial" w:hAnsi="Arial"/>
                <w:sz w:val="17"/>
                <w:szCs w:val="17"/>
                <w:color w:val="auto"/>
              </w:rPr>
              <w:t>579,273</w:t>
            </w:r>
          </w:p>
        </w:tc>
        <w:tc>
          <w:tcPr>
            <w:tcW w:w="38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7"/>
                <w:szCs w:val="17"/>
                <w:color w:val="auto"/>
                <w:w w:val="88"/>
              </w:rPr>
              <w:t>$22.87</w:t>
            </w:r>
          </w:p>
        </w:tc>
      </w:tr>
      <w:tr>
        <w:trPr>
          <w:trHeight w:val="227"/>
        </w:trPr>
        <w:tc>
          <w:tcPr>
            <w:tcW w:w="2060" w:type="dxa"/>
            <w:vAlign w:val="bottom"/>
            <w:gridSpan w:val="3"/>
          </w:tcPr>
          <w:p>
            <w:pPr>
              <w:jc w:val="center"/>
              <w:spacing w:after="0"/>
              <w:rPr>
                <w:sz w:val="20"/>
                <w:szCs w:val="20"/>
                <w:color w:val="auto"/>
              </w:rPr>
            </w:pPr>
            <w:r>
              <w:rPr>
                <w:rFonts w:ascii="Arial" w:cs="Arial" w:eastAsia="Arial" w:hAnsi="Arial"/>
                <w:sz w:val="17"/>
                <w:szCs w:val="17"/>
                <w:color w:val="auto"/>
                <w:w w:val="90"/>
              </w:rPr>
              <w:t>$30.625 - 52.375</w:t>
            </w:r>
          </w:p>
        </w:tc>
        <w:tc>
          <w:tcPr>
            <w:tcW w:w="1420" w:type="dxa"/>
            <w:vAlign w:val="bottom"/>
            <w:gridSpan w:val="2"/>
          </w:tcPr>
          <w:p>
            <w:pPr>
              <w:jc w:val="right"/>
              <w:ind w:right="55"/>
              <w:spacing w:after="0"/>
              <w:rPr>
                <w:sz w:val="20"/>
                <w:szCs w:val="20"/>
                <w:color w:val="auto"/>
              </w:rPr>
            </w:pPr>
            <w:r>
              <w:rPr>
                <w:rFonts w:ascii="Arial" w:cs="Arial" w:eastAsia="Arial" w:hAnsi="Arial"/>
                <w:sz w:val="17"/>
                <w:szCs w:val="17"/>
                <w:color w:val="auto"/>
              </w:rPr>
              <w:t>1,939,941</w:t>
            </w:r>
          </w:p>
        </w:tc>
        <w:tc>
          <w:tcPr>
            <w:tcW w:w="640" w:type="dxa"/>
            <w:vAlign w:val="bottom"/>
          </w:tcPr>
          <w:p>
            <w:pPr>
              <w:spacing w:after="0"/>
              <w:rPr>
                <w:sz w:val="19"/>
                <w:szCs w:val="19"/>
                <w:color w:val="auto"/>
              </w:rPr>
            </w:pPr>
          </w:p>
        </w:tc>
        <w:tc>
          <w:tcPr>
            <w:tcW w:w="1500" w:type="dxa"/>
            <w:vAlign w:val="bottom"/>
            <w:gridSpan w:val="2"/>
          </w:tcPr>
          <w:p>
            <w:pPr>
              <w:jc w:val="center"/>
              <w:ind w:left="475"/>
              <w:spacing w:after="0"/>
              <w:rPr>
                <w:sz w:val="20"/>
                <w:szCs w:val="20"/>
                <w:color w:val="auto"/>
              </w:rPr>
            </w:pPr>
            <w:r>
              <w:rPr>
                <w:rFonts w:ascii="Arial" w:cs="Arial" w:eastAsia="Arial" w:hAnsi="Arial"/>
                <w:sz w:val="17"/>
                <w:szCs w:val="17"/>
                <w:color w:val="auto"/>
                <w:w w:val="92"/>
              </w:rPr>
              <w:t>7.0</w:t>
            </w:r>
          </w:p>
        </w:tc>
        <w:tc>
          <w:tcPr>
            <w:tcW w:w="560" w:type="dxa"/>
            <w:vAlign w:val="bottom"/>
          </w:tcPr>
          <w:p>
            <w:pPr>
              <w:spacing w:after="0"/>
              <w:rPr>
                <w:sz w:val="19"/>
                <w:szCs w:val="19"/>
                <w:color w:val="auto"/>
              </w:rPr>
            </w:pPr>
          </w:p>
        </w:tc>
        <w:tc>
          <w:tcPr>
            <w:tcW w:w="2040" w:type="dxa"/>
            <w:vAlign w:val="bottom"/>
            <w:gridSpan w:val="3"/>
          </w:tcPr>
          <w:p>
            <w:pPr>
              <w:jc w:val="center"/>
              <w:spacing w:after="0"/>
              <w:rPr>
                <w:sz w:val="20"/>
                <w:szCs w:val="20"/>
                <w:color w:val="auto"/>
              </w:rPr>
            </w:pPr>
            <w:r>
              <w:rPr>
                <w:rFonts w:ascii="Arial" w:cs="Arial" w:eastAsia="Arial" w:hAnsi="Arial"/>
                <w:sz w:val="17"/>
                <w:szCs w:val="17"/>
                <w:color w:val="auto"/>
                <w:w w:val="92"/>
              </w:rPr>
              <w:t>$37.61</w:t>
            </w:r>
          </w:p>
        </w:tc>
        <w:tc>
          <w:tcPr>
            <w:tcW w:w="1440" w:type="dxa"/>
            <w:vAlign w:val="bottom"/>
            <w:gridSpan w:val="3"/>
          </w:tcPr>
          <w:p>
            <w:pPr>
              <w:jc w:val="right"/>
              <w:ind w:right="55"/>
              <w:spacing w:after="0"/>
              <w:rPr>
                <w:sz w:val="20"/>
                <w:szCs w:val="20"/>
                <w:color w:val="auto"/>
              </w:rPr>
            </w:pPr>
            <w:r>
              <w:rPr>
                <w:rFonts w:ascii="Arial" w:cs="Arial" w:eastAsia="Arial" w:hAnsi="Arial"/>
                <w:sz w:val="17"/>
                <w:szCs w:val="17"/>
                <w:color w:val="auto"/>
              </w:rPr>
              <w:t>1,006,214</w:t>
            </w:r>
          </w:p>
        </w:tc>
        <w:tc>
          <w:tcPr>
            <w:tcW w:w="380" w:type="dxa"/>
            <w:vAlign w:val="bottom"/>
          </w:tcPr>
          <w:p>
            <w:pPr>
              <w:spacing w:after="0"/>
              <w:rPr>
                <w:sz w:val="19"/>
                <w:szCs w:val="19"/>
                <w:color w:val="auto"/>
              </w:rPr>
            </w:pPr>
          </w:p>
        </w:tc>
        <w:tc>
          <w:tcPr>
            <w:tcW w:w="1380" w:type="dxa"/>
            <w:vAlign w:val="bottom"/>
            <w:gridSpan w:val="3"/>
          </w:tcPr>
          <w:p>
            <w:pPr>
              <w:jc w:val="center"/>
              <w:spacing w:after="0"/>
              <w:rPr>
                <w:sz w:val="20"/>
                <w:szCs w:val="20"/>
                <w:color w:val="auto"/>
              </w:rPr>
            </w:pPr>
            <w:r>
              <w:rPr>
                <w:rFonts w:ascii="Arial" w:cs="Arial" w:eastAsia="Arial" w:hAnsi="Arial"/>
                <w:sz w:val="17"/>
                <w:szCs w:val="17"/>
                <w:color w:val="auto"/>
                <w:w w:val="88"/>
              </w:rPr>
              <w:t>$34.66</w:t>
            </w:r>
          </w:p>
        </w:tc>
      </w:tr>
    </w:tbl>
    <w:p>
      <w:pPr>
        <w:sectPr>
          <w:pgSz w:w="11900" w:h="16838" w:orient="portrait"/>
          <w:cols w:equalWidth="0" w:num="1">
            <w:col w:w="11420"/>
          </w:cols>
          <w:pgMar w:left="240" w:top="140" w:right="239" w:bottom="30" w:gutter="0" w:footer="0" w:header="0"/>
        </w:sectPr>
      </w:pPr>
    </w:p>
    <w:bookmarkStart w:id="34" w:name="page35"/>
    <w:bookmarkEnd w:id="34"/>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876415" cy="2990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76415" cy="29908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Thousands of Dollars,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Basic EPS</w:t>
            </w:r>
          </w:p>
        </w:tc>
        <w:tc>
          <w:tcPr>
            <w:tcW w:w="1880" w:type="dxa"/>
            <w:vAlign w:val="bottom"/>
            <w:shd w:val="clear" w:color="auto" w:fill="C0C0C0"/>
          </w:tcPr>
          <w:p>
            <w:pPr>
              <w:spacing w:after="0"/>
              <w:rPr>
                <w:sz w:val="16"/>
                <w:szCs w:val="16"/>
                <w:color w:val="auto"/>
              </w:rPr>
            </w:pP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720" w:type="dxa"/>
            <w:vAlign w:val="bottom"/>
            <w:shd w:val="clear" w:color="auto" w:fill="C0C0C0"/>
          </w:tcPr>
          <w:p>
            <w:pPr>
              <w:spacing w:after="0"/>
              <w:rPr>
                <w:sz w:val="16"/>
                <w:szCs w:val="16"/>
                <w:color w:val="auto"/>
              </w:rPr>
            </w:pPr>
          </w:p>
        </w:tc>
        <w:tc>
          <w:tcPr>
            <w:tcW w:w="820" w:type="dxa"/>
            <w:vAlign w:val="bottom"/>
            <w:shd w:val="clear" w:color="auto" w:fill="C0C0C0"/>
          </w:tcPr>
          <w:p>
            <w:pPr>
              <w:spacing w:after="0"/>
              <w:rPr>
                <w:sz w:val="16"/>
                <w:szCs w:val="16"/>
                <w:color w:val="auto"/>
              </w:rPr>
            </w:pPr>
          </w:p>
        </w:tc>
        <w:tc>
          <w:tcPr>
            <w:tcW w:w="400" w:type="dxa"/>
            <w:vAlign w:val="bottom"/>
            <w:gridSpan w:val="3"/>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100" w:type="dxa"/>
            <w:vAlign w:val="bottom"/>
            <w:tcBorders>
              <w:right w:val="single" w:sz="8" w:color="C0C0C0"/>
            </w:tcBorders>
            <w:shd w:val="clear" w:color="auto" w:fill="C0C0C0"/>
          </w:tcPr>
          <w:p>
            <w:pPr>
              <w:spacing w:after="0"/>
              <w:rPr>
                <w:sz w:val="16"/>
                <w:szCs w:val="16"/>
                <w:color w:val="auto"/>
              </w:rPr>
            </w:pPr>
          </w:p>
        </w:tc>
        <w:tc>
          <w:tcPr>
            <w:tcW w:w="64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540" w:type="dxa"/>
            <w:vAlign w:val="bottom"/>
            <w:shd w:val="clear" w:color="auto" w:fill="C0C0C0"/>
          </w:tcPr>
          <w:p>
            <w:pPr>
              <w:spacing w:after="0"/>
              <w:rPr>
                <w:sz w:val="3"/>
                <w:szCs w:val="3"/>
                <w:color w:val="auto"/>
              </w:rPr>
            </w:pPr>
          </w:p>
        </w:tc>
        <w:tc>
          <w:tcPr>
            <w:tcW w:w="188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720" w:type="dxa"/>
            <w:vAlign w:val="bottom"/>
            <w:shd w:val="clear" w:color="auto" w:fill="C0C0C0"/>
          </w:tcPr>
          <w:p>
            <w:pPr>
              <w:spacing w:after="0"/>
              <w:rPr>
                <w:sz w:val="3"/>
                <w:szCs w:val="3"/>
                <w:color w:val="auto"/>
              </w:rPr>
            </w:pPr>
          </w:p>
        </w:tc>
        <w:tc>
          <w:tcPr>
            <w:tcW w:w="820" w:type="dxa"/>
            <w:vAlign w:val="bottom"/>
            <w:shd w:val="clear" w:color="auto" w:fill="C0C0C0"/>
          </w:tcPr>
          <w:p>
            <w:pPr>
              <w:spacing w:after="0"/>
              <w:rPr>
                <w:sz w:val="3"/>
                <w:szCs w:val="3"/>
                <w:color w:val="auto"/>
              </w:rPr>
            </w:pPr>
          </w:p>
        </w:tc>
        <w:tc>
          <w:tcPr>
            <w:tcW w:w="60" w:type="dxa"/>
            <w:vAlign w:val="bottom"/>
            <w:tcBorders>
              <w:right w:val="single" w:sz="8" w:color="C0C0C0"/>
            </w:tcBorders>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0" w:type="dxa"/>
            <w:vAlign w:val="bottom"/>
            <w:tcBorders>
              <w:right w:val="single" w:sz="8" w:color="C0C0C0"/>
            </w:tcBorders>
            <w:shd w:val="clear" w:color="auto" w:fill="C0C0C0"/>
          </w:tcPr>
          <w:p>
            <w:pPr>
              <w:spacing w:after="0"/>
              <w:rPr>
                <w:sz w:val="3"/>
                <w:szCs w:val="3"/>
                <w:color w:val="auto"/>
              </w:rPr>
            </w:pPr>
          </w:p>
        </w:tc>
        <w:tc>
          <w:tcPr>
            <w:tcW w:w="640" w:type="dxa"/>
            <w:vAlign w:val="bottom"/>
            <w:shd w:val="clear" w:color="auto" w:fill="C0C0C0"/>
          </w:tcPr>
          <w:p>
            <w:pPr>
              <w:spacing w:after="0"/>
              <w:rPr>
                <w:sz w:val="3"/>
                <w:szCs w:val="3"/>
                <w:color w:val="auto"/>
              </w:rPr>
            </w:pPr>
          </w:p>
        </w:tc>
        <w:tc>
          <w:tcPr>
            <w:tcW w:w="760" w:type="dxa"/>
            <w:vAlign w:val="bottom"/>
            <w:shd w:val="clear" w:color="auto" w:fill="C0C0C0"/>
          </w:tcPr>
          <w:p>
            <w:pPr>
              <w:spacing w:after="0"/>
              <w:rPr>
                <w:sz w:val="3"/>
                <w:szCs w:val="3"/>
                <w:color w:val="auto"/>
              </w:rPr>
            </w:pPr>
          </w:p>
        </w:tc>
        <w:tc>
          <w:tcPr>
            <w:tcW w:w="40" w:type="dxa"/>
            <w:vAlign w:val="bottom"/>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6"/>
        </w:trPr>
        <w:tc>
          <w:tcPr>
            <w:tcW w:w="454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340" w:type="dxa"/>
            <w:vAlign w:val="bottom"/>
            <w:gridSpan w:val="3"/>
          </w:tcPr>
          <w:p>
            <w:pPr>
              <w:jc w:val="right"/>
              <w:spacing w:after="0"/>
              <w:rPr>
                <w:sz w:val="20"/>
                <w:szCs w:val="20"/>
                <w:color w:val="auto"/>
              </w:rPr>
            </w:pPr>
            <w:r>
              <w:rPr>
                <w:rFonts w:ascii="Arial" w:cs="Arial" w:eastAsia="Arial" w:hAnsi="Arial"/>
                <w:sz w:val="17"/>
                <w:szCs w:val="17"/>
                <w:color w:val="auto"/>
              </w:rPr>
              <w:t>$54,208</w:t>
            </w:r>
          </w:p>
        </w:tc>
        <w:tc>
          <w:tcPr>
            <w:tcW w:w="720" w:type="dxa"/>
            <w:vAlign w:val="bottom"/>
          </w:tcPr>
          <w:p>
            <w:pPr>
              <w:spacing w:after="0"/>
              <w:rPr>
                <w:sz w:val="24"/>
                <w:szCs w:val="24"/>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7"/>
                <w:szCs w:val="17"/>
                <w:color w:val="auto"/>
              </w:rPr>
              <w:t>$62,116</w:t>
            </w:r>
          </w:p>
        </w:tc>
        <w:tc>
          <w:tcPr>
            <w:tcW w:w="1300" w:type="dxa"/>
            <w:vAlign w:val="bottom"/>
            <w:gridSpan w:val="5"/>
          </w:tcPr>
          <w:p>
            <w:pPr>
              <w:jc w:val="right"/>
              <w:ind w:right="20"/>
              <w:spacing w:after="0"/>
              <w:rPr>
                <w:sz w:val="20"/>
                <w:szCs w:val="20"/>
                <w:color w:val="auto"/>
              </w:rPr>
            </w:pPr>
            <w:r>
              <w:rPr>
                <w:rFonts w:ascii="Arial" w:cs="Arial" w:eastAsia="Arial" w:hAnsi="Arial"/>
                <w:sz w:val="17"/>
                <w:szCs w:val="17"/>
                <w:color w:val="auto"/>
              </w:rPr>
              <w:t>$57,224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540" w:type="dxa"/>
            <w:vAlign w:val="bottom"/>
          </w:tcPr>
          <w:p>
            <w:pPr>
              <w:ind w:left="220"/>
              <w:spacing w:after="0"/>
              <w:rPr>
                <w:sz w:val="20"/>
                <w:szCs w:val="20"/>
                <w:color w:val="auto"/>
              </w:rPr>
            </w:pPr>
            <w:r>
              <w:rPr>
                <w:rFonts w:ascii="Arial" w:cs="Arial" w:eastAsia="Arial" w:hAnsi="Arial"/>
                <w:sz w:val="17"/>
                <w:szCs w:val="17"/>
                <w:color w:val="auto"/>
              </w:rPr>
              <w:t>Weighted average shares outstanding</w:t>
            </w:r>
          </w:p>
        </w:tc>
        <w:tc>
          <w:tcPr>
            <w:tcW w:w="1880" w:type="dxa"/>
            <w:vAlign w:val="bottom"/>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20,479</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color w:val="auto"/>
                <w:w w:val="88"/>
              </w:rPr>
              <w:t>21,394</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8"/>
              </w:rPr>
              <w:t>22,281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540" w:type="dxa"/>
            <w:vAlign w:val="bottom"/>
          </w:tcPr>
          <w:p>
            <w:pPr>
              <w:ind w:left="220"/>
              <w:spacing w:after="0"/>
              <w:rPr>
                <w:sz w:val="20"/>
                <w:szCs w:val="20"/>
                <w:color w:val="auto"/>
              </w:rPr>
            </w:pPr>
            <w:r>
              <w:rPr>
                <w:rFonts w:ascii="Arial" w:cs="Arial" w:eastAsia="Arial" w:hAnsi="Arial"/>
                <w:sz w:val="17"/>
                <w:szCs w:val="17"/>
                <w:color w:val="auto"/>
              </w:rPr>
              <w:t>Basic earnings per share</w:t>
            </w:r>
          </w:p>
        </w:tc>
        <w:tc>
          <w:tcPr>
            <w:tcW w:w="18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2.65</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5"/>
          </w:tcPr>
          <w:p>
            <w:pPr>
              <w:jc w:val="right"/>
              <w:ind w:right="660"/>
              <w:spacing w:after="0"/>
              <w:rPr>
                <w:sz w:val="20"/>
                <w:szCs w:val="20"/>
                <w:color w:val="auto"/>
              </w:rPr>
            </w:pPr>
            <w:r>
              <w:rPr>
                <w:rFonts w:ascii="Arial" w:cs="Arial" w:eastAsia="Arial" w:hAnsi="Arial"/>
                <w:sz w:val="17"/>
                <w:szCs w:val="17"/>
                <w:color w:val="auto"/>
              </w:rPr>
              <w:t>2.90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3060" w:type="dxa"/>
            <w:vAlign w:val="bottom"/>
            <w:gridSpan w:val="4"/>
          </w:tcPr>
          <w:p>
            <w:pPr>
              <w:jc w:val="right"/>
              <w:ind w:right="720"/>
              <w:spacing w:after="0"/>
              <w:rPr>
                <w:sz w:val="20"/>
                <w:szCs w:val="20"/>
                <w:color w:val="auto"/>
              </w:rPr>
            </w:pPr>
            <w:r>
              <w:rPr>
                <w:rFonts w:ascii="Arial" w:cs="Arial" w:eastAsia="Arial" w:hAnsi="Arial"/>
                <w:sz w:val="17"/>
                <w:szCs w:val="17"/>
                <w:color w:val="auto"/>
              </w:rPr>
              <w:t>======</w:t>
            </w:r>
          </w:p>
        </w:tc>
        <w:tc>
          <w:tcPr>
            <w:tcW w:w="1960" w:type="dxa"/>
            <w:vAlign w:val="bottom"/>
            <w:gridSpan w:val="6"/>
          </w:tcPr>
          <w:p>
            <w:pPr>
              <w:jc w:val="right"/>
              <w:ind w:right="660"/>
              <w:spacing w:after="0"/>
              <w:rPr>
                <w:sz w:val="20"/>
                <w:szCs w:val="20"/>
                <w:color w:val="auto"/>
              </w:rPr>
            </w:pPr>
            <w:r>
              <w:rPr>
                <w:rFonts w:ascii="Arial" w:cs="Arial" w:eastAsia="Arial" w:hAnsi="Arial"/>
                <w:sz w:val="17"/>
                <w:szCs w:val="17"/>
                <w:color w:val="auto"/>
              </w:rPr>
              <w:t>======</w:t>
            </w:r>
          </w:p>
        </w:tc>
        <w:tc>
          <w:tcPr>
            <w:tcW w:w="130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540" w:type="dxa"/>
            <w:vAlign w:val="bottom"/>
            <w:shd w:val="clear" w:color="auto" w:fill="C0C0C0"/>
          </w:tcPr>
          <w:p>
            <w:pPr>
              <w:spacing w:after="0" w:line="171" w:lineRule="exact"/>
              <w:rPr>
                <w:sz w:val="20"/>
                <w:szCs w:val="20"/>
                <w:color w:val="auto"/>
              </w:rPr>
            </w:pPr>
            <w:r>
              <w:rPr>
                <w:rFonts w:ascii="Arial" w:cs="Arial" w:eastAsia="Arial" w:hAnsi="Arial"/>
                <w:sz w:val="17"/>
                <w:szCs w:val="17"/>
                <w:b w:val="1"/>
                <w:bCs w:val="1"/>
                <w:color w:val="auto"/>
              </w:rPr>
              <w:t>Diluted EPS</w:t>
            </w:r>
          </w:p>
        </w:tc>
        <w:tc>
          <w:tcPr>
            <w:tcW w:w="1880" w:type="dxa"/>
            <w:vAlign w:val="bottom"/>
            <w:shd w:val="clear" w:color="auto" w:fill="C0C0C0"/>
          </w:tcPr>
          <w:p>
            <w:pPr>
              <w:spacing w:after="0"/>
              <w:rPr>
                <w:sz w:val="14"/>
                <w:szCs w:val="14"/>
                <w:color w:val="auto"/>
              </w:rPr>
            </w:pPr>
          </w:p>
        </w:tc>
        <w:tc>
          <w:tcPr>
            <w:tcW w:w="460" w:type="dxa"/>
            <w:vAlign w:val="bottom"/>
            <w:gridSpan w:val="2"/>
            <w:shd w:val="clear" w:color="auto" w:fill="C0C0C0"/>
          </w:tcPr>
          <w:p>
            <w:pPr>
              <w:jc w:val="right"/>
              <w:spacing w:after="0" w:line="171" w:lineRule="exact"/>
              <w:rPr>
                <w:sz w:val="20"/>
                <w:szCs w:val="20"/>
                <w:color w:val="auto"/>
              </w:rPr>
            </w:pPr>
            <w:r>
              <w:rPr>
                <w:rFonts w:ascii="Arial" w:cs="Arial" w:eastAsia="Arial" w:hAnsi="Arial"/>
                <w:sz w:val="17"/>
                <w:szCs w:val="17"/>
                <w:b w:val="1"/>
                <w:bCs w:val="1"/>
                <w:color w:val="auto"/>
              </w:rPr>
              <w:t>2000</w:t>
            </w:r>
          </w:p>
        </w:tc>
        <w:tc>
          <w:tcPr>
            <w:tcW w:w="720" w:type="dxa"/>
            <w:vAlign w:val="bottom"/>
            <w:shd w:val="clear" w:color="auto" w:fill="C0C0C0"/>
          </w:tcPr>
          <w:p>
            <w:pPr>
              <w:spacing w:after="0"/>
              <w:rPr>
                <w:sz w:val="14"/>
                <w:szCs w:val="14"/>
                <w:color w:val="auto"/>
              </w:rPr>
            </w:pPr>
          </w:p>
        </w:tc>
        <w:tc>
          <w:tcPr>
            <w:tcW w:w="820" w:type="dxa"/>
            <w:vAlign w:val="bottom"/>
            <w:shd w:val="clear" w:color="auto" w:fill="C0C0C0"/>
          </w:tcPr>
          <w:p>
            <w:pPr>
              <w:spacing w:after="0"/>
              <w:rPr>
                <w:sz w:val="14"/>
                <w:szCs w:val="14"/>
                <w:color w:val="auto"/>
              </w:rPr>
            </w:pPr>
          </w:p>
        </w:tc>
        <w:tc>
          <w:tcPr>
            <w:tcW w:w="1140" w:type="dxa"/>
            <w:vAlign w:val="bottom"/>
            <w:gridSpan w:val="5"/>
            <w:shd w:val="clear" w:color="auto" w:fill="C0C0C0"/>
          </w:tcPr>
          <w:p>
            <w:pPr>
              <w:jc w:val="right"/>
              <w:ind w:right="660"/>
              <w:spacing w:after="0" w:line="171" w:lineRule="exact"/>
              <w:rPr>
                <w:sz w:val="20"/>
                <w:szCs w:val="20"/>
                <w:color w:val="auto"/>
              </w:rPr>
            </w:pPr>
            <w:r>
              <w:rPr>
                <w:rFonts w:ascii="Arial" w:cs="Arial" w:eastAsia="Arial" w:hAnsi="Arial"/>
                <w:sz w:val="17"/>
                <w:szCs w:val="17"/>
                <w:b w:val="1"/>
                <w:bCs w:val="1"/>
                <w:color w:val="auto"/>
              </w:rPr>
              <w:t>1999</w:t>
            </w:r>
          </w:p>
        </w:tc>
        <w:tc>
          <w:tcPr>
            <w:tcW w:w="760" w:type="dxa"/>
            <w:vAlign w:val="bottom"/>
            <w:shd w:val="clear" w:color="auto" w:fill="C0C0C0"/>
          </w:tcPr>
          <w:p>
            <w:pPr>
              <w:spacing w:after="0"/>
              <w:rPr>
                <w:sz w:val="14"/>
                <w:szCs w:val="14"/>
                <w:color w:val="auto"/>
              </w:rPr>
            </w:pPr>
          </w:p>
        </w:tc>
        <w:tc>
          <w:tcPr>
            <w:tcW w:w="40" w:type="dxa"/>
            <w:vAlign w:val="bottom"/>
            <w:shd w:val="clear" w:color="auto" w:fill="C0C0C0"/>
          </w:tcPr>
          <w:p>
            <w:pPr>
              <w:spacing w:after="0"/>
              <w:rPr>
                <w:sz w:val="14"/>
                <w:szCs w:val="14"/>
                <w:color w:val="auto"/>
              </w:rPr>
            </w:pPr>
          </w:p>
        </w:tc>
        <w:tc>
          <w:tcPr>
            <w:tcW w:w="480" w:type="dxa"/>
            <w:vAlign w:val="bottom"/>
            <w:gridSpan w:val="2"/>
            <w:shd w:val="clear" w:color="auto" w:fill="C0C0C0"/>
          </w:tcPr>
          <w:p>
            <w:pPr>
              <w:jc w:val="right"/>
              <w:spacing w:after="0" w:line="171" w:lineRule="exact"/>
              <w:rPr>
                <w:sz w:val="20"/>
                <w:szCs w:val="20"/>
                <w:color w:val="auto"/>
              </w:rPr>
            </w:pPr>
            <w:r>
              <w:rPr>
                <w:rFonts w:ascii="Arial" w:cs="Arial" w:eastAsia="Arial" w:hAnsi="Arial"/>
                <w:sz w:val="17"/>
                <w:szCs w:val="17"/>
                <w:b w:val="1"/>
                <w:bCs w:val="1"/>
                <w:color w:val="auto"/>
              </w:rPr>
              <w:t>1998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540" w:type="dxa"/>
            <w:vAlign w:val="bottom"/>
            <w:shd w:val="clear" w:color="auto" w:fill="C0C0C0"/>
          </w:tcPr>
          <w:p>
            <w:pPr>
              <w:spacing w:after="0"/>
              <w:rPr>
                <w:sz w:val="3"/>
                <w:szCs w:val="3"/>
                <w:color w:val="auto"/>
              </w:rPr>
            </w:pPr>
          </w:p>
        </w:tc>
        <w:tc>
          <w:tcPr>
            <w:tcW w:w="188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720" w:type="dxa"/>
            <w:vAlign w:val="bottom"/>
            <w:shd w:val="clear" w:color="auto" w:fill="C0C0C0"/>
          </w:tcPr>
          <w:p>
            <w:pPr>
              <w:spacing w:after="0"/>
              <w:rPr>
                <w:sz w:val="3"/>
                <w:szCs w:val="3"/>
                <w:color w:val="auto"/>
              </w:rPr>
            </w:pPr>
          </w:p>
        </w:tc>
        <w:tc>
          <w:tcPr>
            <w:tcW w:w="820" w:type="dxa"/>
            <w:vAlign w:val="bottom"/>
            <w:shd w:val="clear" w:color="auto" w:fill="C0C0C0"/>
          </w:tcPr>
          <w:p>
            <w:pPr>
              <w:spacing w:after="0"/>
              <w:rPr>
                <w:sz w:val="3"/>
                <w:szCs w:val="3"/>
                <w:color w:val="auto"/>
              </w:rPr>
            </w:pPr>
          </w:p>
        </w:tc>
        <w:tc>
          <w:tcPr>
            <w:tcW w:w="60" w:type="dxa"/>
            <w:vAlign w:val="bottom"/>
            <w:tcBorders>
              <w:right w:val="single" w:sz="8" w:color="C0C0C0"/>
            </w:tcBorders>
            <w:shd w:val="clear" w:color="auto" w:fill="C0C0C0"/>
          </w:tcPr>
          <w:p>
            <w:pPr>
              <w:spacing w:after="0"/>
              <w:rPr>
                <w:sz w:val="3"/>
                <w:szCs w:val="3"/>
                <w:color w:val="auto"/>
              </w:rPr>
            </w:pPr>
          </w:p>
        </w:tc>
        <w:tc>
          <w:tcPr>
            <w:tcW w:w="80" w:type="dxa"/>
            <w:vAlign w:val="bottom"/>
            <w:shd w:val="clear" w:color="auto" w:fill="C0C0C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0" w:type="dxa"/>
            <w:vAlign w:val="bottom"/>
            <w:tcBorders>
              <w:right w:val="single" w:sz="8" w:color="C0C0C0"/>
            </w:tcBorders>
            <w:shd w:val="clear" w:color="auto" w:fill="000000"/>
          </w:tcPr>
          <w:p>
            <w:pPr>
              <w:spacing w:after="0"/>
              <w:rPr>
                <w:sz w:val="3"/>
                <w:szCs w:val="3"/>
                <w:color w:val="auto"/>
              </w:rPr>
            </w:pPr>
          </w:p>
        </w:tc>
        <w:tc>
          <w:tcPr>
            <w:tcW w:w="640" w:type="dxa"/>
            <w:vAlign w:val="bottom"/>
            <w:shd w:val="clear" w:color="auto" w:fill="C0C0C0"/>
          </w:tcPr>
          <w:p>
            <w:pPr>
              <w:spacing w:after="0"/>
              <w:rPr>
                <w:sz w:val="3"/>
                <w:szCs w:val="3"/>
                <w:color w:val="auto"/>
              </w:rPr>
            </w:pPr>
          </w:p>
        </w:tc>
        <w:tc>
          <w:tcPr>
            <w:tcW w:w="760" w:type="dxa"/>
            <w:vAlign w:val="bottom"/>
            <w:shd w:val="clear" w:color="auto" w:fill="C0C0C0"/>
          </w:tcPr>
          <w:p>
            <w:pPr>
              <w:spacing w:after="0"/>
              <w:rPr>
                <w:sz w:val="3"/>
                <w:szCs w:val="3"/>
                <w:color w:val="auto"/>
              </w:rPr>
            </w:pPr>
          </w:p>
        </w:tc>
        <w:tc>
          <w:tcPr>
            <w:tcW w:w="40" w:type="dxa"/>
            <w:vAlign w:val="bottom"/>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6"/>
        </w:trPr>
        <w:tc>
          <w:tcPr>
            <w:tcW w:w="454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340" w:type="dxa"/>
            <w:vAlign w:val="bottom"/>
            <w:gridSpan w:val="3"/>
          </w:tcPr>
          <w:p>
            <w:pPr>
              <w:jc w:val="right"/>
              <w:spacing w:after="0"/>
              <w:rPr>
                <w:sz w:val="20"/>
                <w:szCs w:val="20"/>
                <w:color w:val="auto"/>
              </w:rPr>
            </w:pPr>
            <w:r>
              <w:rPr>
                <w:rFonts w:ascii="Arial" w:cs="Arial" w:eastAsia="Arial" w:hAnsi="Arial"/>
                <w:sz w:val="17"/>
                <w:szCs w:val="17"/>
                <w:color w:val="auto"/>
              </w:rPr>
              <w:t>$54,208</w:t>
            </w:r>
          </w:p>
        </w:tc>
        <w:tc>
          <w:tcPr>
            <w:tcW w:w="720" w:type="dxa"/>
            <w:vAlign w:val="bottom"/>
          </w:tcPr>
          <w:p>
            <w:pPr>
              <w:spacing w:after="0"/>
              <w:rPr>
                <w:sz w:val="24"/>
                <w:szCs w:val="24"/>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7"/>
                <w:szCs w:val="17"/>
                <w:color w:val="auto"/>
              </w:rPr>
              <w:t>$62,116</w:t>
            </w:r>
          </w:p>
        </w:tc>
        <w:tc>
          <w:tcPr>
            <w:tcW w:w="1300" w:type="dxa"/>
            <w:vAlign w:val="bottom"/>
            <w:gridSpan w:val="5"/>
          </w:tcPr>
          <w:p>
            <w:pPr>
              <w:jc w:val="right"/>
              <w:ind w:right="20"/>
              <w:spacing w:after="0"/>
              <w:rPr>
                <w:sz w:val="20"/>
                <w:szCs w:val="20"/>
                <w:color w:val="auto"/>
              </w:rPr>
            </w:pPr>
            <w:r>
              <w:rPr>
                <w:rFonts w:ascii="Arial" w:cs="Arial" w:eastAsia="Arial" w:hAnsi="Arial"/>
                <w:sz w:val="17"/>
                <w:szCs w:val="17"/>
                <w:color w:val="auto"/>
              </w:rPr>
              <w:t>$57,224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4540" w:type="dxa"/>
            <w:vAlign w:val="bottom"/>
          </w:tcPr>
          <w:p>
            <w:pPr>
              <w:ind w:left="220"/>
              <w:spacing w:after="0"/>
              <w:rPr>
                <w:sz w:val="20"/>
                <w:szCs w:val="20"/>
                <w:color w:val="auto"/>
              </w:rPr>
            </w:pPr>
            <w:r>
              <w:rPr>
                <w:rFonts w:ascii="Arial" w:cs="Arial" w:eastAsia="Arial" w:hAnsi="Arial"/>
                <w:sz w:val="17"/>
                <w:szCs w:val="17"/>
                <w:color w:val="auto"/>
              </w:rPr>
              <w:t>Weighted average shares outstanding</w:t>
            </w:r>
          </w:p>
        </w:tc>
        <w:tc>
          <w:tcPr>
            <w:tcW w:w="18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w w:val="84"/>
              </w:rPr>
              <w:t>20,479</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gridSpan w:val="5"/>
          </w:tcPr>
          <w:p>
            <w:pPr>
              <w:jc w:val="right"/>
              <w:ind w:right="660"/>
              <w:spacing w:after="0"/>
              <w:rPr>
                <w:sz w:val="20"/>
                <w:szCs w:val="20"/>
                <w:color w:val="auto"/>
              </w:rPr>
            </w:pPr>
            <w:r>
              <w:rPr>
                <w:rFonts w:ascii="Arial" w:cs="Arial" w:eastAsia="Arial" w:hAnsi="Arial"/>
                <w:sz w:val="17"/>
                <w:szCs w:val="17"/>
                <w:color w:val="auto"/>
                <w:w w:val="88"/>
              </w:rPr>
              <w:t>21,394</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7"/>
                <w:szCs w:val="17"/>
                <w:color w:val="auto"/>
                <w:w w:val="88"/>
              </w:rPr>
              <w:t>22,281</w:t>
            </w:r>
          </w:p>
        </w:tc>
        <w:tc>
          <w:tcPr>
            <w:tcW w:w="0" w:type="dxa"/>
            <w:vAlign w:val="bottom"/>
          </w:tcPr>
          <w:p>
            <w:pPr>
              <w:spacing w:after="0"/>
              <w:rPr>
                <w:sz w:val="1"/>
                <w:szCs w:val="1"/>
                <w:color w:val="auto"/>
              </w:rPr>
            </w:pPr>
          </w:p>
        </w:tc>
      </w:tr>
      <w:tr>
        <w:trPr>
          <w:trHeight w:val="179"/>
        </w:trPr>
        <w:tc>
          <w:tcPr>
            <w:tcW w:w="4540" w:type="dxa"/>
            <w:vAlign w:val="bottom"/>
          </w:tcPr>
          <w:p>
            <w:pPr>
              <w:ind w:left="220"/>
              <w:spacing w:after="0" w:line="179" w:lineRule="exact"/>
              <w:rPr>
                <w:sz w:val="20"/>
                <w:szCs w:val="20"/>
                <w:color w:val="auto"/>
              </w:rPr>
            </w:pPr>
            <w:r>
              <w:rPr>
                <w:rFonts w:ascii="Arial" w:cs="Arial" w:eastAsia="Arial" w:hAnsi="Arial"/>
                <w:sz w:val="17"/>
                <w:szCs w:val="17"/>
                <w:color w:val="auto"/>
              </w:rPr>
              <w:t>Dilutive effect of stock options</w:t>
            </w:r>
          </w:p>
        </w:tc>
        <w:tc>
          <w:tcPr>
            <w:tcW w:w="1880" w:type="dxa"/>
            <w:vAlign w:val="bottom"/>
          </w:tcPr>
          <w:p>
            <w:pPr>
              <w:spacing w:after="0"/>
              <w:rPr>
                <w:sz w:val="15"/>
                <w:szCs w:val="15"/>
                <w:color w:val="auto"/>
              </w:rPr>
            </w:pPr>
          </w:p>
        </w:tc>
        <w:tc>
          <w:tcPr>
            <w:tcW w:w="46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525</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gridSpan w:val="5"/>
          </w:tcPr>
          <w:p>
            <w:pPr>
              <w:jc w:val="right"/>
              <w:ind w:right="660"/>
              <w:spacing w:after="0" w:line="179" w:lineRule="exact"/>
              <w:rPr>
                <w:sz w:val="20"/>
                <w:szCs w:val="20"/>
                <w:color w:val="auto"/>
              </w:rPr>
            </w:pPr>
            <w:r>
              <w:rPr>
                <w:rFonts w:ascii="Arial" w:cs="Arial" w:eastAsia="Arial" w:hAnsi="Arial"/>
                <w:sz w:val="17"/>
                <w:szCs w:val="17"/>
                <w:color w:val="auto"/>
              </w:rPr>
              <w:t>756</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3"/>
          </w:tcPr>
          <w:p>
            <w:pPr>
              <w:jc w:val="right"/>
              <w:ind w:right="20"/>
              <w:spacing w:after="0" w:line="179" w:lineRule="exact"/>
              <w:rPr>
                <w:sz w:val="20"/>
                <w:szCs w:val="20"/>
                <w:color w:val="auto"/>
              </w:rPr>
            </w:pPr>
            <w:r>
              <w:rPr>
                <w:rFonts w:ascii="Arial" w:cs="Arial" w:eastAsia="Arial" w:hAnsi="Arial"/>
                <w:sz w:val="17"/>
                <w:szCs w:val="17"/>
                <w:color w:val="auto"/>
              </w:rPr>
              <w:t>645</w:t>
            </w:r>
          </w:p>
        </w:tc>
        <w:tc>
          <w:tcPr>
            <w:tcW w:w="0" w:type="dxa"/>
            <w:vAlign w:val="bottom"/>
          </w:tcPr>
          <w:p>
            <w:pPr>
              <w:spacing w:after="0"/>
              <w:rPr>
                <w:sz w:val="1"/>
                <w:szCs w:val="1"/>
                <w:color w:val="auto"/>
              </w:rPr>
            </w:pPr>
          </w:p>
        </w:tc>
      </w:tr>
      <w:tr>
        <w:trPr>
          <w:trHeight w:val="220"/>
        </w:trPr>
        <w:tc>
          <w:tcPr>
            <w:tcW w:w="4540" w:type="dxa"/>
            <w:vAlign w:val="bottom"/>
          </w:tcPr>
          <w:p>
            <w:pPr>
              <w:ind w:left="220"/>
              <w:spacing w:after="0"/>
              <w:rPr>
                <w:sz w:val="20"/>
                <w:szCs w:val="20"/>
                <w:color w:val="auto"/>
              </w:rPr>
            </w:pPr>
            <w:r>
              <w:rPr>
                <w:rFonts w:ascii="Arial" w:cs="Arial" w:eastAsia="Arial" w:hAnsi="Arial"/>
                <w:sz w:val="17"/>
                <w:szCs w:val="17"/>
                <w:color w:val="auto"/>
              </w:rPr>
              <w:t>Weighted average shares outstanding,</w:t>
            </w: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260"/>
              <w:spacing w:after="0" w:line="179" w:lineRule="exact"/>
              <w:rPr>
                <w:sz w:val="20"/>
                <w:szCs w:val="20"/>
                <w:color w:val="auto"/>
              </w:rPr>
            </w:pPr>
            <w:r>
              <w:rPr>
                <w:rFonts w:ascii="Arial" w:cs="Arial" w:eastAsia="Arial" w:hAnsi="Arial"/>
                <w:sz w:val="17"/>
                <w:szCs w:val="17"/>
                <w:color w:val="auto"/>
              </w:rPr>
              <w:t>adjusted</w:t>
            </w:r>
          </w:p>
        </w:tc>
        <w:tc>
          <w:tcPr>
            <w:tcW w:w="1880" w:type="dxa"/>
            <w:vAlign w:val="bottom"/>
          </w:tcPr>
          <w:p>
            <w:pPr>
              <w:spacing w:after="0"/>
              <w:rPr>
                <w:sz w:val="15"/>
                <w:szCs w:val="15"/>
                <w:color w:val="auto"/>
              </w:rPr>
            </w:pPr>
          </w:p>
        </w:tc>
        <w:tc>
          <w:tcPr>
            <w:tcW w:w="46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84"/>
              </w:rPr>
              <w:t>21,004</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Borders>
              <w:bottom w:val="single" w:sz="8" w:color="auto"/>
            </w:tcBorders>
            <w:gridSpan w:val="4"/>
          </w:tcPr>
          <w:p>
            <w:pPr>
              <w:jc w:val="right"/>
              <w:ind w:right="20"/>
              <w:spacing w:after="0" w:line="179" w:lineRule="exact"/>
              <w:rPr>
                <w:sz w:val="20"/>
                <w:szCs w:val="20"/>
                <w:color w:val="auto"/>
              </w:rPr>
            </w:pPr>
            <w:r>
              <w:rPr>
                <w:rFonts w:ascii="Arial" w:cs="Arial" w:eastAsia="Arial" w:hAnsi="Arial"/>
                <w:sz w:val="17"/>
                <w:szCs w:val="17"/>
                <w:color w:val="auto"/>
                <w:w w:val="88"/>
              </w:rPr>
              <w:t>22,150</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88"/>
              </w:rPr>
              <w:t>22,926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6"/>
        </w:trPr>
        <w:tc>
          <w:tcPr>
            <w:tcW w:w="4540" w:type="dxa"/>
            <w:vAlign w:val="bottom"/>
          </w:tcPr>
          <w:p>
            <w:pPr>
              <w:ind w:left="220"/>
              <w:spacing w:after="0"/>
              <w:rPr>
                <w:sz w:val="20"/>
                <w:szCs w:val="20"/>
                <w:color w:val="auto"/>
              </w:rPr>
            </w:pPr>
            <w:r>
              <w:rPr>
                <w:rFonts w:ascii="Arial" w:cs="Arial" w:eastAsia="Arial" w:hAnsi="Arial"/>
                <w:sz w:val="17"/>
                <w:szCs w:val="17"/>
                <w:color w:val="auto"/>
              </w:rPr>
              <w:t>Diluted earnings per share</w:t>
            </w:r>
          </w:p>
        </w:tc>
        <w:tc>
          <w:tcPr>
            <w:tcW w:w="18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2.58</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5"/>
          </w:tcPr>
          <w:p>
            <w:pPr>
              <w:jc w:val="right"/>
              <w:ind w:right="660"/>
              <w:spacing w:after="0"/>
              <w:rPr>
                <w:sz w:val="20"/>
                <w:szCs w:val="20"/>
                <w:color w:val="auto"/>
              </w:rPr>
            </w:pPr>
            <w:r>
              <w:rPr>
                <w:rFonts w:ascii="Arial" w:cs="Arial" w:eastAsia="Arial" w:hAnsi="Arial"/>
                <w:sz w:val="17"/>
                <w:szCs w:val="17"/>
                <w:color w:val="auto"/>
              </w:rPr>
              <w:t>2.80</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3060" w:type="dxa"/>
            <w:vAlign w:val="bottom"/>
            <w:gridSpan w:val="4"/>
          </w:tcPr>
          <w:p>
            <w:pPr>
              <w:jc w:val="right"/>
              <w:ind w:right="720"/>
              <w:spacing w:after="0"/>
              <w:rPr>
                <w:sz w:val="20"/>
                <w:szCs w:val="20"/>
                <w:color w:val="auto"/>
              </w:rPr>
            </w:pPr>
            <w:r>
              <w:rPr>
                <w:rFonts w:ascii="Arial" w:cs="Arial" w:eastAsia="Arial" w:hAnsi="Arial"/>
                <w:sz w:val="17"/>
                <w:szCs w:val="17"/>
                <w:color w:val="auto"/>
              </w:rPr>
              <w:t>======</w:t>
            </w:r>
          </w:p>
        </w:tc>
        <w:tc>
          <w:tcPr>
            <w:tcW w:w="1960" w:type="dxa"/>
            <w:vAlign w:val="bottom"/>
            <w:gridSpan w:val="6"/>
          </w:tcPr>
          <w:p>
            <w:pPr>
              <w:jc w:val="right"/>
              <w:ind w:right="660"/>
              <w:spacing w:after="0"/>
              <w:rPr>
                <w:sz w:val="20"/>
                <w:szCs w:val="20"/>
                <w:color w:val="auto"/>
              </w:rPr>
            </w:pPr>
            <w:r>
              <w:rPr>
                <w:rFonts w:ascii="Arial" w:cs="Arial" w:eastAsia="Arial" w:hAnsi="Arial"/>
                <w:sz w:val="17"/>
                <w:szCs w:val="17"/>
                <w:color w:val="auto"/>
              </w:rPr>
              <w:t>======</w:t>
            </w:r>
          </w:p>
        </w:tc>
        <w:tc>
          <w:tcPr>
            <w:tcW w:w="130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reflects the accumulated balances of other comprehensive income (loss)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280" w:type="dxa"/>
            <w:vAlign w:val="bottom"/>
            <w:tcBorders>
              <w:left w:val="single" w:sz="8" w:color="C0C0C0"/>
            </w:tcBorders>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200" w:type="dxa"/>
            <w:vAlign w:val="bottom"/>
            <w:tcBorders>
              <w:left w:val="single" w:sz="8" w:color="C0C0C0"/>
            </w:tcBorders>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660" w:type="dxa"/>
            <w:vAlign w:val="bottom"/>
            <w:shd w:val="clear" w:color="auto" w:fill="C0C0C0"/>
          </w:tcPr>
          <w:p>
            <w:pPr>
              <w:spacing w:after="0"/>
              <w:rPr>
                <w:sz w:val="18"/>
                <w:szCs w:val="18"/>
                <w:color w:val="auto"/>
              </w:rPr>
            </w:pPr>
          </w:p>
        </w:tc>
        <w:tc>
          <w:tcPr>
            <w:tcW w:w="60" w:type="dxa"/>
            <w:vAlign w:val="bottom"/>
            <w:tcBorders>
              <w:right w:val="single" w:sz="8" w:color="C0C0C0"/>
            </w:tcBorders>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20" w:type="dxa"/>
            <w:vAlign w:val="bottom"/>
            <w:tcBorders>
              <w:left w:val="single" w:sz="8" w:color="C0C0C0"/>
            </w:tcBorders>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380" w:type="dxa"/>
            <w:vAlign w:val="bottom"/>
            <w:gridSpan w:val="5"/>
            <w:shd w:val="clear" w:color="auto" w:fill="C0C0C0"/>
          </w:tcPr>
          <w:p>
            <w:pPr>
              <w:jc w:val="center"/>
              <w:ind w:right="360"/>
              <w:spacing w:after="0"/>
              <w:rPr>
                <w:sz w:val="20"/>
                <w:szCs w:val="20"/>
                <w:color w:val="auto"/>
              </w:rPr>
            </w:pPr>
            <w:r>
              <w:rPr>
                <w:rFonts w:ascii="Arial" w:cs="Arial" w:eastAsia="Arial" w:hAnsi="Arial"/>
                <w:sz w:val="17"/>
                <w:szCs w:val="17"/>
                <w:b w:val="1"/>
                <w:bCs w:val="1"/>
                <w:color w:val="auto"/>
                <w:w w:val="91"/>
              </w:rPr>
              <w:t>Accumulated</w:t>
            </w:r>
          </w:p>
        </w:tc>
      </w:tr>
      <w:tr>
        <w:trPr>
          <w:trHeight w:val="233"/>
        </w:trPr>
        <w:tc>
          <w:tcPr>
            <w:tcW w:w="366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300" w:type="dxa"/>
            <w:vAlign w:val="bottom"/>
            <w:gridSpan w:val="5"/>
            <w:shd w:val="clear" w:color="auto" w:fill="C0C0C0"/>
          </w:tcPr>
          <w:p>
            <w:pPr>
              <w:jc w:val="center"/>
              <w:ind w:right="440"/>
              <w:spacing w:after="0"/>
              <w:rPr>
                <w:sz w:val="20"/>
                <w:szCs w:val="20"/>
                <w:color w:val="auto"/>
              </w:rPr>
            </w:pPr>
            <w:r>
              <w:rPr>
                <w:rFonts w:ascii="Arial" w:cs="Arial" w:eastAsia="Arial" w:hAnsi="Arial"/>
                <w:sz w:val="17"/>
                <w:szCs w:val="17"/>
                <w:b w:val="1"/>
                <w:bCs w:val="1"/>
                <w:color w:val="auto"/>
                <w:w w:val="93"/>
              </w:rPr>
              <w:t>Currency</w:t>
            </w:r>
          </w:p>
        </w:tc>
        <w:tc>
          <w:tcPr>
            <w:tcW w:w="1700" w:type="dxa"/>
            <w:vAlign w:val="bottom"/>
            <w:gridSpan w:val="6"/>
            <w:shd w:val="clear" w:color="auto" w:fill="C0C0C0"/>
          </w:tcPr>
          <w:p>
            <w:pPr>
              <w:jc w:val="center"/>
              <w:spacing w:after="0"/>
              <w:rPr>
                <w:sz w:val="20"/>
                <w:szCs w:val="20"/>
                <w:color w:val="auto"/>
              </w:rPr>
            </w:pPr>
            <w:r>
              <w:rPr>
                <w:rFonts w:ascii="Arial" w:cs="Arial" w:eastAsia="Arial" w:hAnsi="Arial"/>
                <w:sz w:val="17"/>
                <w:szCs w:val="17"/>
                <w:b w:val="1"/>
                <w:bCs w:val="1"/>
                <w:color w:val="auto"/>
                <w:w w:val="99"/>
              </w:rPr>
              <w:t>Minimum</w:t>
            </w:r>
          </w:p>
        </w:tc>
        <w:tc>
          <w:tcPr>
            <w:tcW w:w="1640" w:type="dxa"/>
            <w:vAlign w:val="bottom"/>
            <w:gridSpan w:val="6"/>
            <w:shd w:val="clear" w:color="auto" w:fill="C0C0C0"/>
          </w:tcPr>
          <w:p>
            <w:pPr>
              <w:jc w:val="center"/>
              <w:ind w:left="15"/>
              <w:spacing w:after="0"/>
              <w:rPr>
                <w:sz w:val="20"/>
                <w:szCs w:val="20"/>
                <w:color w:val="auto"/>
              </w:rPr>
            </w:pPr>
            <w:r>
              <w:rPr>
                <w:rFonts w:ascii="Arial" w:cs="Arial" w:eastAsia="Arial" w:hAnsi="Arial"/>
                <w:sz w:val="17"/>
                <w:szCs w:val="17"/>
                <w:b w:val="1"/>
                <w:bCs w:val="1"/>
                <w:color w:val="auto"/>
                <w:w w:val="90"/>
              </w:rPr>
              <w:t>Unrealized</w:t>
            </w:r>
          </w:p>
        </w:tc>
        <w:tc>
          <w:tcPr>
            <w:tcW w:w="440" w:type="dxa"/>
            <w:vAlign w:val="bottom"/>
            <w:shd w:val="clear" w:color="auto" w:fill="C0C0C0"/>
          </w:tcPr>
          <w:p>
            <w:pPr>
              <w:spacing w:after="0"/>
              <w:rPr>
                <w:sz w:val="20"/>
                <w:szCs w:val="20"/>
                <w:color w:val="auto"/>
              </w:rPr>
            </w:pPr>
          </w:p>
        </w:tc>
        <w:tc>
          <w:tcPr>
            <w:tcW w:w="1380" w:type="dxa"/>
            <w:vAlign w:val="bottom"/>
            <w:gridSpan w:val="5"/>
            <w:shd w:val="clear" w:color="auto" w:fill="C0C0C0"/>
          </w:tcPr>
          <w:p>
            <w:pPr>
              <w:jc w:val="center"/>
              <w:ind w:right="360"/>
              <w:spacing w:after="0"/>
              <w:rPr>
                <w:sz w:val="20"/>
                <w:szCs w:val="20"/>
                <w:color w:val="auto"/>
              </w:rPr>
            </w:pPr>
            <w:r>
              <w:rPr>
                <w:rFonts w:ascii="Arial" w:cs="Arial" w:eastAsia="Arial" w:hAnsi="Arial"/>
                <w:sz w:val="17"/>
                <w:szCs w:val="17"/>
                <w:b w:val="1"/>
                <w:bCs w:val="1"/>
                <w:color w:val="auto"/>
                <w:w w:val="92"/>
              </w:rPr>
              <w:t>Other</w:t>
            </w:r>
          </w:p>
        </w:tc>
      </w:tr>
      <w:tr>
        <w:trPr>
          <w:trHeight w:val="236"/>
        </w:trPr>
        <w:tc>
          <w:tcPr>
            <w:tcW w:w="366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300" w:type="dxa"/>
            <w:vAlign w:val="bottom"/>
            <w:gridSpan w:val="5"/>
            <w:shd w:val="clear" w:color="auto" w:fill="C0C0C0"/>
          </w:tcPr>
          <w:p>
            <w:pPr>
              <w:jc w:val="center"/>
              <w:ind w:right="420"/>
              <w:spacing w:after="0"/>
              <w:rPr>
                <w:sz w:val="20"/>
                <w:szCs w:val="20"/>
                <w:color w:val="auto"/>
              </w:rPr>
            </w:pPr>
            <w:r>
              <w:rPr>
                <w:rFonts w:ascii="Arial" w:cs="Arial" w:eastAsia="Arial" w:hAnsi="Arial"/>
                <w:sz w:val="17"/>
                <w:szCs w:val="17"/>
                <w:b w:val="1"/>
                <w:bCs w:val="1"/>
                <w:color w:val="auto"/>
                <w:w w:val="91"/>
              </w:rPr>
              <w:t>Translation</w:t>
            </w:r>
          </w:p>
        </w:tc>
        <w:tc>
          <w:tcPr>
            <w:tcW w:w="540" w:type="dxa"/>
            <w:vAlign w:val="bottom"/>
            <w:shd w:val="clear" w:color="auto" w:fill="C0C0C0"/>
          </w:tcPr>
          <w:p>
            <w:pPr>
              <w:spacing w:after="0"/>
              <w:rPr>
                <w:sz w:val="20"/>
                <w:szCs w:val="20"/>
                <w:color w:val="auto"/>
              </w:rPr>
            </w:pPr>
          </w:p>
        </w:tc>
        <w:tc>
          <w:tcPr>
            <w:tcW w:w="1160" w:type="dxa"/>
            <w:vAlign w:val="bottom"/>
            <w:gridSpan w:val="5"/>
            <w:shd w:val="clear" w:color="auto" w:fill="C0C0C0"/>
          </w:tcPr>
          <w:p>
            <w:pPr>
              <w:jc w:val="center"/>
              <w:ind w:right="540"/>
              <w:spacing w:after="0"/>
              <w:rPr>
                <w:sz w:val="20"/>
                <w:szCs w:val="20"/>
                <w:color w:val="auto"/>
              </w:rPr>
            </w:pPr>
            <w:r>
              <w:rPr>
                <w:rFonts w:ascii="Arial" w:cs="Arial" w:eastAsia="Arial" w:hAnsi="Arial"/>
                <w:sz w:val="17"/>
                <w:szCs w:val="17"/>
                <w:b w:val="1"/>
                <w:bCs w:val="1"/>
                <w:color w:val="auto"/>
                <w:w w:val="87"/>
              </w:rPr>
              <w:t>Pension</w:t>
            </w:r>
          </w:p>
        </w:tc>
        <w:tc>
          <w:tcPr>
            <w:tcW w:w="1640" w:type="dxa"/>
            <w:vAlign w:val="bottom"/>
            <w:gridSpan w:val="6"/>
            <w:shd w:val="clear" w:color="auto" w:fill="C0C0C0"/>
          </w:tcPr>
          <w:p>
            <w:pPr>
              <w:jc w:val="center"/>
              <w:ind w:left="15"/>
              <w:spacing w:after="0"/>
              <w:rPr>
                <w:sz w:val="20"/>
                <w:szCs w:val="20"/>
                <w:color w:val="auto"/>
              </w:rPr>
            </w:pPr>
            <w:r>
              <w:rPr>
                <w:rFonts w:ascii="Arial" w:cs="Arial" w:eastAsia="Arial" w:hAnsi="Arial"/>
                <w:sz w:val="17"/>
                <w:szCs w:val="17"/>
                <w:b w:val="1"/>
                <w:bCs w:val="1"/>
                <w:color w:val="auto"/>
                <w:w w:val="91"/>
              </w:rPr>
              <w:t>Holding</w:t>
            </w:r>
          </w:p>
        </w:tc>
        <w:tc>
          <w:tcPr>
            <w:tcW w:w="1820" w:type="dxa"/>
            <w:vAlign w:val="bottom"/>
            <w:gridSpan w:val="6"/>
            <w:shd w:val="clear" w:color="auto" w:fill="C0C0C0"/>
          </w:tcPr>
          <w:p>
            <w:pPr>
              <w:jc w:val="center"/>
              <w:spacing w:after="0"/>
              <w:rPr>
                <w:sz w:val="20"/>
                <w:szCs w:val="20"/>
                <w:color w:val="auto"/>
              </w:rPr>
            </w:pPr>
            <w:r>
              <w:rPr>
                <w:rFonts w:ascii="Arial" w:cs="Arial" w:eastAsia="Arial" w:hAnsi="Arial"/>
                <w:sz w:val="17"/>
                <w:szCs w:val="17"/>
                <w:b w:val="1"/>
                <w:bCs w:val="1"/>
                <w:color w:val="auto"/>
                <w:w w:val="89"/>
              </w:rPr>
              <w:t>Comprehensive</w:t>
            </w:r>
          </w:p>
        </w:tc>
      </w:tr>
      <w:tr>
        <w:trPr>
          <w:trHeight w:val="218"/>
        </w:trPr>
        <w:tc>
          <w:tcPr>
            <w:tcW w:w="366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1300" w:type="dxa"/>
            <w:vAlign w:val="bottom"/>
            <w:gridSpan w:val="5"/>
            <w:shd w:val="clear" w:color="auto" w:fill="C0C0C0"/>
          </w:tcPr>
          <w:p>
            <w:pPr>
              <w:jc w:val="center"/>
              <w:ind w:right="440"/>
              <w:spacing w:after="0"/>
              <w:rPr>
                <w:sz w:val="20"/>
                <w:szCs w:val="20"/>
                <w:color w:val="auto"/>
              </w:rPr>
            </w:pPr>
            <w:r>
              <w:rPr>
                <w:rFonts w:ascii="Arial" w:cs="Arial" w:eastAsia="Arial" w:hAnsi="Arial"/>
                <w:sz w:val="17"/>
                <w:szCs w:val="17"/>
                <w:b w:val="1"/>
                <w:bCs w:val="1"/>
                <w:color w:val="auto"/>
                <w:w w:val="91"/>
              </w:rPr>
              <w:t>Adjustment</w:t>
            </w:r>
          </w:p>
        </w:tc>
        <w:tc>
          <w:tcPr>
            <w:tcW w:w="1700" w:type="dxa"/>
            <w:vAlign w:val="bottom"/>
            <w:gridSpan w:val="6"/>
            <w:shd w:val="clear" w:color="auto" w:fill="C0C0C0"/>
          </w:tcPr>
          <w:p>
            <w:pPr>
              <w:jc w:val="center"/>
              <w:spacing w:after="0"/>
              <w:rPr>
                <w:sz w:val="20"/>
                <w:szCs w:val="20"/>
                <w:color w:val="auto"/>
              </w:rPr>
            </w:pPr>
            <w:r>
              <w:rPr>
                <w:rFonts w:ascii="Arial" w:cs="Arial" w:eastAsia="Arial" w:hAnsi="Arial"/>
                <w:sz w:val="17"/>
                <w:szCs w:val="17"/>
                <w:b w:val="1"/>
                <w:bCs w:val="1"/>
                <w:color w:val="auto"/>
                <w:w w:val="96"/>
              </w:rPr>
              <w:t>Liability</w:t>
            </w:r>
          </w:p>
        </w:tc>
        <w:tc>
          <w:tcPr>
            <w:tcW w:w="1640" w:type="dxa"/>
            <w:vAlign w:val="bottom"/>
            <w:gridSpan w:val="6"/>
            <w:shd w:val="clear" w:color="auto" w:fill="C0C0C0"/>
          </w:tcPr>
          <w:p>
            <w:pPr>
              <w:jc w:val="center"/>
              <w:ind w:left="15"/>
              <w:spacing w:after="0"/>
              <w:rPr>
                <w:sz w:val="20"/>
                <w:szCs w:val="20"/>
                <w:color w:val="auto"/>
              </w:rPr>
            </w:pPr>
            <w:r>
              <w:rPr>
                <w:rFonts w:ascii="Arial" w:cs="Arial" w:eastAsia="Arial" w:hAnsi="Arial"/>
                <w:sz w:val="17"/>
                <w:szCs w:val="17"/>
                <w:b w:val="1"/>
                <w:bCs w:val="1"/>
                <w:color w:val="auto"/>
                <w:w w:val="88"/>
              </w:rPr>
              <w:t>Gains</w:t>
            </w:r>
          </w:p>
        </w:tc>
        <w:tc>
          <w:tcPr>
            <w:tcW w:w="1820" w:type="dxa"/>
            <w:vAlign w:val="bottom"/>
            <w:gridSpan w:val="6"/>
            <w:shd w:val="clear" w:color="auto" w:fill="C0C0C0"/>
          </w:tcPr>
          <w:p>
            <w:pPr>
              <w:jc w:val="center"/>
              <w:spacing w:after="0"/>
              <w:rPr>
                <w:sz w:val="20"/>
                <w:szCs w:val="20"/>
                <w:color w:val="auto"/>
              </w:rPr>
            </w:pPr>
            <w:r>
              <w:rPr>
                <w:rFonts w:ascii="Arial" w:cs="Arial" w:eastAsia="Arial" w:hAnsi="Arial"/>
                <w:sz w:val="17"/>
                <w:szCs w:val="17"/>
                <w:b w:val="1"/>
                <w:bCs w:val="1"/>
                <w:color w:val="auto"/>
                <w:w w:val="88"/>
              </w:rPr>
              <w:t>Income (Loss)</w:t>
            </w:r>
          </w:p>
        </w:tc>
      </w:tr>
      <w:tr>
        <w:trPr>
          <w:trHeight w:val="437"/>
        </w:trPr>
        <w:tc>
          <w:tcPr>
            <w:tcW w:w="3660" w:type="dxa"/>
            <w:vAlign w:val="bottom"/>
            <w:tcBorders>
              <w:top w:val="single" w:sz="8" w:color="C0C0C0"/>
            </w:tcBorders>
          </w:tcPr>
          <w:p>
            <w:pPr>
              <w:spacing w:after="0"/>
              <w:rPr>
                <w:sz w:val="20"/>
                <w:szCs w:val="20"/>
                <w:color w:val="auto"/>
              </w:rPr>
            </w:pPr>
            <w:r>
              <w:rPr>
                <w:rFonts w:ascii="Arial" w:cs="Arial" w:eastAsia="Arial" w:hAnsi="Arial"/>
                <w:sz w:val="17"/>
                <w:szCs w:val="17"/>
                <w:color w:val="auto"/>
              </w:rPr>
              <w:t>Balance at January 1, 1998</w:t>
            </w:r>
          </w:p>
        </w:tc>
        <w:tc>
          <w:tcPr>
            <w:tcW w:w="420" w:type="dxa"/>
            <w:vAlign w:val="bottom"/>
            <w:tcBorders>
              <w:top w:val="single" w:sz="8" w:color="C0C0C0"/>
            </w:tcBorders>
          </w:tcPr>
          <w:p>
            <w:pPr>
              <w:spacing w:after="0"/>
              <w:rPr>
                <w:sz w:val="24"/>
                <w:szCs w:val="24"/>
                <w:color w:val="auto"/>
              </w:rPr>
            </w:pPr>
          </w:p>
        </w:tc>
        <w:tc>
          <w:tcPr>
            <w:tcW w:w="860" w:type="dxa"/>
            <w:vAlign w:val="bottom"/>
            <w:tcBorders>
              <w:top w:val="single" w:sz="8" w:color="auto"/>
            </w:tcBorders>
            <w:gridSpan w:val="4"/>
          </w:tcPr>
          <w:p>
            <w:pPr>
              <w:jc w:val="center"/>
              <w:spacing w:after="0"/>
              <w:rPr>
                <w:sz w:val="20"/>
                <w:szCs w:val="20"/>
                <w:color w:val="auto"/>
              </w:rPr>
            </w:pPr>
            <w:r>
              <w:rPr>
                <w:rFonts w:ascii="Arial" w:cs="Arial" w:eastAsia="Arial" w:hAnsi="Arial"/>
                <w:sz w:val="17"/>
                <w:szCs w:val="17"/>
                <w:color w:val="auto"/>
                <w:w w:val="92"/>
              </w:rPr>
              <w:t>$(13.5)</w:t>
            </w:r>
          </w:p>
        </w:tc>
        <w:tc>
          <w:tcPr>
            <w:tcW w:w="440" w:type="dxa"/>
            <w:vAlign w:val="bottom"/>
            <w:tcBorders>
              <w:top w:val="single" w:sz="8" w:color="C0C0C0"/>
            </w:tcBorders>
          </w:tcPr>
          <w:p>
            <w:pPr>
              <w:spacing w:after="0"/>
              <w:rPr>
                <w:sz w:val="24"/>
                <w:szCs w:val="24"/>
                <w:color w:val="auto"/>
              </w:rPr>
            </w:pPr>
          </w:p>
        </w:tc>
        <w:tc>
          <w:tcPr>
            <w:tcW w:w="540" w:type="dxa"/>
            <w:vAlign w:val="bottom"/>
            <w:tcBorders>
              <w:top w:val="single" w:sz="8" w:color="C0C0C0"/>
            </w:tcBorders>
          </w:tcPr>
          <w:p>
            <w:pPr>
              <w:spacing w:after="0"/>
              <w:rPr>
                <w:sz w:val="24"/>
                <w:szCs w:val="24"/>
                <w:color w:val="auto"/>
              </w:rPr>
            </w:pPr>
          </w:p>
        </w:tc>
        <w:tc>
          <w:tcPr>
            <w:tcW w:w="620" w:type="dxa"/>
            <w:vAlign w:val="bottom"/>
            <w:tcBorders>
              <w:top w:val="single" w:sz="8" w:color="auto"/>
            </w:tcBorders>
            <w:gridSpan w:val="4"/>
          </w:tcPr>
          <w:p>
            <w:pPr>
              <w:jc w:val="center"/>
              <w:spacing w:after="0"/>
              <w:rPr>
                <w:sz w:val="20"/>
                <w:szCs w:val="20"/>
                <w:color w:val="auto"/>
              </w:rPr>
            </w:pPr>
            <w:r>
              <w:rPr>
                <w:rFonts w:ascii="Arial" w:cs="Arial" w:eastAsia="Arial" w:hAnsi="Arial"/>
                <w:sz w:val="17"/>
                <w:szCs w:val="17"/>
                <w:color w:val="auto"/>
                <w:w w:val="94"/>
              </w:rPr>
              <w:t>$(1.0)</w:t>
            </w:r>
          </w:p>
        </w:tc>
        <w:tc>
          <w:tcPr>
            <w:tcW w:w="540" w:type="dxa"/>
            <w:vAlign w:val="bottom"/>
            <w:tcBorders>
              <w:top w:val="single" w:sz="8" w:color="C0C0C0"/>
            </w:tcBorders>
          </w:tcPr>
          <w:p>
            <w:pPr>
              <w:spacing w:after="0"/>
              <w:rPr>
                <w:sz w:val="24"/>
                <w:szCs w:val="24"/>
                <w:color w:val="auto"/>
              </w:rPr>
            </w:pPr>
          </w:p>
        </w:tc>
        <w:tc>
          <w:tcPr>
            <w:tcW w:w="660" w:type="dxa"/>
            <w:vAlign w:val="bottom"/>
            <w:tcBorders>
              <w:top w:val="single" w:sz="8" w:color="C0C0C0"/>
            </w:tcBorders>
          </w:tcPr>
          <w:p>
            <w:pPr>
              <w:spacing w:after="0"/>
              <w:rPr>
                <w:sz w:val="24"/>
                <w:szCs w:val="24"/>
                <w:color w:val="auto"/>
              </w:rPr>
            </w:pPr>
          </w:p>
        </w:tc>
        <w:tc>
          <w:tcPr>
            <w:tcW w:w="42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7"/>
                <w:szCs w:val="17"/>
                <w:color w:val="auto"/>
                <w:w w:val="89"/>
              </w:rPr>
              <w:t>$ 0.1</w:t>
            </w:r>
          </w:p>
        </w:tc>
        <w:tc>
          <w:tcPr>
            <w:tcW w:w="560" w:type="dxa"/>
            <w:vAlign w:val="bottom"/>
            <w:tcBorders>
              <w:top w:val="single" w:sz="8" w:color="C0C0C0"/>
            </w:tcBorders>
          </w:tcPr>
          <w:p>
            <w:pPr>
              <w:spacing w:after="0"/>
              <w:rPr>
                <w:sz w:val="24"/>
                <w:szCs w:val="24"/>
                <w:color w:val="auto"/>
              </w:rPr>
            </w:pPr>
          </w:p>
        </w:tc>
        <w:tc>
          <w:tcPr>
            <w:tcW w:w="440" w:type="dxa"/>
            <w:vAlign w:val="bottom"/>
            <w:tcBorders>
              <w:top w:val="single" w:sz="8" w:color="C0C0C0"/>
            </w:tcBorders>
          </w:tcPr>
          <w:p>
            <w:pPr>
              <w:spacing w:after="0"/>
              <w:rPr>
                <w:sz w:val="24"/>
                <w:szCs w:val="24"/>
                <w:color w:val="auto"/>
              </w:rPr>
            </w:pPr>
          </w:p>
        </w:tc>
        <w:tc>
          <w:tcPr>
            <w:tcW w:w="1020" w:type="dxa"/>
            <w:vAlign w:val="bottom"/>
            <w:tcBorders>
              <w:top w:val="single" w:sz="8" w:color="auto"/>
            </w:tcBorders>
            <w:gridSpan w:val="4"/>
          </w:tcPr>
          <w:p>
            <w:pPr>
              <w:jc w:val="center"/>
              <w:spacing w:after="0"/>
              <w:rPr>
                <w:sz w:val="20"/>
                <w:szCs w:val="20"/>
                <w:color w:val="auto"/>
              </w:rPr>
            </w:pPr>
            <w:r>
              <w:rPr>
                <w:rFonts w:ascii="Arial" w:cs="Arial" w:eastAsia="Arial" w:hAnsi="Arial"/>
                <w:sz w:val="17"/>
                <w:szCs w:val="17"/>
                <w:color w:val="auto"/>
                <w:w w:val="92"/>
              </w:rPr>
              <w:t>$(14.4)</w:t>
            </w:r>
          </w:p>
        </w:tc>
        <w:tc>
          <w:tcPr>
            <w:tcW w:w="360" w:type="dxa"/>
            <w:vAlign w:val="bottom"/>
            <w:tcBorders>
              <w:top w:val="single" w:sz="8" w:color="C0C0C0"/>
            </w:tcBorders>
          </w:tcPr>
          <w:p>
            <w:pPr>
              <w:spacing w:after="0"/>
              <w:rPr>
                <w:sz w:val="24"/>
                <w:szCs w:val="24"/>
                <w:color w:val="auto"/>
              </w:rPr>
            </w:pPr>
          </w:p>
        </w:tc>
      </w:tr>
      <w:tr>
        <w:trPr>
          <w:trHeight w:val="179"/>
        </w:trPr>
        <w:tc>
          <w:tcPr>
            <w:tcW w:w="3660" w:type="dxa"/>
            <w:vAlign w:val="bottom"/>
          </w:tcPr>
          <w:p>
            <w:pPr>
              <w:spacing w:after="0" w:line="179" w:lineRule="exact"/>
              <w:rPr>
                <w:sz w:val="20"/>
                <w:szCs w:val="20"/>
                <w:color w:val="auto"/>
              </w:rPr>
            </w:pPr>
            <w:r>
              <w:rPr>
                <w:rFonts w:ascii="Arial" w:cs="Arial" w:eastAsia="Arial" w:hAnsi="Arial"/>
                <w:sz w:val="17"/>
                <w:szCs w:val="17"/>
                <w:color w:val="auto"/>
              </w:rPr>
              <w:t>Current year change</w:t>
            </w:r>
          </w:p>
        </w:tc>
        <w:tc>
          <w:tcPr>
            <w:tcW w:w="720" w:type="dxa"/>
            <w:vAlign w:val="bottom"/>
            <w:gridSpan w:val="3"/>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Arial" w:cs="Arial" w:eastAsia="Arial" w:hAnsi="Arial"/>
                <w:sz w:val="17"/>
                <w:szCs w:val="17"/>
                <w:color w:val="auto"/>
              </w:rPr>
              <w:t>4.8</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3"/>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3"/>
          </w:tcPr>
          <w:p>
            <w:pPr>
              <w:spacing w:after="0"/>
              <w:rPr>
                <w:sz w:val="15"/>
                <w:szCs w:val="15"/>
                <w:color w:val="auto"/>
              </w:rPr>
            </w:pPr>
          </w:p>
        </w:tc>
        <w:tc>
          <w:tcPr>
            <w:tcW w:w="300" w:type="dxa"/>
            <w:vAlign w:val="bottom"/>
            <w:gridSpan w:val="2"/>
          </w:tcPr>
          <w:p>
            <w:pPr>
              <w:jc w:val="right"/>
              <w:ind w:right="100"/>
              <w:spacing w:after="0" w:line="179" w:lineRule="exact"/>
              <w:rPr>
                <w:sz w:val="20"/>
                <w:szCs w:val="20"/>
                <w:color w:val="auto"/>
              </w:rPr>
            </w:pPr>
            <w:r>
              <w:rPr>
                <w:rFonts w:ascii="Arial" w:cs="Arial" w:eastAsia="Arial" w:hAnsi="Arial"/>
                <w:sz w:val="17"/>
                <w:szCs w:val="17"/>
                <w:color w:val="auto"/>
              </w:rPr>
              <w:t>--</w:t>
            </w:r>
          </w:p>
        </w:tc>
        <w:tc>
          <w:tcPr>
            <w:tcW w:w="560" w:type="dxa"/>
            <w:vAlign w:val="bottom"/>
          </w:tcPr>
          <w:p>
            <w:pPr>
              <w:spacing w:after="0"/>
              <w:rPr>
                <w:sz w:val="15"/>
                <w:szCs w:val="15"/>
                <w:color w:val="auto"/>
              </w:rPr>
            </w:pPr>
          </w:p>
        </w:tc>
        <w:tc>
          <w:tcPr>
            <w:tcW w:w="110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4.8</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3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6"/>
        </w:trPr>
        <w:tc>
          <w:tcPr>
            <w:tcW w:w="3660" w:type="dxa"/>
            <w:vAlign w:val="bottom"/>
          </w:tcPr>
          <w:p>
            <w:pPr>
              <w:spacing w:after="0"/>
              <w:rPr>
                <w:sz w:val="20"/>
                <w:szCs w:val="20"/>
                <w:color w:val="auto"/>
              </w:rPr>
            </w:pPr>
            <w:r>
              <w:rPr>
                <w:rFonts w:ascii="Arial" w:cs="Arial" w:eastAsia="Arial" w:hAnsi="Arial"/>
                <w:sz w:val="17"/>
                <w:szCs w:val="17"/>
                <w:color w:val="auto"/>
              </w:rPr>
              <w:t>Balance at December 31, 1998</w:t>
            </w:r>
          </w:p>
        </w:tc>
        <w:tc>
          <w:tcPr>
            <w:tcW w:w="720" w:type="dxa"/>
            <w:vAlign w:val="bottom"/>
            <w:gridSpan w:val="3"/>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(8.7)</w:t>
            </w:r>
          </w:p>
        </w:tc>
        <w:tc>
          <w:tcPr>
            <w:tcW w:w="440" w:type="dxa"/>
            <w:vAlign w:val="bottom"/>
          </w:tcPr>
          <w:p>
            <w:pPr>
              <w:spacing w:after="0"/>
              <w:rPr>
                <w:sz w:val="24"/>
                <w:szCs w:val="24"/>
                <w:color w:val="auto"/>
              </w:rPr>
            </w:pPr>
          </w:p>
        </w:tc>
        <w:tc>
          <w:tcPr>
            <w:tcW w:w="1160" w:type="dxa"/>
            <w:vAlign w:val="bottom"/>
            <w:gridSpan w:val="5"/>
          </w:tcPr>
          <w:p>
            <w:pPr>
              <w:jc w:val="center"/>
              <w:ind w:left="455"/>
              <w:spacing w:after="0"/>
              <w:rPr>
                <w:sz w:val="20"/>
                <w:szCs w:val="20"/>
                <w:color w:val="auto"/>
              </w:rPr>
            </w:pPr>
            <w:r>
              <w:rPr>
                <w:rFonts w:ascii="Arial" w:cs="Arial" w:eastAsia="Arial" w:hAnsi="Arial"/>
                <w:sz w:val="17"/>
                <w:szCs w:val="17"/>
                <w:color w:val="auto"/>
                <w:w w:val="97"/>
              </w:rPr>
              <w:t>(1.0)</w:t>
            </w:r>
          </w:p>
        </w:tc>
        <w:tc>
          <w:tcPr>
            <w:tcW w:w="54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gridSpan w:val="5"/>
          </w:tcPr>
          <w:p>
            <w:pPr>
              <w:ind w:left="820"/>
              <w:spacing w:after="0"/>
              <w:rPr>
                <w:sz w:val="20"/>
                <w:szCs w:val="20"/>
                <w:color w:val="auto"/>
              </w:rPr>
            </w:pPr>
            <w:r>
              <w:rPr>
                <w:rFonts w:ascii="Arial" w:cs="Arial" w:eastAsia="Arial" w:hAnsi="Arial"/>
                <w:sz w:val="17"/>
                <w:szCs w:val="17"/>
                <w:color w:val="auto"/>
              </w:rPr>
              <w:t>(9.6)</w:t>
            </w:r>
          </w:p>
        </w:tc>
        <w:tc>
          <w:tcPr>
            <w:tcW w:w="360" w:type="dxa"/>
            <w:vAlign w:val="bottom"/>
          </w:tcPr>
          <w:p>
            <w:pPr>
              <w:spacing w:after="0"/>
              <w:rPr>
                <w:sz w:val="24"/>
                <w:szCs w:val="24"/>
                <w:color w:val="auto"/>
              </w:rPr>
            </w:pPr>
          </w:p>
        </w:tc>
      </w:tr>
      <w:tr>
        <w:trPr>
          <w:trHeight w:val="179"/>
        </w:trPr>
        <w:tc>
          <w:tcPr>
            <w:tcW w:w="3660" w:type="dxa"/>
            <w:vAlign w:val="bottom"/>
          </w:tcPr>
          <w:p>
            <w:pPr>
              <w:spacing w:after="0" w:line="179" w:lineRule="exact"/>
              <w:rPr>
                <w:sz w:val="20"/>
                <w:szCs w:val="20"/>
                <w:color w:val="auto"/>
              </w:rPr>
            </w:pPr>
            <w:r>
              <w:rPr>
                <w:rFonts w:ascii="Arial" w:cs="Arial" w:eastAsia="Arial" w:hAnsi="Arial"/>
                <w:sz w:val="17"/>
                <w:szCs w:val="17"/>
                <w:color w:val="auto"/>
              </w:rPr>
              <w:t>Current year change</w:t>
            </w:r>
          </w:p>
        </w:tc>
        <w:tc>
          <w:tcPr>
            <w:tcW w:w="1280" w:type="dxa"/>
            <w:vAlign w:val="bottom"/>
            <w:gridSpan w:val="5"/>
          </w:tcPr>
          <w:p>
            <w:pPr>
              <w:jc w:val="center"/>
              <w:ind w:left="355"/>
              <w:spacing w:after="0" w:line="179" w:lineRule="exact"/>
              <w:rPr>
                <w:sz w:val="20"/>
                <w:szCs w:val="20"/>
                <w:color w:val="auto"/>
              </w:rPr>
            </w:pPr>
            <w:r>
              <w:rPr>
                <w:rFonts w:ascii="Arial" w:cs="Arial" w:eastAsia="Arial" w:hAnsi="Arial"/>
                <w:sz w:val="17"/>
                <w:szCs w:val="17"/>
                <w:color w:val="auto"/>
                <w:w w:val="89"/>
              </w:rPr>
              <w:t>(19.2)</w:t>
            </w:r>
          </w:p>
        </w:tc>
        <w:tc>
          <w:tcPr>
            <w:tcW w:w="440" w:type="dxa"/>
            <w:vAlign w:val="bottom"/>
          </w:tcPr>
          <w:p>
            <w:pPr>
              <w:spacing w:after="0"/>
              <w:rPr>
                <w:sz w:val="15"/>
                <w:szCs w:val="15"/>
                <w:color w:val="auto"/>
              </w:rPr>
            </w:pPr>
          </w:p>
        </w:tc>
        <w:tc>
          <w:tcPr>
            <w:tcW w:w="96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gridSpan w:val="5"/>
          </w:tcPr>
          <w:p>
            <w:pPr>
              <w:jc w:val="right"/>
              <w:ind w:right="60"/>
              <w:spacing w:after="0" w:line="179" w:lineRule="exact"/>
              <w:rPr>
                <w:sz w:val="20"/>
                <w:szCs w:val="20"/>
                <w:color w:val="auto"/>
              </w:rPr>
            </w:pPr>
            <w:r>
              <w:rPr>
                <w:rFonts w:ascii="Arial" w:cs="Arial" w:eastAsia="Arial" w:hAnsi="Arial"/>
                <w:sz w:val="17"/>
                <w:szCs w:val="17"/>
                <w:color w:val="auto"/>
              </w:rPr>
              <w:t>(0.1)</w:t>
            </w:r>
          </w:p>
        </w:tc>
        <w:tc>
          <w:tcPr>
            <w:tcW w:w="560" w:type="dxa"/>
            <w:vAlign w:val="bottom"/>
          </w:tcPr>
          <w:p>
            <w:pPr>
              <w:spacing w:after="0"/>
              <w:rPr>
                <w:sz w:val="15"/>
                <w:szCs w:val="15"/>
                <w:color w:val="auto"/>
              </w:rPr>
            </w:pPr>
          </w:p>
        </w:tc>
        <w:tc>
          <w:tcPr>
            <w:tcW w:w="1460" w:type="dxa"/>
            <w:vAlign w:val="bottom"/>
            <w:gridSpan w:val="5"/>
          </w:tcPr>
          <w:p>
            <w:pPr>
              <w:jc w:val="center"/>
              <w:ind w:left="355"/>
              <w:spacing w:after="0" w:line="179" w:lineRule="exact"/>
              <w:rPr>
                <w:sz w:val="20"/>
                <w:szCs w:val="20"/>
                <w:color w:val="auto"/>
              </w:rPr>
            </w:pPr>
            <w:r>
              <w:rPr>
                <w:rFonts w:ascii="Arial" w:cs="Arial" w:eastAsia="Arial" w:hAnsi="Arial"/>
                <w:sz w:val="17"/>
                <w:szCs w:val="17"/>
                <w:color w:val="auto"/>
                <w:w w:val="94"/>
              </w:rPr>
              <w:t>(19.3)</w:t>
            </w:r>
          </w:p>
        </w:tc>
        <w:tc>
          <w:tcPr>
            <w:tcW w:w="360" w:type="dxa"/>
            <w:vAlign w:val="bottom"/>
          </w:tcPr>
          <w:p>
            <w:pPr>
              <w:spacing w:after="0"/>
              <w:rPr>
                <w:sz w:val="15"/>
                <w:szCs w:val="15"/>
                <w:color w:val="auto"/>
              </w:rPr>
            </w:pPr>
          </w:p>
        </w:tc>
      </w:tr>
      <w:tr>
        <w:trPr>
          <w:trHeight w:val="20"/>
        </w:trPr>
        <w:tc>
          <w:tcPr>
            <w:tcW w:w="3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right w:val="single" w:sz="8" w:color="auto"/>
            </w:tcBorders>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6"/>
        </w:trPr>
        <w:tc>
          <w:tcPr>
            <w:tcW w:w="3660" w:type="dxa"/>
            <w:vAlign w:val="bottom"/>
          </w:tcPr>
          <w:p>
            <w:pPr>
              <w:spacing w:after="0"/>
              <w:rPr>
                <w:sz w:val="20"/>
                <w:szCs w:val="20"/>
                <w:color w:val="auto"/>
              </w:rPr>
            </w:pPr>
            <w:r>
              <w:rPr>
                <w:rFonts w:ascii="Arial" w:cs="Arial" w:eastAsia="Arial" w:hAnsi="Arial"/>
                <w:sz w:val="17"/>
                <w:szCs w:val="17"/>
                <w:color w:val="auto"/>
              </w:rPr>
              <w:t>Balance at December 31, 1999</w:t>
            </w:r>
          </w:p>
        </w:tc>
        <w:tc>
          <w:tcPr>
            <w:tcW w:w="1280" w:type="dxa"/>
            <w:vAlign w:val="bottom"/>
            <w:gridSpan w:val="5"/>
          </w:tcPr>
          <w:p>
            <w:pPr>
              <w:jc w:val="center"/>
              <w:ind w:left="355"/>
              <w:spacing w:after="0"/>
              <w:rPr>
                <w:sz w:val="20"/>
                <w:szCs w:val="20"/>
                <w:color w:val="auto"/>
              </w:rPr>
            </w:pPr>
            <w:r>
              <w:rPr>
                <w:rFonts w:ascii="Arial" w:cs="Arial" w:eastAsia="Arial" w:hAnsi="Arial"/>
                <w:sz w:val="17"/>
                <w:szCs w:val="17"/>
                <w:color w:val="auto"/>
                <w:w w:val="89"/>
              </w:rPr>
              <w:t>(27.9)</w:t>
            </w:r>
          </w:p>
        </w:tc>
        <w:tc>
          <w:tcPr>
            <w:tcW w:w="440" w:type="dxa"/>
            <w:vAlign w:val="bottom"/>
          </w:tcPr>
          <w:p>
            <w:pPr>
              <w:spacing w:after="0"/>
              <w:rPr>
                <w:sz w:val="24"/>
                <w:szCs w:val="24"/>
                <w:color w:val="auto"/>
              </w:rPr>
            </w:pPr>
          </w:p>
        </w:tc>
        <w:tc>
          <w:tcPr>
            <w:tcW w:w="1160" w:type="dxa"/>
            <w:vAlign w:val="bottom"/>
            <w:gridSpan w:val="5"/>
          </w:tcPr>
          <w:p>
            <w:pPr>
              <w:jc w:val="center"/>
              <w:ind w:left="455"/>
              <w:spacing w:after="0"/>
              <w:rPr>
                <w:sz w:val="20"/>
                <w:szCs w:val="20"/>
                <w:color w:val="auto"/>
              </w:rPr>
            </w:pPr>
            <w:r>
              <w:rPr>
                <w:rFonts w:ascii="Arial" w:cs="Arial" w:eastAsia="Arial" w:hAnsi="Arial"/>
                <w:sz w:val="17"/>
                <w:szCs w:val="17"/>
                <w:color w:val="auto"/>
                <w:w w:val="97"/>
              </w:rPr>
              <w:t>(1.0)</w:t>
            </w:r>
          </w:p>
        </w:tc>
        <w:tc>
          <w:tcPr>
            <w:tcW w:w="54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gridSpan w:val="5"/>
          </w:tcPr>
          <w:p>
            <w:pPr>
              <w:jc w:val="center"/>
              <w:ind w:left="355"/>
              <w:spacing w:after="0"/>
              <w:rPr>
                <w:sz w:val="20"/>
                <w:szCs w:val="20"/>
                <w:color w:val="auto"/>
              </w:rPr>
            </w:pPr>
            <w:r>
              <w:rPr>
                <w:rFonts w:ascii="Arial" w:cs="Arial" w:eastAsia="Arial" w:hAnsi="Arial"/>
                <w:sz w:val="17"/>
                <w:szCs w:val="17"/>
                <w:color w:val="auto"/>
                <w:w w:val="94"/>
              </w:rPr>
              <w:t>(28.9)</w:t>
            </w:r>
          </w:p>
        </w:tc>
        <w:tc>
          <w:tcPr>
            <w:tcW w:w="360" w:type="dxa"/>
            <w:vAlign w:val="bottom"/>
          </w:tcPr>
          <w:p>
            <w:pPr>
              <w:spacing w:after="0"/>
              <w:rPr>
                <w:sz w:val="24"/>
                <w:szCs w:val="24"/>
                <w:color w:val="auto"/>
              </w:rPr>
            </w:pPr>
          </w:p>
        </w:tc>
      </w:tr>
      <w:tr>
        <w:trPr>
          <w:trHeight w:val="179"/>
        </w:trPr>
        <w:tc>
          <w:tcPr>
            <w:tcW w:w="3660" w:type="dxa"/>
            <w:vAlign w:val="bottom"/>
          </w:tcPr>
          <w:p>
            <w:pPr>
              <w:spacing w:after="0" w:line="179" w:lineRule="exact"/>
              <w:rPr>
                <w:sz w:val="20"/>
                <w:szCs w:val="20"/>
                <w:color w:val="auto"/>
              </w:rPr>
            </w:pPr>
            <w:r>
              <w:rPr>
                <w:rFonts w:ascii="Arial" w:cs="Arial" w:eastAsia="Arial" w:hAnsi="Arial"/>
                <w:sz w:val="17"/>
                <w:szCs w:val="17"/>
                <w:color w:val="auto"/>
              </w:rPr>
              <w:t>Current year change</w:t>
            </w:r>
          </w:p>
        </w:tc>
        <w:tc>
          <w:tcPr>
            <w:tcW w:w="1280" w:type="dxa"/>
            <w:vAlign w:val="bottom"/>
            <w:gridSpan w:val="5"/>
          </w:tcPr>
          <w:p>
            <w:pPr>
              <w:jc w:val="center"/>
              <w:ind w:left="355"/>
              <w:spacing w:after="0" w:line="179" w:lineRule="exact"/>
              <w:rPr>
                <w:sz w:val="20"/>
                <w:szCs w:val="20"/>
                <w:color w:val="auto"/>
              </w:rPr>
            </w:pPr>
            <w:r>
              <w:rPr>
                <w:rFonts w:ascii="Arial" w:cs="Arial" w:eastAsia="Arial" w:hAnsi="Arial"/>
                <w:sz w:val="17"/>
                <w:szCs w:val="17"/>
                <w:color w:val="auto"/>
                <w:w w:val="89"/>
              </w:rPr>
              <w:t>(15.2)</w:t>
            </w:r>
          </w:p>
        </w:tc>
        <w:tc>
          <w:tcPr>
            <w:tcW w:w="440" w:type="dxa"/>
            <w:vAlign w:val="bottom"/>
          </w:tcPr>
          <w:p>
            <w:pPr>
              <w:spacing w:after="0"/>
              <w:rPr>
                <w:sz w:val="15"/>
                <w:szCs w:val="15"/>
                <w:color w:val="auto"/>
              </w:rPr>
            </w:pPr>
          </w:p>
        </w:tc>
        <w:tc>
          <w:tcPr>
            <w:tcW w:w="96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4"/>
          </w:tcPr>
          <w:p>
            <w:pPr>
              <w:jc w:val="right"/>
              <w:spacing w:after="0" w:line="17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gridSpan w:val="5"/>
          </w:tcPr>
          <w:p>
            <w:pPr>
              <w:jc w:val="center"/>
              <w:ind w:left="355"/>
              <w:spacing w:after="0" w:line="179" w:lineRule="exact"/>
              <w:rPr>
                <w:sz w:val="20"/>
                <w:szCs w:val="20"/>
                <w:color w:val="auto"/>
              </w:rPr>
            </w:pPr>
            <w:r>
              <w:rPr>
                <w:rFonts w:ascii="Arial" w:cs="Arial" w:eastAsia="Arial" w:hAnsi="Arial"/>
                <w:sz w:val="17"/>
                <w:szCs w:val="17"/>
                <w:color w:val="auto"/>
                <w:w w:val="94"/>
              </w:rPr>
              <w:t>(15.2)</w:t>
            </w:r>
          </w:p>
        </w:tc>
        <w:tc>
          <w:tcPr>
            <w:tcW w:w="360" w:type="dxa"/>
            <w:vAlign w:val="bottom"/>
          </w:tcPr>
          <w:p>
            <w:pPr>
              <w:spacing w:after="0"/>
              <w:rPr>
                <w:sz w:val="15"/>
                <w:szCs w:val="15"/>
                <w:color w:val="auto"/>
              </w:rPr>
            </w:pPr>
          </w:p>
        </w:tc>
      </w:tr>
      <w:tr>
        <w:trPr>
          <w:trHeight w:val="20"/>
        </w:trPr>
        <w:tc>
          <w:tcPr>
            <w:tcW w:w="3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6"/>
        </w:trPr>
        <w:tc>
          <w:tcPr>
            <w:tcW w:w="3660" w:type="dxa"/>
            <w:vAlign w:val="bottom"/>
          </w:tcPr>
          <w:p>
            <w:pPr>
              <w:spacing w:after="0"/>
              <w:rPr>
                <w:sz w:val="20"/>
                <w:szCs w:val="20"/>
                <w:color w:val="auto"/>
              </w:rPr>
            </w:pPr>
            <w:r>
              <w:rPr>
                <w:rFonts w:ascii="Arial" w:cs="Arial" w:eastAsia="Arial" w:hAnsi="Arial"/>
                <w:sz w:val="17"/>
                <w:szCs w:val="17"/>
                <w:color w:val="auto"/>
              </w:rPr>
              <w:t>Balance at December 31, 2000</w:t>
            </w:r>
          </w:p>
        </w:tc>
        <w:tc>
          <w:tcPr>
            <w:tcW w:w="1280" w:type="dxa"/>
            <w:vAlign w:val="bottom"/>
            <w:gridSpan w:val="5"/>
          </w:tcPr>
          <w:p>
            <w:pPr>
              <w:jc w:val="center"/>
              <w:ind w:left="335"/>
              <w:spacing w:after="0"/>
              <w:rPr>
                <w:sz w:val="20"/>
                <w:szCs w:val="20"/>
                <w:color w:val="auto"/>
              </w:rPr>
            </w:pPr>
            <w:r>
              <w:rPr>
                <w:rFonts w:ascii="Arial" w:cs="Arial" w:eastAsia="Arial" w:hAnsi="Arial"/>
                <w:sz w:val="17"/>
                <w:szCs w:val="17"/>
                <w:color w:val="auto"/>
                <w:w w:val="92"/>
              </w:rPr>
              <w:t>$(43.1)</w:t>
            </w:r>
          </w:p>
        </w:tc>
        <w:tc>
          <w:tcPr>
            <w:tcW w:w="440" w:type="dxa"/>
            <w:vAlign w:val="bottom"/>
          </w:tcPr>
          <w:p>
            <w:pPr>
              <w:spacing w:after="0"/>
              <w:rPr>
                <w:sz w:val="24"/>
                <w:szCs w:val="24"/>
                <w:color w:val="auto"/>
              </w:rPr>
            </w:pPr>
          </w:p>
        </w:tc>
        <w:tc>
          <w:tcPr>
            <w:tcW w:w="1160" w:type="dxa"/>
            <w:vAlign w:val="bottom"/>
            <w:gridSpan w:val="5"/>
          </w:tcPr>
          <w:p>
            <w:pPr>
              <w:jc w:val="center"/>
              <w:ind w:left="455"/>
              <w:spacing w:after="0"/>
              <w:rPr>
                <w:sz w:val="20"/>
                <w:szCs w:val="20"/>
                <w:color w:val="auto"/>
              </w:rPr>
            </w:pPr>
            <w:r>
              <w:rPr>
                <w:rFonts w:ascii="Arial" w:cs="Arial" w:eastAsia="Arial" w:hAnsi="Arial"/>
                <w:sz w:val="17"/>
                <w:szCs w:val="17"/>
                <w:color w:val="auto"/>
                <w:w w:val="94"/>
              </w:rPr>
              <w:t>$(1.0)</w:t>
            </w:r>
          </w:p>
        </w:tc>
        <w:tc>
          <w:tcPr>
            <w:tcW w:w="54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gridSpan w:val="5"/>
          </w:tcPr>
          <w:p>
            <w:pPr>
              <w:jc w:val="center"/>
              <w:ind w:left="355"/>
              <w:spacing w:after="0"/>
              <w:rPr>
                <w:sz w:val="20"/>
                <w:szCs w:val="20"/>
                <w:color w:val="auto"/>
              </w:rPr>
            </w:pPr>
            <w:r>
              <w:rPr>
                <w:rFonts w:ascii="Arial" w:cs="Arial" w:eastAsia="Arial" w:hAnsi="Arial"/>
                <w:sz w:val="17"/>
                <w:szCs w:val="17"/>
                <w:color w:val="auto"/>
                <w:w w:val="92"/>
              </w:rPr>
              <w:t>$(44.1)</w:t>
            </w:r>
          </w:p>
        </w:tc>
        <w:tc>
          <w:tcPr>
            <w:tcW w:w="36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5"/>
          </w:tcPr>
          <w:p>
            <w:pPr>
              <w:jc w:val="center"/>
              <w:ind w:left="45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100" w:type="dxa"/>
            <w:vAlign w:val="bottom"/>
            <w:gridSpan w:val="4"/>
          </w:tcPr>
          <w:p>
            <w:pPr>
              <w:ind w:left="820"/>
              <w:spacing w:after="0"/>
              <w:rPr>
                <w:sz w:val="20"/>
                <w:szCs w:val="20"/>
                <w:color w:val="auto"/>
              </w:rPr>
            </w:pPr>
            <w:r>
              <w:rPr>
                <w:rFonts w:ascii="Arial" w:cs="Arial" w:eastAsia="Arial" w:hAnsi="Arial"/>
                <w:sz w:val="17"/>
                <w:szCs w:val="17"/>
                <w:color w:val="auto"/>
                <w:w w:val="80"/>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164" w:lineRule="exact"/>
        <w:rPr>
          <w:sz w:val="20"/>
          <w:szCs w:val="20"/>
          <w:color w:val="auto"/>
        </w:rPr>
      </w:pPr>
    </w:p>
    <w:p>
      <w:pPr>
        <w:ind w:right="320" w:firstLine="210"/>
        <w:spacing w:after="0" w:line="282" w:lineRule="auto"/>
        <w:rPr>
          <w:sz w:val="20"/>
          <w:szCs w:val="20"/>
          <w:color w:val="auto"/>
        </w:rPr>
      </w:pPr>
      <w:r>
        <w:rPr>
          <w:rFonts w:ascii="Arial" w:cs="Arial" w:eastAsia="Arial" w:hAnsi="Arial"/>
          <w:sz w:val="17"/>
          <w:szCs w:val="17"/>
          <w:color w:val="auto"/>
        </w:rPr>
        <w:t>The tax benefit associated with items included in other comprehensive income (loss) was approximately $0.5 million for each of the years ended December 31, 2000, 1999 and 1998,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and Related Information</w:t>
      </w:r>
    </w:p>
    <w:p>
      <w:pPr>
        <w:spacing w:after="0" w:line="188" w:lineRule="exact"/>
        <w:rPr>
          <w:sz w:val="20"/>
          <w:szCs w:val="20"/>
          <w:color w:val="auto"/>
        </w:rPr>
      </w:pPr>
    </w:p>
    <w:p>
      <w:pPr>
        <w:ind w:firstLine="213"/>
        <w:spacing w:after="0" w:line="293" w:lineRule="auto"/>
        <w:rPr>
          <w:sz w:val="20"/>
          <w:szCs w:val="20"/>
          <w:color w:val="auto"/>
        </w:rPr>
      </w:pPr>
      <w:r>
        <w:rPr>
          <w:rFonts w:ascii="Arial" w:cs="Arial" w:eastAsia="Arial" w:hAnsi="Arial"/>
          <w:sz w:val="16"/>
          <w:szCs w:val="16"/>
          <w:color w:val="auto"/>
        </w:rPr>
        <w:t>Operating segments are defined as components of an enterprise about which separate financial information is available that is evaluated regularly by the chief operating decision maker in deciding how to allocate resources and in assessing performance. The Company's operating segments are strategic business units that offer different products and serve different markets. They are managed separately and require different technology and marketing strategies.</w:t>
      </w:r>
    </w:p>
    <w:p>
      <w:pPr>
        <w:spacing w:after="0" w:line="125" w:lineRule="exact"/>
        <w:rPr>
          <w:sz w:val="20"/>
          <w:szCs w:val="20"/>
          <w:color w:val="auto"/>
        </w:rPr>
      </w:pPr>
    </w:p>
    <w:p>
      <w:pPr>
        <w:ind w:right="20" w:firstLine="210"/>
        <w:spacing w:after="0" w:line="265" w:lineRule="auto"/>
        <w:rPr>
          <w:sz w:val="20"/>
          <w:szCs w:val="20"/>
          <w:color w:val="auto"/>
        </w:rPr>
      </w:pPr>
      <w:r>
        <w:rPr>
          <w:rFonts w:ascii="Arial" w:cs="Arial" w:eastAsia="Arial" w:hAnsi="Arial"/>
          <w:sz w:val="17"/>
          <w:szCs w:val="17"/>
          <w:color w:val="auto"/>
        </w:rPr>
        <w:t>The Company has two operating segments: Specialty Minerals and Refractories. The Specialty Minerals segment produces and sells precipitated calcium carbonate and lime, and mines, processes and sells the natural mineral products limestone and talc. This segment's products are used principally in the paper, building materials, paints and coatings, glass, ceramic, polymers, food, and pharmaceutical industries. The Refractories segment produces and markets monolithic and shaped refractory materials and services used primarily by the steel, cement and glass industries.</w:t>
      </w:r>
    </w:p>
    <w:p>
      <w:pPr>
        <w:spacing w:after="0" w:line="145" w:lineRule="exact"/>
        <w:rPr>
          <w:sz w:val="20"/>
          <w:szCs w:val="20"/>
          <w:color w:val="auto"/>
        </w:rPr>
      </w:pPr>
    </w:p>
    <w:p>
      <w:pPr>
        <w:ind w:firstLine="210"/>
        <w:spacing w:after="0" w:line="263"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The Company evaluates performance based on the operating income of the respective business units. Depreciation expense related to corporate assets is allocated to the business segments and is included in their income from operations. However, such corporate depreciable assets are not included in the segment assets. Specialty Minerals' segment sales to International Paper Company and affiliates represented approximately 13% and 10% of consolidated net sales in 2000 and 1999, respectively, and less than 10% of consolidated net sales in 1998. Intersegment sales and transfers are not significant.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Segment information for the years ended December 31, 2000, 1999 and 1998 was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6286500" cy="3460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86500" cy="346075"/>
                    </a:xfrm>
                    <a:prstGeom prst="rect">
                      <a:avLst/>
                    </a:prstGeom>
                    <a:noFill/>
                  </pic:spPr>
                </pic:pic>
              </a:graphicData>
            </a:graphic>
          </wp:anchor>
        </w:drawing>
      </w:r>
    </w:p>
    <w:p>
      <w:pPr>
        <w:spacing w:after="0" w:line="213" w:lineRule="exact"/>
        <w:rPr>
          <w:sz w:val="20"/>
          <w:szCs w:val="20"/>
          <w:color w:val="auto"/>
        </w:rPr>
      </w:pPr>
    </w:p>
    <w:p>
      <w:pPr>
        <w:ind w:left="6960"/>
        <w:spacing w:after="0"/>
        <w:rPr>
          <w:sz w:val="20"/>
          <w:szCs w:val="20"/>
          <w:color w:val="auto"/>
        </w:rPr>
      </w:pPr>
      <w:r>
        <w:rPr>
          <w:rFonts w:ascii="Arial" w:cs="Arial" w:eastAsia="Arial" w:hAnsi="Arial"/>
          <w:sz w:val="17"/>
          <w:szCs w:val="17"/>
          <w:b w:val="1"/>
          <w:bCs w:val="1"/>
          <w:color w:val="auto"/>
        </w:rPr>
        <w:t>2000</w:t>
      </w:r>
    </w:p>
    <w:p>
      <w:pPr>
        <w:spacing w:after="0" w:line="158" w:lineRule="exact"/>
        <w:rPr>
          <w:sz w:val="20"/>
          <w:szCs w:val="20"/>
          <w:color w:val="auto"/>
        </w:rPr>
      </w:pPr>
    </w:p>
    <w:p>
      <w:pPr>
        <w:ind w:left="5340"/>
        <w:spacing w:after="0"/>
        <w:tabs>
          <w:tab w:leader="none" w:pos="7360" w:val="left"/>
          <w:tab w:leader="none" w:pos="9460" w:val="left"/>
        </w:tabs>
        <w:rPr>
          <w:sz w:val="20"/>
          <w:szCs w:val="20"/>
          <w:color w:val="auto"/>
        </w:rPr>
      </w:pPr>
      <w:r>
        <w:rPr>
          <w:rFonts w:ascii="Arial" w:cs="Arial" w:eastAsia="Arial" w:hAnsi="Arial"/>
          <w:sz w:val="17"/>
          <w:szCs w:val="17"/>
          <w:b w:val="1"/>
          <w:bCs w:val="1"/>
          <w:color w:val="auto"/>
        </w:rPr>
        <w:t>Specialty Minerals</w:t>
      </w:r>
      <w:r>
        <w:rPr>
          <w:sz w:val="20"/>
          <w:szCs w:val="20"/>
          <w:color w:val="auto"/>
        </w:rPr>
        <w:tab/>
      </w:r>
      <w:r>
        <w:rPr>
          <w:rFonts w:ascii="Arial" w:cs="Arial" w:eastAsia="Arial" w:hAnsi="Arial"/>
          <w:sz w:val="17"/>
          <w:szCs w:val="17"/>
          <w:b w:val="1"/>
          <w:bCs w:val="1"/>
          <w:color w:val="auto"/>
        </w:rPr>
        <w:t>Refractories</w:t>
      </w:r>
      <w:r>
        <w:rPr>
          <w:sz w:val="20"/>
          <w:szCs w:val="20"/>
          <w:color w:val="auto"/>
        </w:rPr>
        <w:tab/>
      </w:r>
      <w:r>
        <w:rPr>
          <w:rFonts w:ascii="Arial" w:cs="Arial" w:eastAsia="Arial" w:hAnsi="Arial"/>
          <w:sz w:val="15"/>
          <w:szCs w:val="15"/>
          <w:b w:val="1"/>
          <w:bCs w:val="1"/>
          <w:color w:val="auto"/>
        </w:rPr>
        <w:t>Total</w:t>
      </w:r>
    </w:p>
    <w:p>
      <w:pPr>
        <w:sectPr>
          <w:pgSz w:w="11900" w:h="16944" w:orient="portrait"/>
          <w:cols w:equalWidth="0" w:num="1">
            <w:col w:w="11380"/>
          </w:cols>
          <w:pgMar w:left="240" w:top="127" w:right="27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060" w:type="dxa"/>
            <w:vAlign w:val="bottom"/>
          </w:tcPr>
          <w:p>
            <w:pPr>
              <w:ind w:left="60"/>
              <w:spacing w:after="0"/>
              <w:rPr>
                <w:sz w:val="20"/>
                <w:szCs w:val="20"/>
                <w:color w:val="auto"/>
              </w:rPr>
            </w:pPr>
            <w:r>
              <w:rPr>
                <w:rFonts w:ascii="Arial" w:cs="Arial" w:eastAsia="Arial" w:hAnsi="Arial"/>
                <w:sz w:val="17"/>
                <w:szCs w:val="17"/>
                <w:color w:val="auto"/>
              </w:rPr>
              <w:t>Net sales</w:t>
            </w:r>
          </w:p>
        </w:tc>
        <w:tc>
          <w:tcPr>
            <w:tcW w:w="3800" w:type="dxa"/>
            <w:vAlign w:val="bottom"/>
            <w:gridSpan w:val="2"/>
          </w:tcPr>
          <w:p>
            <w:pPr>
              <w:jc w:val="right"/>
              <w:ind w:right="75"/>
              <w:spacing w:after="0"/>
              <w:rPr>
                <w:sz w:val="20"/>
                <w:szCs w:val="20"/>
                <w:color w:val="auto"/>
              </w:rPr>
            </w:pPr>
            <w:r>
              <w:rPr>
                <w:rFonts w:ascii="Arial" w:cs="Arial" w:eastAsia="Arial" w:hAnsi="Arial"/>
                <w:sz w:val="17"/>
                <w:szCs w:val="17"/>
                <w:color w:val="auto"/>
              </w:rPr>
              <w:t>$486.3</w:t>
            </w:r>
          </w:p>
        </w:tc>
        <w:tc>
          <w:tcPr>
            <w:tcW w:w="2000" w:type="dxa"/>
            <w:vAlign w:val="bottom"/>
          </w:tcPr>
          <w:p>
            <w:pPr>
              <w:jc w:val="right"/>
              <w:ind w:right="495"/>
              <w:spacing w:after="0"/>
              <w:rPr>
                <w:sz w:val="20"/>
                <w:szCs w:val="20"/>
                <w:color w:val="auto"/>
              </w:rPr>
            </w:pPr>
            <w:r>
              <w:rPr>
                <w:rFonts w:ascii="Arial" w:cs="Arial" w:eastAsia="Arial" w:hAnsi="Arial"/>
                <w:sz w:val="17"/>
                <w:szCs w:val="17"/>
                <w:color w:val="auto"/>
              </w:rPr>
              <w:t>$184.6</w:t>
            </w:r>
          </w:p>
        </w:tc>
        <w:tc>
          <w:tcPr>
            <w:tcW w:w="1040" w:type="dxa"/>
            <w:vAlign w:val="bottom"/>
          </w:tcPr>
          <w:p>
            <w:pPr>
              <w:jc w:val="right"/>
              <w:spacing w:after="0"/>
              <w:rPr>
                <w:sz w:val="20"/>
                <w:szCs w:val="20"/>
                <w:color w:val="auto"/>
              </w:rPr>
            </w:pPr>
            <w:r>
              <w:rPr>
                <w:rFonts w:ascii="Arial" w:cs="Arial" w:eastAsia="Arial" w:hAnsi="Arial"/>
                <w:sz w:val="17"/>
                <w:szCs w:val="17"/>
                <w:color w:val="auto"/>
              </w:rPr>
              <w:t>$670.9</w:t>
            </w:r>
          </w:p>
        </w:tc>
        <w:tc>
          <w:tcPr>
            <w:tcW w:w="1520" w:type="dxa"/>
            <w:vAlign w:val="bottom"/>
          </w:tcPr>
          <w:p>
            <w:pPr>
              <w:spacing w:after="0"/>
              <w:rPr>
                <w:sz w:val="18"/>
                <w:szCs w:val="18"/>
                <w:color w:val="auto"/>
              </w:rPr>
            </w:pPr>
          </w:p>
        </w:tc>
      </w:tr>
      <w:tr>
        <w:trPr>
          <w:trHeight w:val="314"/>
        </w:trPr>
        <w:tc>
          <w:tcPr>
            <w:tcW w:w="3060" w:type="dxa"/>
            <w:vAlign w:val="bottom"/>
          </w:tcPr>
          <w:p>
            <w:pPr>
              <w:ind w:left="60"/>
              <w:spacing w:after="0"/>
              <w:rPr>
                <w:sz w:val="20"/>
                <w:szCs w:val="20"/>
                <w:color w:val="auto"/>
              </w:rPr>
            </w:pPr>
            <w:r>
              <w:rPr>
                <w:rFonts w:ascii="Arial" w:cs="Arial" w:eastAsia="Arial" w:hAnsi="Arial"/>
                <w:sz w:val="17"/>
                <w:szCs w:val="17"/>
                <w:color w:val="auto"/>
              </w:rPr>
              <w:t>Income from operations</w:t>
            </w:r>
          </w:p>
        </w:tc>
        <w:tc>
          <w:tcPr>
            <w:tcW w:w="3800" w:type="dxa"/>
            <w:vAlign w:val="bottom"/>
            <w:gridSpan w:val="2"/>
          </w:tcPr>
          <w:p>
            <w:pPr>
              <w:jc w:val="right"/>
              <w:ind w:right="75"/>
              <w:spacing w:after="0"/>
              <w:rPr>
                <w:sz w:val="20"/>
                <w:szCs w:val="20"/>
                <w:color w:val="auto"/>
              </w:rPr>
            </w:pPr>
            <w:r>
              <w:rPr>
                <w:rFonts w:ascii="Arial" w:cs="Arial" w:eastAsia="Arial" w:hAnsi="Arial"/>
                <w:sz w:val="17"/>
                <w:szCs w:val="17"/>
                <w:color w:val="auto"/>
              </w:rPr>
              <w:t>61.4</w:t>
            </w:r>
          </w:p>
        </w:tc>
        <w:tc>
          <w:tcPr>
            <w:tcW w:w="2000" w:type="dxa"/>
            <w:vAlign w:val="bottom"/>
          </w:tcPr>
          <w:p>
            <w:pPr>
              <w:jc w:val="right"/>
              <w:ind w:right="495"/>
              <w:spacing w:after="0"/>
              <w:rPr>
                <w:sz w:val="20"/>
                <w:szCs w:val="20"/>
                <w:color w:val="auto"/>
              </w:rPr>
            </w:pPr>
            <w:r>
              <w:rPr>
                <w:rFonts w:ascii="Arial" w:cs="Arial" w:eastAsia="Arial" w:hAnsi="Arial"/>
                <w:sz w:val="17"/>
                <w:szCs w:val="17"/>
                <w:color w:val="auto"/>
              </w:rPr>
              <w:t>23.4</w:t>
            </w:r>
          </w:p>
        </w:tc>
        <w:tc>
          <w:tcPr>
            <w:tcW w:w="1040" w:type="dxa"/>
            <w:vAlign w:val="bottom"/>
          </w:tcPr>
          <w:p>
            <w:pPr>
              <w:jc w:val="right"/>
              <w:spacing w:after="0"/>
              <w:rPr>
                <w:sz w:val="20"/>
                <w:szCs w:val="20"/>
                <w:color w:val="auto"/>
              </w:rPr>
            </w:pPr>
            <w:r>
              <w:rPr>
                <w:rFonts w:ascii="Arial" w:cs="Arial" w:eastAsia="Arial" w:hAnsi="Arial"/>
                <w:sz w:val="17"/>
                <w:szCs w:val="17"/>
                <w:color w:val="auto"/>
              </w:rPr>
              <w:t>84.8</w:t>
            </w:r>
          </w:p>
        </w:tc>
        <w:tc>
          <w:tcPr>
            <w:tcW w:w="1520" w:type="dxa"/>
            <w:vAlign w:val="bottom"/>
          </w:tcPr>
          <w:p>
            <w:pPr>
              <w:spacing w:after="0"/>
              <w:rPr>
                <w:sz w:val="24"/>
                <w:szCs w:val="24"/>
                <w:color w:val="auto"/>
              </w:rPr>
            </w:pPr>
          </w:p>
        </w:tc>
      </w:tr>
      <w:tr>
        <w:trPr>
          <w:trHeight w:val="314"/>
        </w:trPr>
        <w:tc>
          <w:tcPr>
            <w:tcW w:w="3060" w:type="dxa"/>
            <w:vAlign w:val="bottom"/>
          </w:tcPr>
          <w:p>
            <w:pPr>
              <w:ind w:left="60"/>
              <w:spacing w:after="0"/>
              <w:rPr>
                <w:sz w:val="20"/>
                <w:szCs w:val="20"/>
                <w:color w:val="auto"/>
              </w:rPr>
            </w:pPr>
            <w:r>
              <w:rPr>
                <w:rFonts w:ascii="Arial" w:cs="Arial" w:eastAsia="Arial" w:hAnsi="Arial"/>
                <w:sz w:val="17"/>
                <w:szCs w:val="17"/>
                <w:color w:val="auto"/>
                <w:w w:val="97"/>
              </w:rPr>
              <w:t>Depreciation, depletion and amortization</w:t>
            </w:r>
          </w:p>
        </w:tc>
        <w:tc>
          <w:tcPr>
            <w:tcW w:w="3800" w:type="dxa"/>
            <w:vAlign w:val="bottom"/>
            <w:gridSpan w:val="2"/>
          </w:tcPr>
          <w:p>
            <w:pPr>
              <w:jc w:val="right"/>
              <w:ind w:right="75"/>
              <w:spacing w:after="0"/>
              <w:rPr>
                <w:sz w:val="20"/>
                <w:szCs w:val="20"/>
                <w:color w:val="auto"/>
              </w:rPr>
            </w:pPr>
            <w:r>
              <w:rPr>
                <w:rFonts w:ascii="Arial" w:cs="Arial" w:eastAsia="Arial" w:hAnsi="Arial"/>
                <w:sz w:val="17"/>
                <w:szCs w:val="17"/>
                <w:color w:val="auto"/>
              </w:rPr>
              <w:t>51.8</w:t>
            </w:r>
          </w:p>
        </w:tc>
        <w:tc>
          <w:tcPr>
            <w:tcW w:w="2000" w:type="dxa"/>
            <w:vAlign w:val="bottom"/>
          </w:tcPr>
          <w:p>
            <w:pPr>
              <w:jc w:val="right"/>
              <w:ind w:right="495"/>
              <w:spacing w:after="0"/>
              <w:rPr>
                <w:sz w:val="20"/>
                <w:szCs w:val="20"/>
                <w:color w:val="auto"/>
              </w:rPr>
            </w:pPr>
            <w:r>
              <w:rPr>
                <w:rFonts w:ascii="Arial" w:cs="Arial" w:eastAsia="Arial" w:hAnsi="Arial"/>
                <w:sz w:val="17"/>
                <w:szCs w:val="17"/>
                <w:color w:val="auto"/>
              </w:rPr>
              <w:t>9.0</w:t>
            </w:r>
          </w:p>
        </w:tc>
        <w:tc>
          <w:tcPr>
            <w:tcW w:w="1040" w:type="dxa"/>
            <w:vAlign w:val="bottom"/>
          </w:tcPr>
          <w:p>
            <w:pPr>
              <w:jc w:val="right"/>
              <w:spacing w:after="0"/>
              <w:rPr>
                <w:sz w:val="20"/>
                <w:szCs w:val="20"/>
                <w:color w:val="auto"/>
              </w:rPr>
            </w:pPr>
            <w:r>
              <w:rPr>
                <w:rFonts w:ascii="Arial" w:cs="Arial" w:eastAsia="Arial" w:hAnsi="Arial"/>
                <w:sz w:val="17"/>
                <w:szCs w:val="17"/>
                <w:color w:val="auto"/>
              </w:rPr>
              <w:t>60.8</w:t>
            </w:r>
          </w:p>
        </w:tc>
        <w:tc>
          <w:tcPr>
            <w:tcW w:w="1520" w:type="dxa"/>
            <w:vAlign w:val="bottom"/>
          </w:tcPr>
          <w:p>
            <w:pPr>
              <w:spacing w:after="0"/>
              <w:rPr>
                <w:sz w:val="24"/>
                <w:szCs w:val="24"/>
                <w:color w:val="auto"/>
              </w:rPr>
            </w:pPr>
          </w:p>
        </w:tc>
      </w:tr>
      <w:tr>
        <w:trPr>
          <w:trHeight w:val="314"/>
        </w:trPr>
        <w:tc>
          <w:tcPr>
            <w:tcW w:w="3060" w:type="dxa"/>
            <w:vAlign w:val="bottom"/>
          </w:tcPr>
          <w:p>
            <w:pPr>
              <w:ind w:left="60"/>
              <w:spacing w:after="0"/>
              <w:rPr>
                <w:sz w:val="20"/>
                <w:szCs w:val="20"/>
                <w:color w:val="auto"/>
              </w:rPr>
            </w:pPr>
            <w:r>
              <w:rPr>
                <w:rFonts w:ascii="Arial" w:cs="Arial" w:eastAsia="Arial" w:hAnsi="Arial"/>
                <w:sz w:val="17"/>
                <w:szCs w:val="17"/>
                <w:color w:val="auto"/>
              </w:rPr>
              <w:t>Write-down of impaired assets</w:t>
            </w:r>
          </w:p>
        </w:tc>
        <w:tc>
          <w:tcPr>
            <w:tcW w:w="3800" w:type="dxa"/>
            <w:vAlign w:val="bottom"/>
            <w:gridSpan w:val="2"/>
          </w:tcPr>
          <w:p>
            <w:pPr>
              <w:jc w:val="right"/>
              <w:ind w:right="75"/>
              <w:spacing w:after="0"/>
              <w:rPr>
                <w:sz w:val="20"/>
                <w:szCs w:val="20"/>
                <w:color w:val="auto"/>
              </w:rPr>
            </w:pPr>
            <w:r>
              <w:rPr>
                <w:rFonts w:ascii="Arial" w:cs="Arial" w:eastAsia="Arial" w:hAnsi="Arial"/>
                <w:sz w:val="17"/>
                <w:szCs w:val="17"/>
                <w:color w:val="auto"/>
              </w:rPr>
              <w:t>4.9</w:t>
            </w:r>
          </w:p>
        </w:tc>
        <w:tc>
          <w:tcPr>
            <w:tcW w:w="2000" w:type="dxa"/>
            <w:vAlign w:val="bottom"/>
          </w:tcPr>
          <w:p>
            <w:pPr>
              <w:jc w:val="right"/>
              <w:ind w:right="4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4.9</w:t>
            </w:r>
          </w:p>
        </w:tc>
        <w:tc>
          <w:tcPr>
            <w:tcW w:w="1520" w:type="dxa"/>
            <w:vAlign w:val="bottom"/>
          </w:tcPr>
          <w:p>
            <w:pPr>
              <w:spacing w:after="0"/>
              <w:rPr>
                <w:sz w:val="24"/>
                <w:szCs w:val="24"/>
                <w:color w:val="auto"/>
              </w:rPr>
            </w:pPr>
          </w:p>
        </w:tc>
      </w:tr>
      <w:tr>
        <w:trPr>
          <w:trHeight w:val="314"/>
        </w:trPr>
        <w:tc>
          <w:tcPr>
            <w:tcW w:w="3060" w:type="dxa"/>
            <w:vAlign w:val="bottom"/>
          </w:tcPr>
          <w:p>
            <w:pPr>
              <w:ind w:left="60"/>
              <w:spacing w:after="0"/>
              <w:rPr>
                <w:sz w:val="20"/>
                <w:szCs w:val="20"/>
                <w:color w:val="auto"/>
              </w:rPr>
            </w:pPr>
            <w:r>
              <w:rPr>
                <w:rFonts w:ascii="Arial" w:cs="Arial" w:eastAsia="Arial" w:hAnsi="Arial"/>
                <w:sz w:val="17"/>
                <w:szCs w:val="17"/>
                <w:color w:val="auto"/>
              </w:rPr>
              <w:t>Segment assets</w:t>
            </w:r>
          </w:p>
        </w:tc>
        <w:tc>
          <w:tcPr>
            <w:tcW w:w="3800" w:type="dxa"/>
            <w:vAlign w:val="bottom"/>
            <w:gridSpan w:val="2"/>
          </w:tcPr>
          <w:p>
            <w:pPr>
              <w:jc w:val="right"/>
              <w:ind w:right="75"/>
              <w:spacing w:after="0"/>
              <w:rPr>
                <w:sz w:val="20"/>
                <w:szCs w:val="20"/>
                <w:color w:val="auto"/>
              </w:rPr>
            </w:pPr>
            <w:r>
              <w:rPr>
                <w:rFonts w:ascii="Arial" w:cs="Arial" w:eastAsia="Arial" w:hAnsi="Arial"/>
                <w:sz w:val="17"/>
                <w:szCs w:val="17"/>
                <w:color w:val="auto"/>
              </w:rPr>
              <w:t>612.4</w:t>
            </w:r>
          </w:p>
        </w:tc>
        <w:tc>
          <w:tcPr>
            <w:tcW w:w="2000" w:type="dxa"/>
            <w:vAlign w:val="bottom"/>
          </w:tcPr>
          <w:p>
            <w:pPr>
              <w:jc w:val="right"/>
              <w:ind w:right="495"/>
              <w:spacing w:after="0"/>
              <w:rPr>
                <w:sz w:val="20"/>
                <w:szCs w:val="20"/>
                <w:color w:val="auto"/>
              </w:rPr>
            </w:pPr>
            <w:r>
              <w:rPr>
                <w:rFonts w:ascii="Arial" w:cs="Arial" w:eastAsia="Arial" w:hAnsi="Arial"/>
                <w:sz w:val="17"/>
                <w:szCs w:val="17"/>
                <w:color w:val="auto"/>
              </w:rPr>
              <w:t>169.5</w:t>
            </w:r>
          </w:p>
        </w:tc>
        <w:tc>
          <w:tcPr>
            <w:tcW w:w="1040" w:type="dxa"/>
            <w:vAlign w:val="bottom"/>
          </w:tcPr>
          <w:p>
            <w:pPr>
              <w:jc w:val="right"/>
              <w:spacing w:after="0"/>
              <w:rPr>
                <w:sz w:val="20"/>
                <w:szCs w:val="20"/>
                <w:color w:val="auto"/>
              </w:rPr>
            </w:pPr>
            <w:r>
              <w:rPr>
                <w:rFonts w:ascii="Arial" w:cs="Arial" w:eastAsia="Arial" w:hAnsi="Arial"/>
                <w:sz w:val="17"/>
                <w:szCs w:val="17"/>
                <w:color w:val="auto"/>
              </w:rPr>
              <w:t>781.9</w:t>
            </w:r>
          </w:p>
        </w:tc>
        <w:tc>
          <w:tcPr>
            <w:tcW w:w="1520" w:type="dxa"/>
            <w:vAlign w:val="bottom"/>
          </w:tcPr>
          <w:p>
            <w:pPr>
              <w:spacing w:after="0"/>
              <w:rPr>
                <w:sz w:val="24"/>
                <w:szCs w:val="24"/>
                <w:color w:val="auto"/>
              </w:rPr>
            </w:pPr>
          </w:p>
        </w:tc>
      </w:tr>
      <w:tr>
        <w:trPr>
          <w:trHeight w:val="314"/>
        </w:trPr>
        <w:tc>
          <w:tcPr>
            <w:tcW w:w="3060" w:type="dxa"/>
            <w:vAlign w:val="bottom"/>
          </w:tcPr>
          <w:p>
            <w:pPr>
              <w:ind w:left="60"/>
              <w:spacing w:after="0"/>
              <w:rPr>
                <w:sz w:val="20"/>
                <w:szCs w:val="20"/>
                <w:color w:val="auto"/>
              </w:rPr>
            </w:pPr>
            <w:r>
              <w:rPr>
                <w:rFonts w:ascii="Arial" w:cs="Arial" w:eastAsia="Arial" w:hAnsi="Arial"/>
                <w:sz w:val="17"/>
                <w:szCs w:val="17"/>
                <w:color w:val="auto"/>
              </w:rPr>
              <w:t>Capital expenditures</w:t>
            </w:r>
          </w:p>
        </w:tc>
        <w:tc>
          <w:tcPr>
            <w:tcW w:w="3800" w:type="dxa"/>
            <w:vAlign w:val="bottom"/>
            <w:gridSpan w:val="2"/>
          </w:tcPr>
          <w:p>
            <w:pPr>
              <w:jc w:val="right"/>
              <w:ind w:right="75"/>
              <w:spacing w:after="0"/>
              <w:rPr>
                <w:sz w:val="20"/>
                <w:szCs w:val="20"/>
                <w:color w:val="auto"/>
              </w:rPr>
            </w:pPr>
            <w:r>
              <w:rPr>
                <w:rFonts w:ascii="Arial" w:cs="Arial" w:eastAsia="Arial" w:hAnsi="Arial"/>
                <w:sz w:val="17"/>
                <w:szCs w:val="17"/>
                <w:color w:val="auto"/>
              </w:rPr>
              <w:t>95.6</w:t>
            </w:r>
          </w:p>
        </w:tc>
        <w:tc>
          <w:tcPr>
            <w:tcW w:w="2000" w:type="dxa"/>
            <w:vAlign w:val="bottom"/>
          </w:tcPr>
          <w:p>
            <w:pPr>
              <w:jc w:val="right"/>
              <w:ind w:right="495"/>
              <w:spacing w:after="0"/>
              <w:rPr>
                <w:sz w:val="20"/>
                <w:szCs w:val="20"/>
                <w:color w:val="auto"/>
              </w:rPr>
            </w:pPr>
            <w:r>
              <w:rPr>
                <w:rFonts w:ascii="Arial" w:cs="Arial" w:eastAsia="Arial" w:hAnsi="Arial"/>
                <w:sz w:val="17"/>
                <w:szCs w:val="17"/>
                <w:color w:val="auto"/>
              </w:rPr>
              <w:t>7.7</w:t>
            </w:r>
          </w:p>
        </w:tc>
        <w:tc>
          <w:tcPr>
            <w:tcW w:w="1040" w:type="dxa"/>
            <w:vAlign w:val="bottom"/>
          </w:tcPr>
          <w:p>
            <w:pPr>
              <w:jc w:val="right"/>
              <w:spacing w:after="0"/>
              <w:rPr>
                <w:sz w:val="20"/>
                <w:szCs w:val="20"/>
                <w:color w:val="auto"/>
              </w:rPr>
            </w:pPr>
            <w:r>
              <w:rPr>
                <w:rFonts w:ascii="Arial" w:cs="Arial" w:eastAsia="Arial" w:hAnsi="Arial"/>
                <w:sz w:val="17"/>
                <w:szCs w:val="17"/>
                <w:color w:val="auto"/>
              </w:rPr>
              <w:t>103.3</w:t>
            </w:r>
          </w:p>
        </w:tc>
        <w:tc>
          <w:tcPr>
            <w:tcW w:w="1520" w:type="dxa"/>
            <w:vAlign w:val="bottom"/>
          </w:tcPr>
          <w:p>
            <w:pPr>
              <w:spacing w:after="0"/>
              <w:rPr>
                <w:sz w:val="24"/>
                <w:szCs w:val="24"/>
                <w:color w:val="auto"/>
              </w:rPr>
            </w:pPr>
          </w:p>
        </w:tc>
      </w:tr>
      <w:tr>
        <w:trPr>
          <w:trHeight w:val="812"/>
        </w:trPr>
        <w:tc>
          <w:tcPr>
            <w:tcW w:w="3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00" w:type="dxa"/>
            <w:vAlign w:val="bottom"/>
          </w:tcPr>
          <w:p>
            <w:pPr>
              <w:jc w:val="center"/>
              <w:ind w:left="135"/>
              <w:spacing w:after="0"/>
              <w:rPr>
                <w:sz w:val="20"/>
                <w:szCs w:val="20"/>
                <w:color w:val="auto"/>
              </w:rPr>
            </w:pPr>
            <w:r>
              <w:rPr>
                <w:rFonts w:ascii="Arial" w:cs="Arial" w:eastAsia="Arial" w:hAnsi="Arial"/>
                <w:sz w:val="17"/>
                <w:szCs w:val="17"/>
                <w:color w:val="auto"/>
                <w:w w:val="91"/>
              </w:rPr>
              <w:t>F-18</w:t>
            </w: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9"/>
        </w:trPr>
        <w:tc>
          <w:tcPr>
            <w:tcW w:w="30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500" w:type="dxa"/>
            <w:vAlign w:val="bottom"/>
            <w:tcBorders>
              <w:bottom w:val="single" w:sz="8" w:color="9A9A9A"/>
            </w:tcBorders>
            <w:gridSpan w:val="2"/>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r>
      <w:tr>
        <w:trPr>
          <w:trHeight w:val="747"/>
        </w:trPr>
        <w:tc>
          <w:tcPr>
            <w:tcW w:w="3060" w:type="dxa"/>
            <w:vAlign w:val="bottom"/>
          </w:tcPr>
          <w:p>
            <w:pPr>
              <w:spacing w:after="0"/>
              <w:rPr>
                <w:sz w:val="24"/>
                <w:szCs w:val="24"/>
                <w:color w:val="auto"/>
              </w:rPr>
            </w:pPr>
          </w:p>
        </w:tc>
        <w:tc>
          <w:tcPr>
            <w:tcW w:w="5800" w:type="dxa"/>
            <w:vAlign w:val="bottom"/>
            <w:gridSpan w:val="3"/>
          </w:tcPr>
          <w:p>
            <w:pPr>
              <w:jc w:val="center"/>
              <w:ind w:right="395"/>
              <w:spacing w:after="0"/>
              <w:rPr>
                <w:sz w:val="20"/>
                <w:szCs w:val="20"/>
                <w:color w:val="auto"/>
              </w:rPr>
            </w:pPr>
            <w:r>
              <w:rPr>
                <w:rFonts w:ascii="Arial" w:cs="Arial" w:eastAsia="Arial" w:hAnsi="Arial"/>
                <w:sz w:val="17"/>
                <w:szCs w:val="17"/>
                <w:b w:val="1"/>
                <w:bCs w:val="1"/>
                <w:color w:val="auto"/>
              </w:rPr>
              <w:t>MINERALS TECHNOLOGIES AND SUBSIDIARY COMPANIES</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0"/>
        </w:trPr>
        <w:tc>
          <w:tcPr>
            <w:tcW w:w="3060" w:type="dxa"/>
            <w:vAlign w:val="bottom"/>
          </w:tcPr>
          <w:p>
            <w:pPr>
              <w:spacing w:after="0"/>
              <w:rPr>
                <w:sz w:val="19"/>
                <w:szCs w:val="19"/>
                <w:color w:val="auto"/>
              </w:rPr>
            </w:pPr>
          </w:p>
        </w:tc>
        <w:tc>
          <w:tcPr>
            <w:tcW w:w="5800" w:type="dxa"/>
            <w:vAlign w:val="bottom"/>
            <w:gridSpan w:val="3"/>
          </w:tcPr>
          <w:p>
            <w:pPr>
              <w:jc w:val="center"/>
              <w:ind w:right="415"/>
              <w:spacing w:after="0"/>
              <w:rPr>
                <w:sz w:val="20"/>
                <w:szCs w:val="20"/>
                <w:color w:val="auto"/>
              </w:rPr>
            </w:pPr>
            <w:r>
              <w:rPr>
                <w:rFonts w:ascii="Arial" w:cs="Arial" w:eastAsia="Arial" w:hAnsi="Arial"/>
                <w:sz w:val="17"/>
                <w:szCs w:val="17"/>
                <w:b w:val="1"/>
                <w:bCs w:val="1"/>
                <w:color w:val="auto"/>
              </w:rPr>
              <w:t>NOTES TO CONSOLIDATED FINANCIAL STATEMENTS</w:t>
            </w:r>
          </w:p>
        </w:tc>
        <w:tc>
          <w:tcPr>
            <w:tcW w:w="10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73"/>
        </w:trPr>
        <w:tc>
          <w:tcPr>
            <w:tcW w:w="3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9"/>
        </w:trPr>
        <w:tc>
          <w:tcPr>
            <w:tcW w:w="3060" w:type="dxa"/>
            <w:vAlign w:val="bottom"/>
            <w:tcBorders>
              <w:bottom w:val="single" w:sz="8" w:color="C0C0C0"/>
            </w:tcBorders>
            <w:shd w:val="clear" w:color="auto" w:fill="C0C0C0"/>
          </w:tcPr>
          <w:p>
            <w:pPr>
              <w:spacing w:after="0"/>
              <w:rPr>
                <w:sz w:val="19"/>
                <w:szCs w:val="19"/>
                <w:color w:val="auto"/>
              </w:rPr>
            </w:pPr>
          </w:p>
        </w:tc>
        <w:tc>
          <w:tcPr>
            <w:tcW w:w="1300" w:type="dxa"/>
            <w:vAlign w:val="bottom"/>
            <w:tcBorders>
              <w:bottom w:val="single" w:sz="8" w:color="C0C0C0"/>
            </w:tcBorders>
            <w:shd w:val="clear" w:color="auto" w:fill="C0C0C0"/>
          </w:tcPr>
          <w:p>
            <w:pPr>
              <w:spacing w:after="0"/>
              <w:rPr>
                <w:sz w:val="19"/>
                <w:szCs w:val="19"/>
                <w:color w:val="auto"/>
              </w:rPr>
            </w:pPr>
          </w:p>
        </w:tc>
        <w:tc>
          <w:tcPr>
            <w:tcW w:w="2500" w:type="dxa"/>
            <w:vAlign w:val="bottom"/>
            <w:tcBorders>
              <w:bottom w:val="single" w:sz="8" w:color="auto"/>
            </w:tcBorders>
            <w:shd w:val="clear" w:color="auto" w:fill="C0C0C0"/>
          </w:tcPr>
          <w:p>
            <w:pPr>
              <w:spacing w:after="0"/>
              <w:rPr>
                <w:sz w:val="19"/>
                <w:szCs w:val="19"/>
                <w:color w:val="auto"/>
              </w:rPr>
            </w:pPr>
          </w:p>
        </w:tc>
        <w:tc>
          <w:tcPr>
            <w:tcW w:w="2000" w:type="dxa"/>
            <w:vAlign w:val="bottom"/>
            <w:tcBorders>
              <w:bottom w:val="single" w:sz="8" w:color="auto"/>
            </w:tcBorders>
            <w:shd w:val="clear" w:color="auto" w:fill="C0C0C0"/>
          </w:tcPr>
          <w:p>
            <w:pPr>
              <w:jc w:val="right"/>
              <w:ind w:right="1475"/>
              <w:spacing w:after="0"/>
              <w:rPr>
                <w:sz w:val="20"/>
                <w:szCs w:val="20"/>
                <w:color w:val="auto"/>
              </w:rPr>
            </w:pPr>
            <w:r>
              <w:rPr>
                <w:rFonts w:ascii="Arial" w:cs="Arial" w:eastAsia="Arial" w:hAnsi="Arial"/>
                <w:sz w:val="17"/>
                <w:szCs w:val="17"/>
                <w:b w:val="1"/>
                <w:bCs w:val="1"/>
                <w:color w:val="auto"/>
              </w:rPr>
              <w:t>1999</w:t>
            </w:r>
          </w:p>
        </w:tc>
        <w:tc>
          <w:tcPr>
            <w:tcW w:w="1040" w:type="dxa"/>
            <w:vAlign w:val="bottom"/>
            <w:tcBorders>
              <w:bottom w:val="single" w:sz="8" w:color="auto"/>
            </w:tcBorders>
            <w:shd w:val="clear" w:color="auto" w:fill="C0C0C0"/>
          </w:tcPr>
          <w:p>
            <w:pPr>
              <w:spacing w:after="0"/>
              <w:rPr>
                <w:sz w:val="19"/>
                <w:szCs w:val="19"/>
                <w:color w:val="auto"/>
              </w:rPr>
            </w:pPr>
          </w:p>
        </w:tc>
        <w:tc>
          <w:tcPr>
            <w:tcW w:w="1520" w:type="dxa"/>
            <w:vAlign w:val="bottom"/>
          </w:tcPr>
          <w:p>
            <w:pPr>
              <w:spacing w:after="0"/>
              <w:rPr>
                <w:sz w:val="19"/>
                <w:szCs w:val="19"/>
                <w:color w:val="auto"/>
              </w:rPr>
            </w:pPr>
          </w:p>
        </w:tc>
      </w:tr>
      <w:tr>
        <w:trPr>
          <w:trHeight w:val="236"/>
        </w:trPr>
        <w:tc>
          <w:tcPr>
            <w:tcW w:w="3060" w:type="dxa"/>
            <w:vAlign w:val="bottom"/>
            <w:shd w:val="clear" w:color="auto" w:fill="C0C0C0"/>
          </w:tcPr>
          <w:p>
            <w:pPr>
              <w:spacing w:after="0"/>
              <w:rPr>
                <w:sz w:val="20"/>
                <w:szCs w:val="20"/>
                <w:color w:val="auto"/>
              </w:rPr>
            </w:pPr>
          </w:p>
        </w:tc>
        <w:tc>
          <w:tcPr>
            <w:tcW w:w="1300" w:type="dxa"/>
            <w:vAlign w:val="bottom"/>
            <w:shd w:val="clear" w:color="auto" w:fill="C0C0C0"/>
          </w:tcPr>
          <w:p>
            <w:pPr>
              <w:spacing w:after="0"/>
              <w:rPr>
                <w:sz w:val="20"/>
                <w:szCs w:val="20"/>
                <w:color w:val="auto"/>
              </w:rPr>
            </w:pPr>
          </w:p>
        </w:tc>
        <w:tc>
          <w:tcPr>
            <w:tcW w:w="2500" w:type="dxa"/>
            <w:vAlign w:val="bottom"/>
            <w:shd w:val="clear" w:color="auto" w:fill="C0C0C0"/>
          </w:tcPr>
          <w:p>
            <w:pPr>
              <w:jc w:val="right"/>
              <w:ind w:right="35"/>
              <w:spacing w:after="0"/>
              <w:rPr>
                <w:sz w:val="20"/>
                <w:szCs w:val="20"/>
                <w:color w:val="auto"/>
              </w:rPr>
            </w:pPr>
            <w:r>
              <w:rPr>
                <w:rFonts w:ascii="Arial" w:cs="Arial" w:eastAsia="Arial" w:hAnsi="Arial"/>
                <w:sz w:val="17"/>
                <w:szCs w:val="17"/>
                <w:b w:val="1"/>
                <w:bCs w:val="1"/>
                <w:color w:val="auto"/>
              </w:rPr>
              <w:t>Specialty Minerals</w:t>
            </w:r>
          </w:p>
        </w:tc>
        <w:tc>
          <w:tcPr>
            <w:tcW w:w="2000" w:type="dxa"/>
            <w:vAlign w:val="bottom"/>
            <w:shd w:val="clear" w:color="auto" w:fill="C0C0C0"/>
          </w:tcPr>
          <w:p>
            <w:pPr>
              <w:jc w:val="right"/>
              <w:ind w:right="435"/>
              <w:spacing w:after="0"/>
              <w:rPr>
                <w:sz w:val="20"/>
                <w:szCs w:val="20"/>
                <w:color w:val="auto"/>
              </w:rPr>
            </w:pPr>
            <w:r>
              <w:rPr>
                <w:rFonts w:ascii="Arial" w:cs="Arial" w:eastAsia="Arial" w:hAnsi="Arial"/>
                <w:sz w:val="17"/>
                <w:szCs w:val="17"/>
                <w:b w:val="1"/>
                <w:bCs w:val="1"/>
                <w:color w:val="auto"/>
              </w:rPr>
              <w:t>Refractories</w:t>
            </w:r>
          </w:p>
        </w:tc>
        <w:tc>
          <w:tcPr>
            <w:tcW w:w="104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rPr>
              <w:t>Total</w:t>
            </w:r>
          </w:p>
        </w:tc>
        <w:tc>
          <w:tcPr>
            <w:tcW w:w="1520" w:type="dxa"/>
            <w:vAlign w:val="bottom"/>
          </w:tcPr>
          <w:p>
            <w:pPr>
              <w:spacing w:after="0"/>
              <w:rPr>
                <w:sz w:val="20"/>
                <w:szCs w:val="20"/>
                <w:color w:val="auto"/>
              </w:rPr>
            </w:pPr>
          </w:p>
        </w:tc>
      </w:tr>
      <w:tr>
        <w:trPr>
          <w:trHeight w:val="201"/>
        </w:trPr>
        <w:tc>
          <w:tcPr>
            <w:tcW w:w="3060" w:type="dxa"/>
            <w:vAlign w:val="bottom"/>
          </w:tcPr>
          <w:p>
            <w:pPr>
              <w:spacing w:after="0"/>
              <w:rPr>
                <w:sz w:val="20"/>
                <w:szCs w:val="20"/>
                <w:color w:val="auto"/>
              </w:rPr>
            </w:pPr>
            <w:r>
              <w:rPr>
                <w:rFonts w:ascii="Arial" w:cs="Arial" w:eastAsia="Arial" w:hAnsi="Arial"/>
                <w:sz w:val="17"/>
                <w:szCs w:val="17"/>
                <w:color w:val="auto"/>
              </w:rPr>
              <w:t>Net sales</w:t>
            </w:r>
          </w:p>
        </w:tc>
        <w:tc>
          <w:tcPr>
            <w:tcW w:w="1300" w:type="dxa"/>
            <w:vAlign w:val="bottom"/>
          </w:tcPr>
          <w:p>
            <w:pPr>
              <w:spacing w:after="0"/>
              <w:rPr>
                <w:sz w:val="17"/>
                <w:szCs w:val="17"/>
                <w:color w:val="auto"/>
              </w:rPr>
            </w:pPr>
          </w:p>
        </w:tc>
        <w:tc>
          <w:tcPr>
            <w:tcW w:w="2500" w:type="dxa"/>
            <w:vAlign w:val="bottom"/>
          </w:tcPr>
          <w:p>
            <w:pPr>
              <w:jc w:val="right"/>
              <w:ind w:right="35"/>
              <w:spacing w:after="0"/>
              <w:rPr>
                <w:sz w:val="20"/>
                <w:szCs w:val="20"/>
                <w:color w:val="auto"/>
              </w:rPr>
            </w:pPr>
            <w:r>
              <w:rPr>
                <w:rFonts w:ascii="Arial" w:cs="Arial" w:eastAsia="Arial" w:hAnsi="Arial"/>
                <w:sz w:val="17"/>
                <w:szCs w:val="17"/>
                <w:color w:val="auto"/>
              </w:rPr>
              <w:t>$479.4</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$183.1</w:t>
            </w:r>
          </w:p>
        </w:tc>
        <w:tc>
          <w:tcPr>
            <w:tcW w:w="1040" w:type="dxa"/>
            <w:vAlign w:val="bottom"/>
          </w:tcPr>
          <w:p>
            <w:pPr>
              <w:jc w:val="right"/>
              <w:spacing w:after="0"/>
              <w:rPr>
                <w:sz w:val="20"/>
                <w:szCs w:val="20"/>
                <w:color w:val="auto"/>
              </w:rPr>
            </w:pPr>
            <w:r>
              <w:rPr>
                <w:rFonts w:ascii="Arial" w:cs="Arial" w:eastAsia="Arial" w:hAnsi="Arial"/>
                <w:sz w:val="17"/>
                <w:szCs w:val="17"/>
                <w:color w:val="auto"/>
              </w:rPr>
              <w:t>$662.5</w:t>
            </w:r>
          </w:p>
        </w:tc>
        <w:tc>
          <w:tcPr>
            <w:tcW w:w="1520" w:type="dxa"/>
            <w:vAlign w:val="bottom"/>
          </w:tcPr>
          <w:p>
            <w:pPr>
              <w:spacing w:after="0"/>
              <w:rPr>
                <w:sz w:val="17"/>
                <w:szCs w:val="17"/>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7"/>
                <w:szCs w:val="17"/>
                <w:color w:val="auto"/>
              </w:rPr>
              <w:t>Income from operations</w:t>
            </w:r>
          </w:p>
        </w:tc>
        <w:tc>
          <w:tcPr>
            <w:tcW w:w="3800" w:type="dxa"/>
            <w:vAlign w:val="bottom"/>
            <w:gridSpan w:val="2"/>
          </w:tcPr>
          <w:p>
            <w:pPr>
              <w:jc w:val="right"/>
              <w:ind w:right="35"/>
              <w:spacing w:after="0"/>
              <w:rPr>
                <w:sz w:val="20"/>
                <w:szCs w:val="20"/>
                <w:color w:val="auto"/>
              </w:rPr>
            </w:pPr>
            <w:r>
              <w:rPr>
                <w:rFonts w:ascii="Arial" w:cs="Arial" w:eastAsia="Arial" w:hAnsi="Arial"/>
                <w:sz w:val="17"/>
                <w:szCs w:val="17"/>
                <w:color w:val="auto"/>
              </w:rPr>
              <w:t>70.9</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26.6</w:t>
            </w:r>
          </w:p>
        </w:tc>
        <w:tc>
          <w:tcPr>
            <w:tcW w:w="1040" w:type="dxa"/>
            <w:vAlign w:val="bottom"/>
          </w:tcPr>
          <w:p>
            <w:pPr>
              <w:jc w:val="right"/>
              <w:spacing w:after="0"/>
              <w:rPr>
                <w:sz w:val="20"/>
                <w:szCs w:val="20"/>
                <w:color w:val="auto"/>
              </w:rPr>
            </w:pPr>
            <w:r>
              <w:rPr>
                <w:rFonts w:ascii="Arial" w:cs="Arial" w:eastAsia="Arial" w:hAnsi="Arial"/>
                <w:sz w:val="17"/>
                <w:szCs w:val="17"/>
                <w:color w:val="auto"/>
              </w:rPr>
              <w:t>97.5</w:t>
            </w:r>
          </w:p>
        </w:tc>
        <w:tc>
          <w:tcPr>
            <w:tcW w:w="1520" w:type="dxa"/>
            <w:vAlign w:val="bottom"/>
          </w:tcPr>
          <w:p>
            <w:pPr>
              <w:spacing w:after="0"/>
              <w:rPr>
                <w:sz w:val="18"/>
                <w:szCs w:val="18"/>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7"/>
                <w:szCs w:val="17"/>
                <w:color w:val="auto"/>
                <w:w w:val="99"/>
              </w:rPr>
              <w:t>Depreciation, depletion and amortization</w:t>
            </w:r>
          </w:p>
        </w:tc>
        <w:tc>
          <w:tcPr>
            <w:tcW w:w="3800" w:type="dxa"/>
            <w:vAlign w:val="bottom"/>
            <w:gridSpan w:val="2"/>
          </w:tcPr>
          <w:p>
            <w:pPr>
              <w:jc w:val="right"/>
              <w:ind w:right="35"/>
              <w:spacing w:after="0"/>
              <w:rPr>
                <w:sz w:val="20"/>
                <w:szCs w:val="20"/>
                <w:color w:val="auto"/>
              </w:rPr>
            </w:pPr>
            <w:r>
              <w:rPr>
                <w:rFonts w:ascii="Arial" w:cs="Arial" w:eastAsia="Arial" w:hAnsi="Arial"/>
                <w:sz w:val="17"/>
                <w:szCs w:val="17"/>
                <w:color w:val="auto"/>
              </w:rPr>
              <w:t>49.1</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9.6</w:t>
            </w:r>
          </w:p>
        </w:tc>
        <w:tc>
          <w:tcPr>
            <w:tcW w:w="1040" w:type="dxa"/>
            <w:vAlign w:val="bottom"/>
          </w:tcPr>
          <w:p>
            <w:pPr>
              <w:jc w:val="right"/>
              <w:spacing w:after="0"/>
              <w:rPr>
                <w:sz w:val="20"/>
                <w:szCs w:val="20"/>
                <w:color w:val="auto"/>
              </w:rPr>
            </w:pPr>
            <w:r>
              <w:rPr>
                <w:rFonts w:ascii="Arial" w:cs="Arial" w:eastAsia="Arial" w:hAnsi="Arial"/>
                <w:sz w:val="17"/>
                <w:szCs w:val="17"/>
                <w:color w:val="auto"/>
              </w:rPr>
              <w:t>58.7</w:t>
            </w:r>
          </w:p>
        </w:tc>
        <w:tc>
          <w:tcPr>
            <w:tcW w:w="1520" w:type="dxa"/>
            <w:vAlign w:val="bottom"/>
          </w:tcPr>
          <w:p>
            <w:pPr>
              <w:spacing w:after="0"/>
              <w:rPr>
                <w:sz w:val="18"/>
                <w:szCs w:val="18"/>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7"/>
                <w:szCs w:val="17"/>
                <w:color w:val="auto"/>
              </w:rPr>
              <w:t>Segment assets</w:t>
            </w:r>
          </w:p>
        </w:tc>
        <w:tc>
          <w:tcPr>
            <w:tcW w:w="3800" w:type="dxa"/>
            <w:vAlign w:val="bottom"/>
            <w:gridSpan w:val="2"/>
          </w:tcPr>
          <w:p>
            <w:pPr>
              <w:jc w:val="right"/>
              <w:ind w:right="35"/>
              <w:spacing w:after="0"/>
              <w:rPr>
                <w:sz w:val="20"/>
                <w:szCs w:val="20"/>
                <w:color w:val="auto"/>
              </w:rPr>
            </w:pPr>
            <w:r>
              <w:rPr>
                <w:rFonts w:ascii="Arial" w:cs="Arial" w:eastAsia="Arial" w:hAnsi="Arial"/>
                <w:sz w:val="17"/>
                <w:szCs w:val="17"/>
                <w:color w:val="auto"/>
              </w:rPr>
              <w:t>563.8</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169.7</w:t>
            </w:r>
          </w:p>
        </w:tc>
        <w:tc>
          <w:tcPr>
            <w:tcW w:w="1040" w:type="dxa"/>
            <w:vAlign w:val="bottom"/>
          </w:tcPr>
          <w:p>
            <w:pPr>
              <w:jc w:val="right"/>
              <w:spacing w:after="0"/>
              <w:rPr>
                <w:sz w:val="20"/>
                <w:szCs w:val="20"/>
                <w:color w:val="auto"/>
              </w:rPr>
            </w:pPr>
            <w:r>
              <w:rPr>
                <w:rFonts w:ascii="Arial" w:cs="Arial" w:eastAsia="Arial" w:hAnsi="Arial"/>
                <w:sz w:val="17"/>
                <w:szCs w:val="17"/>
                <w:color w:val="auto"/>
              </w:rPr>
              <w:t>733.5</w:t>
            </w:r>
          </w:p>
        </w:tc>
        <w:tc>
          <w:tcPr>
            <w:tcW w:w="1520" w:type="dxa"/>
            <w:vAlign w:val="bottom"/>
          </w:tcPr>
          <w:p>
            <w:pPr>
              <w:spacing w:after="0"/>
              <w:rPr>
                <w:sz w:val="18"/>
                <w:szCs w:val="18"/>
                <w:color w:val="auto"/>
              </w:rPr>
            </w:pPr>
          </w:p>
        </w:tc>
      </w:tr>
      <w:tr>
        <w:trPr>
          <w:trHeight w:val="217"/>
        </w:trPr>
        <w:tc>
          <w:tcPr>
            <w:tcW w:w="3060" w:type="dxa"/>
            <w:vAlign w:val="bottom"/>
          </w:tcPr>
          <w:p>
            <w:pPr>
              <w:spacing w:after="0"/>
              <w:rPr>
                <w:sz w:val="20"/>
                <w:szCs w:val="20"/>
                <w:color w:val="auto"/>
              </w:rPr>
            </w:pPr>
            <w:r>
              <w:rPr>
                <w:rFonts w:ascii="Arial" w:cs="Arial" w:eastAsia="Arial" w:hAnsi="Arial"/>
                <w:sz w:val="17"/>
                <w:szCs w:val="17"/>
                <w:color w:val="auto"/>
              </w:rPr>
              <w:t>Capital expenditures</w:t>
            </w:r>
          </w:p>
        </w:tc>
        <w:tc>
          <w:tcPr>
            <w:tcW w:w="3800" w:type="dxa"/>
            <w:vAlign w:val="bottom"/>
            <w:gridSpan w:val="2"/>
          </w:tcPr>
          <w:p>
            <w:pPr>
              <w:jc w:val="right"/>
              <w:ind w:right="35"/>
              <w:spacing w:after="0"/>
              <w:rPr>
                <w:sz w:val="20"/>
                <w:szCs w:val="20"/>
                <w:color w:val="auto"/>
              </w:rPr>
            </w:pPr>
            <w:r>
              <w:rPr>
                <w:rFonts w:ascii="Arial" w:cs="Arial" w:eastAsia="Arial" w:hAnsi="Arial"/>
                <w:sz w:val="17"/>
                <w:szCs w:val="17"/>
                <w:color w:val="auto"/>
              </w:rPr>
              <w:t>61.6</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7.7</w:t>
            </w:r>
          </w:p>
        </w:tc>
        <w:tc>
          <w:tcPr>
            <w:tcW w:w="1040" w:type="dxa"/>
            <w:vAlign w:val="bottom"/>
          </w:tcPr>
          <w:p>
            <w:pPr>
              <w:jc w:val="right"/>
              <w:spacing w:after="0"/>
              <w:rPr>
                <w:sz w:val="20"/>
                <w:szCs w:val="20"/>
                <w:color w:val="auto"/>
              </w:rPr>
            </w:pPr>
            <w:r>
              <w:rPr>
                <w:rFonts w:ascii="Arial" w:cs="Arial" w:eastAsia="Arial" w:hAnsi="Arial"/>
                <w:sz w:val="17"/>
                <w:szCs w:val="17"/>
                <w:color w:val="auto"/>
              </w:rPr>
              <w:t>69.3</w:t>
            </w:r>
          </w:p>
        </w:tc>
        <w:tc>
          <w:tcPr>
            <w:tcW w:w="1520" w:type="dxa"/>
            <w:vAlign w:val="bottom"/>
          </w:tcPr>
          <w:p>
            <w:pPr>
              <w:spacing w:after="0"/>
              <w:rPr>
                <w:sz w:val="18"/>
                <w:szCs w:val="18"/>
                <w:color w:val="auto"/>
              </w:rPr>
            </w:pPr>
          </w:p>
        </w:tc>
      </w:tr>
      <w:tr>
        <w:trPr>
          <w:trHeight w:val="230"/>
        </w:trPr>
        <w:tc>
          <w:tcPr>
            <w:tcW w:w="3060" w:type="dxa"/>
            <w:vAlign w:val="bottom"/>
            <w:tcBorders>
              <w:bottom w:val="single" w:sz="8" w:color="C0C0C0"/>
            </w:tcBorders>
            <w:shd w:val="clear" w:color="auto" w:fill="C0C0C0"/>
          </w:tcPr>
          <w:p>
            <w:pPr>
              <w:spacing w:after="0"/>
              <w:rPr>
                <w:sz w:val="19"/>
                <w:szCs w:val="19"/>
                <w:color w:val="auto"/>
              </w:rPr>
            </w:pPr>
          </w:p>
        </w:tc>
        <w:tc>
          <w:tcPr>
            <w:tcW w:w="1300" w:type="dxa"/>
            <w:vAlign w:val="bottom"/>
            <w:tcBorders>
              <w:bottom w:val="single" w:sz="8" w:color="C0C0C0"/>
            </w:tcBorders>
            <w:shd w:val="clear" w:color="auto" w:fill="C0C0C0"/>
          </w:tcPr>
          <w:p>
            <w:pPr>
              <w:spacing w:after="0"/>
              <w:rPr>
                <w:sz w:val="19"/>
                <w:szCs w:val="19"/>
                <w:color w:val="auto"/>
              </w:rPr>
            </w:pPr>
          </w:p>
        </w:tc>
        <w:tc>
          <w:tcPr>
            <w:tcW w:w="2500" w:type="dxa"/>
            <w:vAlign w:val="bottom"/>
            <w:tcBorders>
              <w:bottom w:val="single" w:sz="8" w:color="auto"/>
            </w:tcBorders>
            <w:shd w:val="clear" w:color="auto" w:fill="C0C0C0"/>
          </w:tcPr>
          <w:p>
            <w:pPr>
              <w:spacing w:after="0"/>
              <w:rPr>
                <w:sz w:val="19"/>
                <w:szCs w:val="19"/>
                <w:color w:val="auto"/>
              </w:rPr>
            </w:pPr>
          </w:p>
        </w:tc>
        <w:tc>
          <w:tcPr>
            <w:tcW w:w="2000" w:type="dxa"/>
            <w:vAlign w:val="bottom"/>
            <w:tcBorders>
              <w:bottom w:val="single" w:sz="8" w:color="auto"/>
            </w:tcBorders>
            <w:shd w:val="clear" w:color="auto" w:fill="C0C0C0"/>
          </w:tcPr>
          <w:p>
            <w:pPr>
              <w:jc w:val="right"/>
              <w:ind w:right="1475"/>
              <w:spacing w:after="0"/>
              <w:rPr>
                <w:sz w:val="20"/>
                <w:szCs w:val="20"/>
                <w:color w:val="auto"/>
              </w:rPr>
            </w:pPr>
            <w:r>
              <w:rPr>
                <w:rFonts w:ascii="Arial" w:cs="Arial" w:eastAsia="Arial" w:hAnsi="Arial"/>
                <w:sz w:val="17"/>
                <w:szCs w:val="17"/>
                <w:b w:val="1"/>
                <w:bCs w:val="1"/>
                <w:color w:val="auto"/>
              </w:rPr>
              <w:t>1998</w:t>
            </w:r>
          </w:p>
        </w:tc>
        <w:tc>
          <w:tcPr>
            <w:tcW w:w="1040" w:type="dxa"/>
            <w:vAlign w:val="bottom"/>
            <w:tcBorders>
              <w:bottom w:val="single" w:sz="8" w:color="auto"/>
            </w:tcBorders>
            <w:shd w:val="clear" w:color="auto" w:fill="C0C0C0"/>
          </w:tcPr>
          <w:p>
            <w:pPr>
              <w:spacing w:after="0"/>
              <w:rPr>
                <w:sz w:val="19"/>
                <w:szCs w:val="19"/>
                <w:color w:val="auto"/>
              </w:rPr>
            </w:pPr>
          </w:p>
        </w:tc>
        <w:tc>
          <w:tcPr>
            <w:tcW w:w="1520" w:type="dxa"/>
            <w:vAlign w:val="bottom"/>
          </w:tcPr>
          <w:p>
            <w:pPr>
              <w:spacing w:after="0"/>
              <w:rPr>
                <w:sz w:val="19"/>
                <w:szCs w:val="19"/>
                <w:color w:val="auto"/>
              </w:rPr>
            </w:pPr>
          </w:p>
        </w:tc>
      </w:tr>
      <w:tr>
        <w:trPr>
          <w:trHeight w:val="236"/>
        </w:trPr>
        <w:tc>
          <w:tcPr>
            <w:tcW w:w="3060" w:type="dxa"/>
            <w:vAlign w:val="bottom"/>
            <w:shd w:val="clear" w:color="auto" w:fill="C0C0C0"/>
          </w:tcPr>
          <w:p>
            <w:pPr>
              <w:spacing w:after="0"/>
              <w:rPr>
                <w:sz w:val="20"/>
                <w:szCs w:val="20"/>
                <w:color w:val="auto"/>
              </w:rPr>
            </w:pPr>
          </w:p>
        </w:tc>
        <w:tc>
          <w:tcPr>
            <w:tcW w:w="1300" w:type="dxa"/>
            <w:vAlign w:val="bottom"/>
            <w:shd w:val="clear" w:color="auto" w:fill="C0C0C0"/>
          </w:tcPr>
          <w:p>
            <w:pPr>
              <w:spacing w:after="0"/>
              <w:rPr>
                <w:sz w:val="20"/>
                <w:szCs w:val="20"/>
                <w:color w:val="auto"/>
              </w:rPr>
            </w:pPr>
          </w:p>
        </w:tc>
        <w:tc>
          <w:tcPr>
            <w:tcW w:w="2500" w:type="dxa"/>
            <w:vAlign w:val="bottom"/>
            <w:shd w:val="clear" w:color="auto" w:fill="C0C0C0"/>
          </w:tcPr>
          <w:p>
            <w:pPr>
              <w:jc w:val="right"/>
              <w:ind w:right="35"/>
              <w:spacing w:after="0"/>
              <w:rPr>
                <w:sz w:val="20"/>
                <w:szCs w:val="20"/>
                <w:color w:val="auto"/>
              </w:rPr>
            </w:pPr>
            <w:r>
              <w:rPr>
                <w:rFonts w:ascii="Arial" w:cs="Arial" w:eastAsia="Arial" w:hAnsi="Arial"/>
                <w:sz w:val="17"/>
                <w:szCs w:val="17"/>
                <w:b w:val="1"/>
                <w:bCs w:val="1"/>
                <w:color w:val="auto"/>
              </w:rPr>
              <w:t>Specialty Minerals</w:t>
            </w:r>
          </w:p>
        </w:tc>
        <w:tc>
          <w:tcPr>
            <w:tcW w:w="2000" w:type="dxa"/>
            <w:vAlign w:val="bottom"/>
            <w:shd w:val="clear" w:color="auto" w:fill="C0C0C0"/>
          </w:tcPr>
          <w:p>
            <w:pPr>
              <w:jc w:val="right"/>
              <w:ind w:right="435"/>
              <w:spacing w:after="0"/>
              <w:rPr>
                <w:sz w:val="20"/>
                <w:szCs w:val="20"/>
                <w:color w:val="auto"/>
              </w:rPr>
            </w:pPr>
            <w:r>
              <w:rPr>
                <w:rFonts w:ascii="Arial" w:cs="Arial" w:eastAsia="Arial" w:hAnsi="Arial"/>
                <w:sz w:val="17"/>
                <w:szCs w:val="17"/>
                <w:b w:val="1"/>
                <w:bCs w:val="1"/>
                <w:color w:val="auto"/>
              </w:rPr>
              <w:t>Refractories</w:t>
            </w:r>
          </w:p>
        </w:tc>
        <w:tc>
          <w:tcPr>
            <w:tcW w:w="104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rPr>
              <w:t>Total</w:t>
            </w:r>
          </w:p>
        </w:tc>
        <w:tc>
          <w:tcPr>
            <w:tcW w:w="1520" w:type="dxa"/>
            <w:vAlign w:val="bottom"/>
          </w:tcPr>
          <w:p>
            <w:pPr>
              <w:spacing w:after="0"/>
              <w:rPr>
                <w:sz w:val="20"/>
                <w:szCs w:val="20"/>
                <w:color w:val="auto"/>
              </w:rPr>
            </w:pPr>
          </w:p>
        </w:tc>
      </w:tr>
      <w:tr>
        <w:trPr>
          <w:trHeight w:val="201"/>
        </w:trPr>
        <w:tc>
          <w:tcPr>
            <w:tcW w:w="3060" w:type="dxa"/>
            <w:vAlign w:val="bottom"/>
          </w:tcPr>
          <w:p>
            <w:pPr>
              <w:spacing w:after="0"/>
              <w:rPr>
                <w:sz w:val="20"/>
                <w:szCs w:val="20"/>
                <w:color w:val="auto"/>
              </w:rPr>
            </w:pPr>
            <w:r>
              <w:rPr>
                <w:rFonts w:ascii="Arial" w:cs="Arial" w:eastAsia="Arial" w:hAnsi="Arial"/>
                <w:sz w:val="17"/>
                <w:szCs w:val="17"/>
                <w:color w:val="auto"/>
              </w:rPr>
              <w:t>Net sales</w:t>
            </w:r>
          </w:p>
        </w:tc>
        <w:tc>
          <w:tcPr>
            <w:tcW w:w="1300" w:type="dxa"/>
            <w:vAlign w:val="bottom"/>
          </w:tcPr>
          <w:p>
            <w:pPr>
              <w:spacing w:after="0"/>
              <w:rPr>
                <w:sz w:val="17"/>
                <w:szCs w:val="17"/>
                <w:color w:val="auto"/>
              </w:rPr>
            </w:pPr>
          </w:p>
        </w:tc>
        <w:tc>
          <w:tcPr>
            <w:tcW w:w="2500" w:type="dxa"/>
            <w:vAlign w:val="bottom"/>
          </w:tcPr>
          <w:p>
            <w:pPr>
              <w:jc w:val="right"/>
              <w:ind w:right="35"/>
              <w:spacing w:after="0"/>
              <w:rPr>
                <w:sz w:val="20"/>
                <w:szCs w:val="20"/>
                <w:color w:val="auto"/>
              </w:rPr>
            </w:pPr>
            <w:r>
              <w:rPr>
                <w:rFonts w:ascii="Arial" w:cs="Arial" w:eastAsia="Arial" w:hAnsi="Arial"/>
                <w:sz w:val="17"/>
                <w:szCs w:val="17"/>
                <w:color w:val="auto"/>
              </w:rPr>
              <w:t>$444.3</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$187.3</w:t>
            </w:r>
          </w:p>
        </w:tc>
        <w:tc>
          <w:tcPr>
            <w:tcW w:w="1040" w:type="dxa"/>
            <w:vAlign w:val="bottom"/>
          </w:tcPr>
          <w:p>
            <w:pPr>
              <w:jc w:val="right"/>
              <w:spacing w:after="0"/>
              <w:rPr>
                <w:sz w:val="20"/>
                <w:szCs w:val="20"/>
                <w:color w:val="auto"/>
              </w:rPr>
            </w:pPr>
            <w:r>
              <w:rPr>
                <w:rFonts w:ascii="Arial" w:cs="Arial" w:eastAsia="Arial" w:hAnsi="Arial"/>
                <w:sz w:val="17"/>
                <w:szCs w:val="17"/>
                <w:color w:val="auto"/>
              </w:rPr>
              <w:t>$631.6</w:t>
            </w:r>
          </w:p>
        </w:tc>
        <w:tc>
          <w:tcPr>
            <w:tcW w:w="1520" w:type="dxa"/>
            <w:vAlign w:val="bottom"/>
          </w:tcPr>
          <w:p>
            <w:pPr>
              <w:spacing w:after="0"/>
              <w:rPr>
                <w:sz w:val="17"/>
                <w:szCs w:val="17"/>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7"/>
                <w:szCs w:val="17"/>
                <w:color w:val="auto"/>
              </w:rPr>
              <w:t>Income from operations</w:t>
            </w:r>
          </w:p>
        </w:tc>
        <w:tc>
          <w:tcPr>
            <w:tcW w:w="3800" w:type="dxa"/>
            <w:vAlign w:val="bottom"/>
            <w:gridSpan w:val="2"/>
          </w:tcPr>
          <w:p>
            <w:pPr>
              <w:jc w:val="right"/>
              <w:ind w:right="35"/>
              <w:spacing w:after="0"/>
              <w:rPr>
                <w:sz w:val="20"/>
                <w:szCs w:val="20"/>
                <w:color w:val="auto"/>
              </w:rPr>
            </w:pPr>
            <w:r>
              <w:rPr>
                <w:rFonts w:ascii="Arial" w:cs="Arial" w:eastAsia="Arial" w:hAnsi="Arial"/>
                <w:sz w:val="17"/>
                <w:szCs w:val="17"/>
                <w:color w:val="auto"/>
              </w:rPr>
              <w:t>66.2</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26.9</w:t>
            </w:r>
          </w:p>
        </w:tc>
        <w:tc>
          <w:tcPr>
            <w:tcW w:w="1040" w:type="dxa"/>
            <w:vAlign w:val="bottom"/>
          </w:tcPr>
          <w:p>
            <w:pPr>
              <w:jc w:val="right"/>
              <w:spacing w:after="0"/>
              <w:rPr>
                <w:sz w:val="20"/>
                <w:szCs w:val="20"/>
                <w:color w:val="auto"/>
              </w:rPr>
            </w:pPr>
            <w:r>
              <w:rPr>
                <w:rFonts w:ascii="Arial" w:cs="Arial" w:eastAsia="Arial" w:hAnsi="Arial"/>
                <w:sz w:val="17"/>
                <w:szCs w:val="17"/>
                <w:color w:val="auto"/>
              </w:rPr>
              <w:t>93.1</w:t>
            </w:r>
          </w:p>
        </w:tc>
        <w:tc>
          <w:tcPr>
            <w:tcW w:w="1520" w:type="dxa"/>
            <w:vAlign w:val="bottom"/>
          </w:tcPr>
          <w:p>
            <w:pPr>
              <w:spacing w:after="0"/>
              <w:rPr>
                <w:sz w:val="18"/>
                <w:szCs w:val="18"/>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7"/>
                <w:szCs w:val="17"/>
                <w:color w:val="auto"/>
                <w:w w:val="99"/>
              </w:rPr>
              <w:t>Depreciation, depletion and amortization</w:t>
            </w:r>
          </w:p>
        </w:tc>
        <w:tc>
          <w:tcPr>
            <w:tcW w:w="3800" w:type="dxa"/>
            <w:vAlign w:val="bottom"/>
            <w:gridSpan w:val="2"/>
          </w:tcPr>
          <w:p>
            <w:pPr>
              <w:jc w:val="right"/>
              <w:ind w:right="35"/>
              <w:spacing w:after="0"/>
              <w:rPr>
                <w:sz w:val="20"/>
                <w:szCs w:val="20"/>
                <w:color w:val="auto"/>
              </w:rPr>
            </w:pPr>
            <w:r>
              <w:rPr>
                <w:rFonts w:ascii="Arial" w:cs="Arial" w:eastAsia="Arial" w:hAnsi="Arial"/>
                <w:sz w:val="17"/>
                <w:szCs w:val="17"/>
                <w:color w:val="auto"/>
              </w:rPr>
              <w:t>45.3</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7.8</w:t>
            </w:r>
          </w:p>
        </w:tc>
        <w:tc>
          <w:tcPr>
            <w:tcW w:w="1040" w:type="dxa"/>
            <w:vAlign w:val="bottom"/>
          </w:tcPr>
          <w:p>
            <w:pPr>
              <w:jc w:val="right"/>
              <w:spacing w:after="0"/>
              <w:rPr>
                <w:sz w:val="20"/>
                <w:szCs w:val="20"/>
                <w:color w:val="auto"/>
              </w:rPr>
            </w:pPr>
            <w:r>
              <w:rPr>
                <w:rFonts w:ascii="Arial" w:cs="Arial" w:eastAsia="Arial" w:hAnsi="Arial"/>
                <w:sz w:val="17"/>
                <w:szCs w:val="17"/>
                <w:color w:val="auto"/>
              </w:rPr>
              <w:t>53.1</w:t>
            </w:r>
          </w:p>
        </w:tc>
        <w:tc>
          <w:tcPr>
            <w:tcW w:w="1520" w:type="dxa"/>
            <w:vAlign w:val="bottom"/>
          </w:tcPr>
          <w:p>
            <w:pPr>
              <w:spacing w:after="0"/>
              <w:rPr>
                <w:sz w:val="18"/>
                <w:szCs w:val="18"/>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7"/>
                <w:szCs w:val="17"/>
                <w:color w:val="auto"/>
              </w:rPr>
              <w:t>Segment assets</w:t>
            </w:r>
          </w:p>
        </w:tc>
        <w:tc>
          <w:tcPr>
            <w:tcW w:w="3800" w:type="dxa"/>
            <w:vAlign w:val="bottom"/>
            <w:gridSpan w:val="2"/>
          </w:tcPr>
          <w:p>
            <w:pPr>
              <w:jc w:val="right"/>
              <w:ind w:right="35"/>
              <w:spacing w:after="0"/>
              <w:rPr>
                <w:sz w:val="20"/>
                <w:szCs w:val="20"/>
                <w:color w:val="auto"/>
              </w:rPr>
            </w:pPr>
            <w:r>
              <w:rPr>
                <w:rFonts w:ascii="Arial" w:cs="Arial" w:eastAsia="Arial" w:hAnsi="Arial"/>
                <w:sz w:val="17"/>
                <w:szCs w:val="17"/>
                <w:color w:val="auto"/>
              </w:rPr>
              <w:t>562.7</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167.5</w:t>
            </w:r>
          </w:p>
        </w:tc>
        <w:tc>
          <w:tcPr>
            <w:tcW w:w="1040" w:type="dxa"/>
            <w:vAlign w:val="bottom"/>
          </w:tcPr>
          <w:p>
            <w:pPr>
              <w:jc w:val="right"/>
              <w:spacing w:after="0"/>
              <w:rPr>
                <w:sz w:val="20"/>
                <w:szCs w:val="20"/>
                <w:color w:val="auto"/>
              </w:rPr>
            </w:pPr>
            <w:r>
              <w:rPr>
                <w:rFonts w:ascii="Arial" w:cs="Arial" w:eastAsia="Arial" w:hAnsi="Arial"/>
                <w:sz w:val="17"/>
                <w:szCs w:val="17"/>
                <w:color w:val="auto"/>
              </w:rPr>
              <w:t>730.2</w:t>
            </w:r>
          </w:p>
        </w:tc>
        <w:tc>
          <w:tcPr>
            <w:tcW w:w="1520" w:type="dxa"/>
            <w:vAlign w:val="bottom"/>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7"/>
                <w:szCs w:val="17"/>
                <w:color w:val="auto"/>
              </w:rPr>
              <w:t>Capital expenditures</w:t>
            </w:r>
          </w:p>
        </w:tc>
        <w:tc>
          <w:tcPr>
            <w:tcW w:w="3800" w:type="dxa"/>
            <w:vAlign w:val="bottom"/>
            <w:gridSpan w:val="2"/>
          </w:tcPr>
          <w:p>
            <w:pPr>
              <w:jc w:val="right"/>
              <w:ind w:right="35"/>
              <w:spacing w:after="0"/>
              <w:rPr>
                <w:sz w:val="20"/>
                <w:szCs w:val="20"/>
                <w:color w:val="auto"/>
              </w:rPr>
            </w:pPr>
            <w:r>
              <w:rPr>
                <w:rFonts w:ascii="Arial" w:cs="Arial" w:eastAsia="Arial" w:hAnsi="Arial"/>
                <w:sz w:val="17"/>
                <w:szCs w:val="17"/>
                <w:color w:val="auto"/>
              </w:rPr>
              <w:t>63.1</w:t>
            </w:r>
          </w:p>
        </w:tc>
        <w:tc>
          <w:tcPr>
            <w:tcW w:w="2000" w:type="dxa"/>
            <w:vAlign w:val="bottom"/>
          </w:tcPr>
          <w:p>
            <w:pPr>
              <w:jc w:val="right"/>
              <w:ind w:right="435"/>
              <w:spacing w:after="0"/>
              <w:rPr>
                <w:sz w:val="20"/>
                <w:szCs w:val="20"/>
                <w:color w:val="auto"/>
              </w:rPr>
            </w:pPr>
            <w:r>
              <w:rPr>
                <w:rFonts w:ascii="Arial" w:cs="Arial" w:eastAsia="Arial" w:hAnsi="Arial"/>
                <w:sz w:val="17"/>
                <w:szCs w:val="17"/>
                <w:color w:val="auto"/>
              </w:rPr>
              <w:t>9.4</w:t>
            </w:r>
          </w:p>
        </w:tc>
        <w:tc>
          <w:tcPr>
            <w:tcW w:w="1040" w:type="dxa"/>
            <w:vAlign w:val="bottom"/>
          </w:tcPr>
          <w:p>
            <w:pPr>
              <w:jc w:val="right"/>
              <w:spacing w:after="0"/>
              <w:rPr>
                <w:sz w:val="20"/>
                <w:szCs w:val="20"/>
                <w:color w:val="auto"/>
              </w:rPr>
            </w:pPr>
            <w:r>
              <w:rPr>
                <w:rFonts w:ascii="Arial" w:cs="Arial" w:eastAsia="Arial" w:hAnsi="Arial"/>
                <w:sz w:val="17"/>
                <w:szCs w:val="17"/>
                <w:color w:val="auto"/>
              </w:rPr>
              <w:t>72.5</w:t>
            </w:r>
          </w:p>
        </w:tc>
        <w:tc>
          <w:tcPr>
            <w:tcW w:w="15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286500" cy="182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86500" cy="18288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-2696210</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-2696210</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reconciliation of the totals reported for the operating segments to the applicable line items in the consolidated financial statements is as follows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shd w:val="clear" w:color="auto" w:fill="C0C0C0"/>
          </w:tcPr>
          <w:p>
            <w:pPr>
              <w:ind w:left="40"/>
              <w:spacing w:after="0"/>
              <w:rPr>
                <w:sz w:val="20"/>
                <w:szCs w:val="20"/>
                <w:color w:val="auto"/>
              </w:rPr>
            </w:pPr>
            <w:r>
              <w:rPr>
                <w:rFonts w:ascii="Arial" w:cs="Arial" w:eastAsia="Arial" w:hAnsi="Arial"/>
                <w:sz w:val="17"/>
                <w:szCs w:val="17"/>
                <w:b w:val="1"/>
                <w:bCs w:val="1"/>
                <w:color w:val="auto"/>
              </w:rPr>
              <w:t>Income before provision for taxes on</w:t>
            </w:r>
          </w:p>
        </w:tc>
        <w:tc>
          <w:tcPr>
            <w:tcW w:w="1760" w:type="dxa"/>
            <w:vAlign w:val="bottom"/>
            <w:shd w:val="clear" w:color="auto" w:fill="C0C0C0"/>
          </w:tcPr>
          <w:p>
            <w:pPr>
              <w:spacing w:after="0"/>
              <w:rPr>
                <w:sz w:val="16"/>
                <w:szCs w:val="16"/>
                <w:color w:val="auto"/>
              </w:rPr>
            </w:pPr>
          </w:p>
        </w:tc>
        <w:tc>
          <w:tcPr>
            <w:tcW w:w="380" w:type="dxa"/>
            <w:vAlign w:val="bottom"/>
            <w:gridSpan w:val="4"/>
            <w:shd w:val="clear" w:color="auto" w:fill="C0C0C0"/>
          </w:tcPr>
          <w:p>
            <w:pPr>
              <w:jc w:val="right"/>
              <w:spacing w:after="0"/>
              <w:rPr>
                <w:sz w:val="20"/>
                <w:szCs w:val="20"/>
                <w:color w:val="auto"/>
              </w:rPr>
            </w:pPr>
            <w:r>
              <w:rPr>
                <w:rFonts w:ascii="Arial" w:cs="Arial" w:eastAsia="Arial" w:hAnsi="Arial"/>
                <w:sz w:val="17"/>
                <w:szCs w:val="17"/>
                <w:b w:val="1"/>
                <w:bCs w:val="1"/>
                <w:color w:val="auto"/>
                <w:w w:val="95"/>
              </w:rPr>
              <w:t>2000</w:t>
            </w:r>
          </w:p>
        </w:tc>
        <w:tc>
          <w:tcPr>
            <w:tcW w:w="280" w:type="dxa"/>
            <w:vAlign w:val="bottom"/>
            <w:shd w:val="clear" w:color="auto" w:fill="C0C0C0"/>
          </w:tcPr>
          <w:p>
            <w:pPr>
              <w:spacing w:after="0"/>
              <w:rPr>
                <w:sz w:val="16"/>
                <w:szCs w:val="16"/>
                <w:color w:val="auto"/>
              </w:rPr>
            </w:pPr>
          </w:p>
        </w:tc>
        <w:tc>
          <w:tcPr>
            <w:tcW w:w="320" w:type="dxa"/>
            <w:vAlign w:val="bottom"/>
            <w:shd w:val="clear" w:color="auto" w:fill="C0C0C0"/>
          </w:tcPr>
          <w:p>
            <w:pPr>
              <w:spacing w:after="0"/>
              <w:rPr>
                <w:sz w:val="16"/>
                <w:szCs w:val="16"/>
                <w:color w:val="auto"/>
              </w:rPr>
            </w:pPr>
          </w:p>
        </w:tc>
        <w:tc>
          <w:tcPr>
            <w:tcW w:w="660" w:type="dxa"/>
            <w:vAlign w:val="bottom"/>
            <w:gridSpan w:val="4"/>
            <w:shd w:val="clear" w:color="auto" w:fill="C0C0C0"/>
          </w:tcPr>
          <w:p>
            <w:pPr>
              <w:jc w:val="right"/>
              <w:ind w:right="280"/>
              <w:spacing w:after="0"/>
              <w:rPr>
                <w:sz w:val="20"/>
                <w:szCs w:val="20"/>
                <w:color w:val="auto"/>
              </w:rPr>
            </w:pPr>
            <w:r>
              <w:rPr>
                <w:rFonts w:ascii="Arial" w:cs="Arial" w:eastAsia="Arial" w:hAnsi="Arial"/>
                <w:sz w:val="17"/>
                <w:szCs w:val="17"/>
                <w:b w:val="1"/>
                <w:bCs w:val="1"/>
                <w:color w:val="auto"/>
                <w:w w:val="95"/>
              </w:rPr>
              <w:t>1999</w:t>
            </w:r>
          </w:p>
        </w:tc>
        <w:tc>
          <w:tcPr>
            <w:tcW w:w="320" w:type="dxa"/>
            <w:vAlign w:val="bottom"/>
            <w:shd w:val="clear" w:color="auto" w:fill="C0C0C0"/>
          </w:tcPr>
          <w:p>
            <w:pPr>
              <w:spacing w:after="0"/>
              <w:rPr>
                <w:sz w:val="16"/>
                <w:szCs w:val="16"/>
                <w:color w:val="auto"/>
              </w:rPr>
            </w:pPr>
          </w:p>
        </w:tc>
        <w:tc>
          <w:tcPr>
            <w:tcW w:w="440" w:type="dxa"/>
            <w:vAlign w:val="bottom"/>
            <w:gridSpan w:val="6"/>
            <w:shd w:val="clear" w:color="auto" w:fill="C0C0C0"/>
          </w:tcPr>
          <w:p>
            <w:pPr>
              <w:jc w:val="right"/>
              <w:ind w:right="60"/>
              <w:spacing w:after="0"/>
              <w:rPr>
                <w:sz w:val="20"/>
                <w:szCs w:val="20"/>
                <w:color w:val="auto"/>
              </w:rPr>
            </w:pPr>
            <w:r>
              <w:rPr>
                <w:rFonts w:ascii="Arial" w:cs="Arial" w:eastAsia="Arial" w:hAnsi="Arial"/>
                <w:sz w:val="17"/>
                <w:szCs w:val="17"/>
                <w:b w:val="1"/>
                <w:bCs w:val="1"/>
                <w:color w:val="auto"/>
                <w:w w:val="95"/>
              </w:rPr>
              <w:t>1998</w:t>
            </w:r>
          </w:p>
        </w:tc>
      </w:tr>
      <w:tr>
        <w:trPr>
          <w:trHeight w:val="229"/>
        </w:trPr>
        <w:tc>
          <w:tcPr>
            <w:tcW w:w="4980" w:type="dxa"/>
            <w:vAlign w:val="bottom"/>
            <w:tcBorders>
              <w:top w:val="single" w:sz="8" w:color="C0C0C0"/>
            </w:tcBorders>
            <w:shd w:val="clear" w:color="auto" w:fill="C0C0C0"/>
          </w:tcPr>
          <w:p>
            <w:pPr>
              <w:ind w:left="220"/>
              <w:spacing w:after="0"/>
              <w:rPr>
                <w:sz w:val="20"/>
                <w:szCs w:val="20"/>
                <w:color w:val="auto"/>
              </w:rPr>
            </w:pPr>
            <w:r>
              <w:rPr>
                <w:rFonts w:ascii="Arial" w:cs="Arial" w:eastAsia="Arial" w:hAnsi="Arial"/>
                <w:sz w:val="17"/>
                <w:szCs w:val="17"/>
                <w:b w:val="1"/>
                <w:bCs w:val="1"/>
                <w:color w:val="auto"/>
              </w:rPr>
              <w:t>income and minority interests</w:t>
            </w:r>
          </w:p>
        </w:tc>
        <w:tc>
          <w:tcPr>
            <w:tcW w:w="1760" w:type="dxa"/>
            <w:vAlign w:val="bottom"/>
            <w:tcBorders>
              <w:top w:val="single" w:sz="8" w:color="C0C0C0"/>
            </w:tcBorders>
            <w:shd w:val="clear" w:color="auto" w:fill="C0C0C0"/>
          </w:tcPr>
          <w:p>
            <w:pPr>
              <w:spacing w:after="0"/>
              <w:rPr>
                <w:sz w:val="19"/>
                <w:szCs w:val="19"/>
                <w:color w:val="auto"/>
              </w:rPr>
            </w:pPr>
          </w:p>
        </w:tc>
        <w:tc>
          <w:tcPr>
            <w:tcW w:w="20" w:type="dxa"/>
            <w:vAlign w:val="bottom"/>
            <w:tcBorders>
              <w:top w:val="single" w:sz="8" w:color="C0C0C0"/>
            </w:tcBorders>
            <w:shd w:val="clear" w:color="auto" w:fill="C0C0C0"/>
          </w:tcPr>
          <w:p>
            <w:pPr>
              <w:spacing w:after="0"/>
              <w:rPr>
                <w:sz w:val="19"/>
                <w:szCs w:val="19"/>
                <w:color w:val="auto"/>
              </w:rPr>
            </w:pPr>
          </w:p>
        </w:tc>
        <w:tc>
          <w:tcPr>
            <w:tcW w:w="20" w:type="dxa"/>
            <w:vAlign w:val="bottom"/>
            <w:tcBorders>
              <w:top w:val="single" w:sz="8" w:color="C0C0C0"/>
            </w:tcBorders>
            <w:shd w:val="clear" w:color="auto" w:fill="C0C0C0"/>
          </w:tcPr>
          <w:p>
            <w:pPr>
              <w:spacing w:after="0"/>
              <w:rPr>
                <w:sz w:val="19"/>
                <w:szCs w:val="19"/>
                <w:color w:val="auto"/>
              </w:rPr>
            </w:pPr>
          </w:p>
        </w:tc>
        <w:tc>
          <w:tcPr>
            <w:tcW w:w="6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320" w:type="dxa"/>
            <w:vAlign w:val="bottom"/>
            <w:tcBorders>
              <w:top w:val="single" w:sz="8" w:color="C0C0C0"/>
            </w:tcBorders>
            <w:shd w:val="clear" w:color="auto" w:fill="C0C0C0"/>
          </w:tcPr>
          <w:p>
            <w:pPr>
              <w:spacing w:after="0"/>
              <w:rPr>
                <w:sz w:val="19"/>
                <w:szCs w:val="19"/>
                <w:color w:val="auto"/>
              </w:rPr>
            </w:pPr>
          </w:p>
        </w:tc>
        <w:tc>
          <w:tcPr>
            <w:tcW w:w="40" w:type="dxa"/>
            <w:vAlign w:val="bottom"/>
            <w:tcBorders>
              <w:top w:val="single" w:sz="8" w:color="C0C0C0"/>
            </w:tcBorders>
            <w:shd w:val="clear" w:color="auto" w:fill="C0C0C0"/>
          </w:tcPr>
          <w:p>
            <w:pPr>
              <w:spacing w:after="0"/>
              <w:rPr>
                <w:sz w:val="19"/>
                <w:szCs w:val="19"/>
                <w:color w:val="auto"/>
              </w:rPr>
            </w:pPr>
          </w:p>
        </w:tc>
        <w:tc>
          <w:tcPr>
            <w:tcW w:w="6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auto"/>
              <w:right w:val="single" w:sz="8" w:color="C0C0C0"/>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320" w:type="dxa"/>
            <w:vAlign w:val="bottom"/>
            <w:tcBorders>
              <w:top w:val="single" w:sz="8" w:color="C0C0C0"/>
            </w:tcBorders>
            <w:shd w:val="clear" w:color="auto" w:fill="C0C0C0"/>
          </w:tcPr>
          <w:p>
            <w:pPr>
              <w:spacing w:after="0"/>
              <w:rPr>
                <w:sz w:val="19"/>
                <w:szCs w:val="19"/>
                <w:color w:val="auto"/>
              </w:rPr>
            </w:pPr>
          </w:p>
        </w:tc>
        <w:tc>
          <w:tcPr>
            <w:tcW w:w="20" w:type="dxa"/>
            <w:vAlign w:val="bottom"/>
            <w:tcBorders>
              <w:top w:val="single" w:sz="8" w:color="C0C0C0"/>
            </w:tcBorders>
            <w:shd w:val="clear" w:color="auto" w:fill="C0C0C0"/>
          </w:tcPr>
          <w:p>
            <w:pPr>
              <w:spacing w:after="0"/>
              <w:rPr>
                <w:sz w:val="19"/>
                <w:szCs w:val="19"/>
                <w:color w:val="auto"/>
              </w:rPr>
            </w:pPr>
          </w:p>
        </w:tc>
        <w:tc>
          <w:tcPr>
            <w:tcW w:w="20" w:type="dxa"/>
            <w:vAlign w:val="bottom"/>
            <w:tcBorders>
              <w:top w:val="single" w:sz="8" w:color="C0C0C0"/>
            </w:tcBorders>
            <w:shd w:val="clear" w:color="auto" w:fill="C0C0C0"/>
          </w:tcPr>
          <w:p>
            <w:pPr>
              <w:spacing w:after="0"/>
              <w:rPr>
                <w:sz w:val="19"/>
                <w:szCs w:val="19"/>
                <w:color w:val="auto"/>
              </w:rPr>
            </w:pPr>
          </w:p>
        </w:tc>
        <w:tc>
          <w:tcPr>
            <w:tcW w:w="6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auto"/>
            </w:tcBorders>
            <w:shd w:val="clear" w:color="auto" w:fill="C0C0C0"/>
          </w:tcPr>
          <w:p>
            <w:pPr>
              <w:spacing w:after="0"/>
              <w:rPr>
                <w:sz w:val="19"/>
                <w:szCs w:val="19"/>
                <w:color w:val="auto"/>
              </w:rPr>
            </w:pPr>
          </w:p>
        </w:tc>
        <w:tc>
          <w:tcPr>
            <w:tcW w:w="20" w:type="dxa"/>
            <w:vAlign w:val="bottom"/>
            <w:tcBorders>
              <w:top w:val="single" w:sz="8" w:color="auto"/>
            </w:tcBorders>
            <w:shd w:val="clear" w:color="auto" w:fill="C0C0C0"/>
          </w:tcPr>
          <w:p>
            <w:pPr>
              <w:spacing w:after="0"/>
              <w:rPr>
                <w:sz w:val="19"/>
                <w:szCs w:val="19"/>
                <w:color w:val="auto"/>
              </w:rPr>
            </w:pPr>
          </w:p>
        </w:tc>
        <w:tc>
          <w:tcPr>
            <w:tcW w:w="40" w:type="dxa"/>
            <w:vAlign w:val="bottom"/>
            <w:tcBorders>
              <w:top w:val="single" w:sz="8" w:color="C0C0C0"/>
            </w:tcBorders>
            <w:shd w:val="clear" w:color="auto" w:fill="C0C0C0"/>
          </w:tcPr>
          <w:p>
            <w:pPr>
              <w:spacing w:after="0"/>
              <w:rPr>
                <w:sz w:val="19"/>
                <w:szCs w:val="19"/>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7"/>
                <w:szCs w:val="17"/>
                <w:color w:val="auto"/>
              </w:rPr>
              <w:t>Income from operations for reportable segments</w:t>
            </w: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4"/>
          </w:tcPr>
          <w:p>
            <w:pPr>
              <w:jc w:val="right"/>
              <w:spacing w:after="0"/>
              <w:rPr>
                <w:sz w:val="20"/>
                <w:szCs w:val="20"/>
                <w:color w:val="auto"/>
              </w:rPr>
            </w:pPr>
            <w:r>
              <w:rPr>
                <w:rFonts w:ascii="Arial" w:cs="Arial" w:eastAsia="Arial" w:hAnsi="Arial"/>
                <w:sz w:val="17"/>
                <w:szCs w:val="17"/>
                <w:color w:val="auto"/>
              </w:rPr>
              <w:t>84.8</w:t>
            </w:r>
          </w:p>
        </w:tc>
        <w:tc>
          <w:tcPr>
            <w:tcW w:w="2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4"/>
          </w:tcPr>
          <w:p>
            <w:pPr>
              <w:jc w:val="right"/>
              <w:ind w:right="280"/>
              <w:spacing w:after="0"/>
              <w:rPr>
                <w:sz w:val="20"/>
                <w:szCs w:val="20"/>
                <w:color w:val="auto"/>
              </w:rPr>
            </w:pPr>
            <w:r>
              <w:rPr>
                <w:rFonts w:ascii="Arial" w:cs="Arial" w:eastAsia="Arial" w:hAnsi="Arial"/>
                <w:sz w:val="17"/>
                <w:szCs w:val="17"/>
                <w:color w:val="auto"/>
              </w:rPr>
              <w:t>97.5</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6"/>
          </w:tcPr>
          <w:p>
            <w:pPr>
              <w:jc w:val="right"/>
              <w:ind w:right="60"/>
              <w:spacing w:after="0"/>
              <w:rPr>
                <w:sz w:val="20"/>
                <w:szCs w:val="20"/>
                <w:color w:val="auto"/>
              </w:rPr>
            </w:pPr>
            <w:r>
              <w:rPr>
                <w:rFonts w:ascii="Arial" w:cs="Arial" w:eastAsia="Arial" w:hAnsi="Arial"/>
                <w:sz w:val="17"/>
                <w:szCs w:val="17"/>
                <w:color w:val="auto"/>
              </w:rPr>
              <w:t>93.1</w:t>
            </w:r>
          </w:p>
        </w:tc>
      </w:tr>
      <w:tr>
        <w:trPr>
          <w:trHeight w:val="179"/>
        </w:trPr>
        <w:tc>
          <w:tcPr>
            <w:tcW w:w="4980" w:type="dxa"/>
            <w:vAlign w:val="bottom"/>
          </w:tcPr>
          <w:p>
            <w:pPr>
              <w:spacing w:after="0" w:line="179" w:lineRule="exact"/>
              <w:rPr>
                <w:sz w:val="20"/>
                <w:szCs w:val="20"/>
                <w:color w:val="auto"/>
              </w:rPr>
            </w:pPr>
            <w:r>
              <w:rPr>
                <w:rFonts w:ascii="Arial" w:cs="Arial" w:eastAsia="Arial" w:hAnsi="Arial"/>
                <w:sz w:val="17"/>
                <w:szCs w:val="17"/>
                <w:color w:val="auto"/>
              </w:rPr>
              <w:t>Unallocated corporate expenses</w:t>
            </w:r>
          </w:p>
        </w:tc>
        <w:tc>
          <w:tcPr>
            <w:tcW w:w="17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340" w:type="dxa"/>
            <w:vAlign w:val="bottom"/>
            <w:gridSpan w:val="3"/>
          </w:tcPr>
          <w:p>
            <w:pPr>
              <w:jc w:val="right"/>
              <w:spacing w:after="0" w:line="179" w:lineRule="exact"/>
              <w:rPr>
                <w:sz w:val="20"/>
                <w:szCs w:val="20"/>
                <w:color w:val="auto"/>
              </w:rPr>
            </w:pPr>
            <w:r>
              <w:rPr>
                <w:rFonts w:ascii="Arial" w:cs="Arial" w:eastAsia="Arial" w:hAnsi="Arial"/>
                <w:sz w:val="17"/>
                <w:szCs w:val="17"/>
                <w:color w:val="auto"/>
                <w:w w:val="91"/>
              </w:rPr>
              <w:t>(0.7)</w:t>
            </w:r>
          </w:p>
        </w:tc>
      </w:tr>
      <w:tr>
        <w:trPr>
          <w:trHeight w:val="20"/>
        </w:trPr>
        <w:tc>
          <w:tcPr>
            <w:tcW w:w="4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0"/>
        </w:trPr>
        <w:tc>
          <w:tcPr>
            <w:tcW w:w="4980" w:type="dxa"/>
            <w:vAlign w:val="bottom"/>
          </w:tcPr>
          <w:p>
            <w:pPr>
              <w:spacing w:after="0"/>
              <w:rPr>
                <w:sz w:val="20"/>
                <w:szCs w:val="20"/>
                <w:color w:val="auto"/>
              </w:rPr>
            </w:pPr>
            <w:r>
              <w:rPr>
                <w:rFonts w:ascii="Arial" w:cs="Arial" w:eastAsia="Arial" w:hAnsi="Arial"/>
                <w:sz w:val="17"/>
                <w:szCs w:val="17"/>
                <w:color w:val="auto"/>
              </w:rPr>
              <w:t>Consolidated income from operations</w:t>
            </w:r>
          </w:p>
        </w:tc>
        <w:tc>
          <w:tcPr>
            <w:tcW w:w="1760" w:type="dxa"/>
            <w:vAlign w:val="bottom"/>
          </w:tcPr>
          <w:p>
            <w:pPr>
              <w:spacing w:after="0"/>
              <w:rPr>
                <w:sz w:val="19"/>
                <w:szCs w:val="19"/>
                <w:color w:val="auto"/>
              </w:rPr>
            </w:pPr>
          </w:p>
        </w:tc>
        <w:tc>
          <w:tcPr>
            <w:tcW w:w="380" w:type="dxa"/>
            <w:vAlign w:val="bottom"/>
            <w:gridSpan w:val="4"/>
          </w:tcPr>
          <w:p>
            <w:pPr>
              <w:jc w:val="right"/>
              <w:spacing w:after="0"/>
              <w:rPr>
                <w:sz w:val="20"/>
                <w:szCs w:val="20"/>
                <w:color w:val="auto"/>
              </w:rPr>
            </w:pPr>
            <w:r>
              <w:rPr>
                <w:rFonts w:ascii="Arial" w:cs="Arial" w:eastAsia="Arial" w:hAnsi="Arial"/>
                <w:sz w:val="17"/>
                <w:szCs w:val="17"/>
                <w:color w:val="auto"/>
              </w:rPr>
              <w:t>84.8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7"/>
                <w:szCs w:val="17"/>
                <w:color w:val="auto"/>
              </w:rPr>
              <w:t>97.5</w:t>
            </w:r>
          </w:p>
        </w:tc>
        <w:tc>
          <w:tcPr>
            <w:tcW w:w="320" w:type="dxa"/>
            <w:vAlign w:val="bottom"/>
          </w:tcPr>
          <w:p>
            <w:pPr>
              <w:spacing w:after="0"/>
              <w:rPr>
                <w:sz w:val="19"/>
                <w:szCs w:val="19"/>
                <w:color w:val="auto"/>
              </w:rPr>
            </w:pPr>
          </w:p>
        </w:tc>
        <w:tc>
          <w:tcPr>
            <w:tcW w:w="440" w:type="dxa"/>
            <w:vAlign w:val="bottom"/>
            <w:gridSpan w:val="6"/>
          </w:tcPr>
          <w:p>
            <w:pPr>
              <w:jc w:val="right"/>
              <w:ind w:right="60"/>
              <w:spacing w:after="0"/>
              <w:rPr>
                <w:sz w:val="20"/>
                <w:szCs w:val="20"/>
                <w:color w:val="auto"/>
              </w:rPr>
            </w:pPr>
            <w:r>
              <w:rPr>
                <w:rFonts w:ascii="Arial" w:cs="Arial" w:eastAsia="Arial" w:hAnsi="Arial"/>
                <w:sz w:val="17"/>
                <w:szCs w:val="17"/>
                <w:color w:val="auto"/>
              </w:rPr>
              <w:t>92.4</w:t>
            </w:r>
          </w:p>
        </w:tc>
      </w:tr>
      <w:tr>
        <w:trPr>
          <w:trHeight w:val="210"/>
        </w:trPr>
        <w:tc>
          <w:tcPr>
            <w:tcW w:w="4980" w:type="dxa"/>
            <w:vAlign w:val="bottom"/>
          </w:tcPr>
          <w:p>
            <w:pPr>
              <w:spacing w:after="0"/>
              <w:rPr>
                <w:sz w:val="20"/>
                <w:szCs w:val="20"/>
                <w:color w:val="auto"/>
              </w:rPr>
            </w:pPr>
            <w:r>
              <w:rPr>
                <w:rFonts w:ascii="Arial" w:cs="Arial" w:eastAsia="Arial" w:hAnsi="Arial"/>
                <w:sz w:val="17"/>
                <w:szCs w:val="17"/>
                <w:color w:val="auto"/>
              </w:rPr>
              <w:t>Interest income</w:t>
            </w:r>
          </w:p>
        </w:tc>
        <w:tc>
          <w:tcPr>
            <w:tcW w:w="176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7"/>
                <w:szCs w:val="17"/>
                <w:color w:val="auto"/>
              </w:rPr>
              <w:t>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7"/>
                <w:szCs w:val="17"/>
                <w:color w:val="auto"/>
              </w:rPr>
              <w:t>1.2</w:t>
            </w:r>
          </w:p>
        </w:tc>
        <w:tc>
          <w:tcPr>
            <w:tcW w:w="320" w:type="dxa"/>
            <w:vAlign w:val="bottom"/>
          </w:tcPr>
          <w:p>
            <w:pPr>
              <w:spacing w:after="0"/>
              <w:rPr>
                <w:sz w:val="18"/>
                <w:szCs w:val="18"/>
                <w:color w:val="auto"/>
              </w:rPr>
            </w:pPr>
          </w:p>
        </w:tc>
        <w:tc>
          <w:tcPr>
            <w:tcW w:w="440" w:type="dxa"/>
            <w:vAlign w:val="bottom"/>
            <w:gridSpan w:val="6"/>
          </w:tcPr>
          <w:p>
            <w:pPr>
              <w:jc w:val="right"/>
              <w:ind w:right="60"/>
              <w:spacing w:after="0"/>
              <w:rPr>
                <w:sz w:val="20"/>
                <w:szCs w:val="20"/>
                <w:color w:val="auto"/>
              </w:rPr>
            </w:pPr>
            <w:r>
              <w:rPr>
                <w:rFonts w:ascii="Arial" w:cs="Arial" w:eastAsia="Arial" w:hAnsi="Arial"/>
                <w:sz w:val="17"/>
                <w:szCs w:val="17"/>
                <w:color w:val="auto"/>
              </w:rPr>
              <w:t>2.1</w:t>
            </w:r>
          </w:p>
        </w:tc>
      </w:tr>
      <w:tr>
        <w:trPr>
          <w:trHeight w:val="210"/>
        </w:trPr>
        <w:tc>
          <w:tcPr>
            <w:tcW w:w="4980" w:type="dxa"/>
            <w:vAlign w:val="bottom"/>
          </w:tcPr>
          <w:p>
            <w:pPr>
              <w:spacing w:after="0"/>
              <w:rPr>
                <w:sz w:val="20"/>
                <w:szCs w:val="20"/>
                <w:color w:val="auto"/>
              </w:rPr>
            </w:pPr>
            <w:r>
              <w:rPr>
                <w:rFonts w:ascii="Arial" w:cs="Arial" w:eastAsia="Arial" w:hAnsi="Arial"/>
                <w:sz w:val="17"/>
                <w:szCs w:val="17"/>
                <w:color w:val="auto"/>
              </w:rPr>
              <w:t>Interest expense</w:t>
            </w:r>
          </w:p>
        </w:tc>
        <w:tc>
          <w:tcPr>
            <w:tcW w:w="1760" w:type="dxa"/>
            <w:vAlign w:val="bottom"/>
          </w:tcPr>
          <w:p>
            <w:pPr>
              <w:spacing w:after="0"/>
              <w:rPr>
                <w:sz w:val="18"/>
                <w:szCs w:val="18"/>
                <w:color w:val="auto"/>
              </w:rPr>
            </w:pPr>
          </w:p>
        </w:tc>
        <w:tc>
          <w:tcPr>
            <w:tcW w:w="660" w:type="dxa"/>
            <w:vAlign w:val="bottom"/>
            <w:gridSpan w:val="5"/>
          </w:tcPr>
          <w:p>
            <w:pPr>
              <w:jc w:val="right"/>
              <w:ind w:right="240"/>
              <w:spacing w:after="0"/>
              <w:rPr>
                <w:sz w:val="20"/>
                <w:szCs w:val="20"/>
                <w:color w:val="auto"/>
              </w:rPr>
            </w:pPr>
            <w:r>
              <w:rPr>
                <w:rFonts w:ascii="Arial" w:cs="Arial" w:eastAsia="Arial" w:hAnsi="Arial"/>
                <w:sz w:val="17"/>
                <w:szCs w:val="17"/>
                <w:color w:val="auto"/>
              </w:rPr>
              <w:t>(5.3)</w:t>
            </w:r>
          </w:p>
        </w:tc>
        <w:tc>
          <w:tcPr>
            <w:tcW w:w="320" w:type="dxa"/>
            <w:vAlign w:val="bottom"/>
          </w:tcPr>
          <w:p>
            <w:pPr>
              <w:spacing w:after="0"/>
              <w:rPr>
                <w:sz w:val="18"/>
                <w:szCs w:val="18"/>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7"/>
                <w:szCs w:val="17"/>
                <w:color w:val="auto"/>
              </w:rPr>
              <w:t>(5.1)</w:t>
            </w:r>
          </w:p>
        </w:tc>
        <w:tc>
          <w:tcPr>
            <w:tcW w:w="320" w:type="dxa"/>
            <w:vAlign w:val="bottom"/>
          </w:tcPr>
          <w:p>
            <w:pPr>
              <w:spacing w:after="0"/>
              <w:rPr>
                <w:sz w:val="18"/>
                <w:szCs w:val="18"/>
                <w:color w:val="auto"/>
              </w:rPr>
            </w:pPr>
          </w:p>
        </w:tc>
        <w:tc>
          <w:tcPr>
            <w:tcW w:w="440" w:type="dxa"/>
            <w:vAlign w:val="bottom"/>
            <w:gridSpan w:val="6"/>
          </w:tcPr>
          <w:p>
            <w:pPr>
              <w:jc w:val="right"/>
              <w:spacing w:after="0"/>
              <w:rPr>
                <w:sz w:val="20"/>
                <w:szCs w:val="20"/>
                <w:color w:val="auto"/>
              </w:rPr>
            </w:pPr>
            <w:r>
              <w:rPr>
                <w:rFonts w:ascii="Arial" w:cs="Arial" w:eastAsia="Arial" w:hAnsi="Arial"/>
                <w:sz w:val="17"/>
                <w:szCs w:val="17"/>
                <w:color w:val="auto"/>
              </w:rPr>
              <w:t>(5.9)</w:t>
            </w:r>
          </w:p>
        </w:tc>
      </w:tr>
      <w:tr>
        <w:trPr>
          <w:trHeight w:val="179"/>
        </w:trPr>
        <w:tc>
          <w:tcPr>
            <w:tcW w:w="4980" w:type="dxa"/>
            <w:vAlign w:val="bottom"/>
          </w:tcPr>
          <w:p>
            <w:pPr>
              <w:spacing w:after="0" w:line="179" w:lineRule="exact"/>
              <w:rPr>
                <w:sz w:val="20"/>
                <w:szCs w:val="20"/>
                <w:color w:val="auto"/>
              </w:rPr>
            </w:pPr>
            <w:r>
              <w:rPr>
                <w:rFonts w:ascii="Arial" w:cs="Arial" w:eastAsia="Arial" w:hAnsi="Arial"/>
                <w:sz w:val="17"/>
                <w:szCs w:val="17"/>
                <w:color w:val="auto"/>
              </w:rPr>
              <w:t>Other deductions</w:t>
            </w:r>
          </w:p>
        </w:tc>
        <w:tc>
          <w:tcPr>
            <w:tcW w:w="1760" w:type="dxa"/>
            <w:vAlign w:val="bottom"/>
          </w:tcPr>
          <w:p>
            <w:pPr>
              <w:spacing w:after="0"/>
              <w:rPr>
                <w:sz w:val="15"/>
                <w:szCs w:val="15"/>
                <w:color w:val="auto"/>
              </w:rPr>
            </w:pPr>
          </w:p>
        </w:tc>
        <w:tc>
          <w:tcPr>
            <w:tcW w:w="660" w:type="dxa"/>
            <w:vAlign w:val="bottom"/>
            <w:gridSpan w:val="5"/>
          </w:tcPr>
          <w:p>
            <w:pPr>
              <w:jc w:val="right"/>
              <w:ind w:right="240"/>
              <w:spacing w:after="0" w:line="179" w:lineRule="exact"/>
              <w:rPr>
                <w:sz w:val="20"/>
                <w:szCs w:val="20"/>
                <w:color w:val="auto"/>
              </w:rPr>
            </w:pPr>
            <w:r>
              <w:rPr>
                <w:rFonts w:ascii="Arial" w:cs="Arial" w:eastAsia="Arial" w:hAnsi="Arial"/>
                <w:sz w:val="17"/>
                <w:szCs w:val="17"/>
                <w:color w:val="auto"/>
              </w:rPr>
              <w:t>(0.8)</w:t>
            </w:r>
          </w:p>
        </w:tc>
        <w:tc>
          <w:tcPr>
            <w:tcW w:w="320" w:type="dxa"/>
            <w:vAlign w:val="bottom"/>
          </w:tcPr>
          <w:p>
            <w:pPr>
              <w:spacing w:after="0"/>
              <w:rPr>
                <w:sz w:val="15"/>
                <w:szCs w:val="15"/>
                <w:color w:val="auto"/>
              </w:rPr>
            </w:pPr>
          </w:p>
        </w:tc>
        <w:tc>
          <w:tcPr>
            <w:tcW w:w="660" w:type="dxa"/>
            <w:vAlign w:val="bottom"/>
            <w:gridSpan w:val="4"/>
          </w:tcPr>
          <w:p>
            <w:pPr>
              <w:jc w:val="right"/>
              <w:ind w:right="240"/>
              <w:spacing w:after="0" w:line="179" w:lineRule="exact"/>
              <w:rPr>
                <w:sz w:val="20"/>
                <w:szCs w:val="20"/>
                <w:color w:val="auto"/>
              </w:rPr>
            </w:pPr>
            <w:r>
              <w:rPr>
                <w:rFonts w:ascii="Arial" w:cs="Arial" w:eastAsia="Arial" w:hAnsi="Arial"/>
                <w:sz w:val="17"/>
                <w:szCs w:val="17"/>
                <w:color w:val="auto"/>
              </w:rPr>
              <w:t>(1.1)</w:t>
            </w:r>
          </w:p>
        </w:tc>
        <w:tc>
          <w:tcPr>
            <w:tcW w:w="320" w:type="dxa"/>
            <w:vAlign w:val="bottom"/>
          </w:tcPr>
          <w:p>
            <w:pPr>
              <w:spacing w:after="0"/>
              <w:rPr>
                <w:sz w:val="15"/>
                <w:szCs w:val="15"/>
                <w:color w:val="auto"/>
              </w:rPr>
            </w:pPr>
          </w:p>
        </w:tc>
        <w:tc>
          <w:tcPr>
            <w:tcW w:w="440" w:type="dxa"/>
            <w:vAlign w:val="bottom"/>
            <w:gridSpan w:val="6"/>
          </w:tcPr>
          <w:p>
            <w:pPr>
              <w:jc w:val="right"/>
              <w:spacing w:after="0" w:line="179" w:lineRule="exact"/>
              <w:rPr>
                <w:sz w:val="20"/>
                <w:szCs w:val="20"/>
                <w:color w:val="auto"/>
              </w:rPr>
            </w:pPr>
            <w:r>
              <w:rPr>
                <w:rFonts w:ascii="Arial" w:cs="Arial" w:eastAsia="Arial" w:hAnsi="Arial"/>
                <w:sz w:val="17"/>
                <w:szCs w:val="17"/>
                <w:color w:val="auto"/>
              </w:rPr>
              <w:t>(2.3)</w:t>
            </w:r>
          </w:p>
        </w:tc>
      </w:tr>
      <w:tr>
        <w:trPr>
          <w:trHeight w:val="226"/>
        </w:trPr>
        <w:tc>
          <w:tcPr>
            <w:tcW w:w="4980" w:type="dxa"/>
            <w:vAlign w:val="bottom"/>
          </w:tcPr>
          <w:p>
            <w:pPr>
              <w:ind w:left="220"/>
              <w:spacing w:after="0"/>
              <w:rPr>
                <w:sz w:val="20"/>
                <w:szCs w:val="20"/>
                <w:color w:val="auto"/>
              </w:rPr>
            </w:pPr>
            <w:r>
              <w:rPr>
                <w:rFonts w:ascii="Arial" w:cs="Arial" w:eastAsia="Arial" w:hAnsi="Arial"/>
                <w:sz w:val="17"/>
                <w:szCs w:val="17"/>
                <w:color w:val="auto"/>
              </w:rPr>
              <w:t>Income before provision for taxes on income</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80" w:type="dxa"/>
            <w:vAlign w:val="bottom"/>
          </w:tcPr>
          <w:p>
            <w:pPr>
              <w:ind w:left="440"/>
              <w:spacing w:after="0"/>
              <w:rPr>
                <w:sz w:val="20"/>
                <w:szCs w:val="20"/>
                <w:color w:val="auto"/>
              </w:rPr>
            </w:pPr>
            <w:r>
              <w:rPr>
                <w:rFonts w:ascii="Arial" w:cs="Arial" w:eastAsia="Arial" w:hAnsi="Arial"/>
                <w:sz w:val="17"/>
                <w:szCs w:val="17"/>
                <w:color w:val="auto"/>
              </w:rPr>
              <w:t>and minority interests</w:t>
            </w: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4"/>
          </w:tcPr>
          <w:p>
            <w:pPr>
              <w:jc w:val="right"/>
              <w:spacing w:after="0"/>
              <w:rPr>
                <w:sz w:val="20"/>
                <w:szCs w:val="20"/>
                <w:color w:val="auto"/>
              </w:rPr>
            </w:pPr>
            <w:r>
              <w:rPr>
                <w:rFonts w:ascii="Arial" w:cs="Arial" w:eastAsia="Arial" w:hAnsi="Arial"/>
                <w:sz w:val="17"/>
                <w:szCs w:val="17"/>
                <w:color w:val="auto"/>
              </w:rPr>
              <w:t>79.8</w:t>
            </w: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4"/>
          </w:tcPr>
          <w:p>
            <w:pPr>
              <w:jc w:val="right"/>
              <w:ind w:right="280"/>
              <w:spacing w:after="0"/>
              <w:rPr>
                <w:sz w:val="20"/>
                <w:szCs w:val="20"/>
                <w:color w:val="auto"/>
              </w:rPr>
            </w:pPr>
            <w:r>
              <w:rPr>
                <w:rFonts w:ascii="Arial" w:cs="Arial" w:eastAsia="Arial" w:hAnsi="Arial"/>
                <w:sz w:val="17"/>
                <w:szCs w:val="17"/>
                <w:color w:val="auto"/>
              </w:rPr>
              <w:t>92.5</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6"/>
          </w:tcPr>
          <w:p>
            <w:pPr>
              <w:jc w:val="right"/>
              <w:ind w:right="60"/>
              <w:spacing w:after="0"/>
              <w:rPr>
                <w:sz w:val="20"/>
                <w:szCs w:val="20"/>
                <w:color w:val="auto"/>
              </w:rPr>
            </w:pPr>
            <w:r>
              <w:rPr>
                <w:rFonts w:ascii="Arial" w:cs="Arial" w:eastAsia="Arial" w:hAnsi="Arial"/>
                <w:sz w:val="17"/>
                <w:szCs w:val="17"/>
                <w:color w:val="auto"/>
              </w:rPr>
              <w:t>86.3</w:t>
            </w:r>
          </w:p>
        </w:tc>
      </w:tr>
      <w:tr>
        <w:trPr>
          <w:trHeight w:val="216"/>
        </w:trPr>
        <w:tc>
          <w:tcPr>
            <w:tcW w:w="4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gridSpan w:val="5"/>
          </w:tcPr>
          <w:p>
            <w:pPr>
              <w:jc w:val="right"/>
              <w:ind w:right="280"/>
              <w:spacing w:after="0"/>
              <w:rPr>
                <w:sz w:val="20"/>
                <w:szCs w:val="20"/>
                <w:color w:val="auto"/>
              </w:rPr>
            </w:pPr>
            <w:r>
              <w:rPr>
                <w:rFonts w:ascii="Arial" w:cs="Arial" w:eastAsia="Arial" w:hAnsi="Arial"/>
                <w:sz w:val="17"/>
                <w:szCs w:val="17"/>
                <w:color w:val="auto"/>
                <w:w w:val="90"/>
              </w:rPr>
              <w:t>====</w:t>
            </w:r>
          </w:p>
        </w:tc>
        <w:tc>
          <w:tcPr>
            <w:tcW w:w="320" w:type="dxa"/>
            <w:vAlign w:val="bottom"/>
          </w:tcPr>
          <w:p>
            <w:pPr>
              <w:spacing w:after="0"/>
              <w:rPr>
                <w:sz w:val="18"/>
                <w:szCs w:val="18"/>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7"/>
                <w:szCs w:val="17"/>
                <w:color w:val="auto"/>
                <w:w w:val="90"/>
              </w:rPr>
              <w:t>====</w:t>
            </w:r>
          </w:p>
        </w:tc>
        <w:tc>
          <w:tcPr>
            <w:tcW w:w="320" w:type="dxa"/>
            <w:vAlign w:val="bottom"/>
          </w:tcPr>
          <w:p>
            <w:pPr>
              <w:spacing w:after="0"/>
              <w:rPr>
                <w:sz w:val="18"/>
                <w:szCs w:val="18"/>
                <w:color w:val="auto"/>
              </w:rPr>
            </w:pPr>
          </w:p>
        </w:tc>
        <w:tc>
          <w:tcPr>
            <w:tcW w:w="440" w:type="dxa"/>
            <w:vAlign w:val="bottom"/>
            <w:gridSpan w:val="6"/>
          </w:tcPr>
          <w:p>
            <w:pPr>
              <w:jc w:val="right"/>
              <w:ind w:right="60"/>
              <w:spacing w:after="0"/>
              <w:rPr>
                <w:sz w:val="20"/>
                <w:szCs w:val="20"/>
                <w:color w:val="auto"/>
              </w:rPr>
            </w:pPr>
            <w:r>
              <w:rPr>
                <w:rFonts w:ascii="Arial" w:cs="Arial" w:eastAsia="Arial" w:hAnsi="Arial"/>
                <w:sz w:val="17"/>
                <w:szCs w:val="17"/>
                <w:color w:val="auto"/>
                <w:w w:val="90"/>
              </w:rPr>
              <w:t>====</w:t>
            </w: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shd w:val="clear" w:color="auto" w:fill="C0C0C0"/>
          </w:tcPr>
          <w:p>
            <w:pPr>
              <w:ind w:left="40"/>
              <w:spacing w:after="0"/>
              <w:rPr>
                <w:sz w:val="20"/>
                <w:szCs w:val="20"/>
                <w:color w:val="auto"/>
              </w:rPr>
            </w:pPr>
            <w:r>
              <w:rPr>
                <w:rFonts w:ascii="Arial" w:cs="Arial" w:eastAsia="Arial" w:hAnsi="Arial"/>
                <w:sz w:val="17"/>
                <w:szCs w:val="17"/>
                <w:b w:val="1"/>
                <w:bCs w:val="1"/>
                <w:color w:val="auto"/>
              </w:rPr>
              <w:t>Total assets</w:t>
            </w:r>
          </w:p>
        </w:tc>
        <w:tc>
          <w:tcPr>
            <w:tcW w:w="2500" w:type="dxa"/>
            <w:vAlign w:val="bottom"/>
            <w:tcBorders>
              <w:right w:val="single" w:sz="8" w:color="C0C0C0"/>
            </w:tcBorders>
            <w:shd w:val="clear" w:color="auto" w:fill="C0C0C0"/>
          </w:tcPr>
          <w:p>
            <w:pPr>
              <w:spacing w:after="0"/>
              <w:rPr>
                <w:sz w:val="16"/>
                <w:szCs w:val="16"/>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84"/>
              </w:rPr>
              <w:t>2000</w:t>
            </w:r>
          </w:p>
        </w:tc>
        <w:tc>
          <w:tcPr>
            <w:tcW w:w="260" w:type="dxa"/>
            <w:vAlign w:val="bottom"/>
            <w:shd w:val="clear" w:color="auto" w:fill="C0C0C0"/>
          </w:tcPr>
          <w:p>
            <w:pPr>
              <w:spacing w:after="0"/>
              <w:rPr>
                <w:sz w:val="16"/>
                <w:szCs w:val="16"/>
                <w:color w:val="auto"/>
              </w:rPr>
            </w:pPr>
          </w:p>
        </w:tc>
        <w:tc>
          <w:tcPr>
            <w:tcW w:w="980" w:type="dxa"/>
            <w:vAlign w:val="bottom"/>
            <w:gridSpan w:val="3"/>
            <w:shd w:val="clear" w:color="auto" w:fill="C0C0C0"/>
          </w:tcPr>
          <w:p>
            <w:pPr>
              <w:jc w:val="right"/>
              <w:ind w:right="260"/>
              <w:spacing w:after="0"/>
              <w:rPr>
                <w:sz w:val="20"/>
                <w:szCs w:val="20"/>
                <w:color w:val="auto"/>
              </w:rPr>
            </w:pPr>
            <w:r>
              <w:rPr>
                <w:rFonts w:ascii="Arial" w:cs="Arial" w:eastAsia="Arial" w:hAnsi="Arial"/>
                <w:sz w:val="17"/>
                <w:szCs w:val="17"/>
                <w:b w:val="1"/>
                <w:bCs w:val="1"/>
                <w:color w:val="auto"/>
              </w:rPr>
              <w:t>1999</w:t>
            </w:r>
          </w:p>
        </w:tc>
        <w:tc>
          <w:tcPr>
            <w:tcW w:w="72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1998</w:t>
            </w:r>
          </w:p>
        </w:tc>
        <w:tc>
          <w:tcPr>
            <w:tcW w:w="60" w:type="dxa"/>
            <w:vAlign w:val="bottom"/>
            <w:shd w:val="clear" w:color="auto" w:fill="C0C0C0"/>
          </w:tcPr>
          <w:p>
            <w:pPr>
              <w:spacing w:after="0"/>
              <w:rPr>
                <w:sz w:val="16"/>
                <w:szCs w:val="16"/>
                <w:color w:val="auto"/>
              </w:rPr>
            </w:pPr>
          </w:p>
        </w:tc>
      </w:tr>
      <w:tr>
        <w:trPr>
          <w:trHeight w:val="39"/>
        </w:trPr>
        <w:tc>
          <w:tcPr>
            <w:tcW w:w="4280" w:type="dxa"/>
            <w:vAlign w:val="bottom"/>
            <w:shd w:val="clear" w:color="auto" w:fill="C0C0C0"/>
          </w:tcPr>
          <w:p>
            <w:pPr>
              <w:spacing w:after="0"/>
              <w:rPr>
                <w:sz w:val="3"/>
                <w:szCs w:val="3"/>
                <w:color w:val="auto"/>
              </w:rPr>
            </w:pPr>
          </w:p>
        </w:tc>
        <w:tc>
          <w:tcPr>
            <w:tcW w:w="2500" w:type="dxa"/>
            <w:vAlign w:val="bottom"/>
            <w:tcBorders>
              <w:right w:val="single" w:sz="8" w:color="C0C0C0"/>
            </w:tcBorders>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380" w:type="dxa"/>
            <w:vAlign w:val="bottom"/>
            <w:tcBorders>
              <w:right w:val="single" w:sz="8" w:color="C0C0C0"/>
            </w:tcBorders>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340" w:type="dxa"/>
            <w:vAlign w:val="bottom"/>
            <w:shd w:val="clear" w:color="auto" w:fill="C0C0C0"/>
          </w:tcPr>
          <w:p>
            <w:pPr>
              <w:spacing w:after="0"/>
              <w:rPr>
                <w:sz w:val="3"/>
                <w:szCs w:val="3"/>
                <w:color w:val="auto"/>
              </w:rPr>
            </w:pPr>
          </w:p>
        </w:tc>
        <w:tc>
          <w:tcPr>
            <w:tcW w:w="380" w:type="dxa"/>
            <w:vAlign w:val="bottom"/>
            <w:tcBorders>
              <w:right w:val="single" w:sz="8" w:color="C0C0C0"/>
            </w:tcBorders>
            <w:shd w:val="clear" w:color="auto" w:fill="000000"/>
          </w:tcPr>
          <w:p>
            <w:pPr>
              <w:spacing w:after="0"/>
              <w:rPr>
                <w:sz w:val="3"/>
                <w:szCs w:val="3"/>
                <w:color w:val="auto"/>
              </w:rPr>
            </w:pPr>
          </w:p>
        </w:tc>
        <w:tc>
          <w:tcPr>
            <w:tcW w:w="60" w:type="dxa"/>
            <w:vAlign w:val="bottom"/>
            <w:shd w:val="clear" w:color="auto" w:fill="C0C0C0"/>
          </w:tcPr>
          <w:p>
            <w:pPr>
              <w:spacing w:after="0"/>
              <w:rPr>
                <w:sz w:val="3"/>
                <w:szCs w:val="3"/>
                <w:color w:val="auto"/>
              </w:rPr>
            </w:pPr>
          </w:p>
        </w:tc>
      </w:tr>
      <w:tr>
        <w:trPr>
          <w:trHeight w:val="201"/>
        </w:trPr>
        <w:tc>
          <w:tcPr>
            <w:tcW w:w="4280" w:type="dxa"/>
            <w:vAlign w:val="bottom"/>
          </w:tcPr>
          <w:p>
            <w:pPr>
              <w:spacing w:after="0"/>
              <w:rPr>
                <w:sz w:val="20"/>
                <w:szCs w:val="20"/>
                <w:color w:val="auto"/>
              </w:rPr>
            </w:pPr>
            <w:r>
              <w:rPr>
                <w:rFonts w:ascii="Arial" w:cs="Arial" w:eastAsia="Arial" w:hAnsi="Arial"/>
                <w:sz w:val="17"/>
                <w:szCs w:val="17"/>
                <w:color w:val="auto"/>
              </w:rPr>
              <w:t>Total segment assets</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$781.9</w:t>
            </w:r>
          </w:p>
        </w:tc>
        <w:tc>
          <w:tcPr>
            <w:tcW w:w="260" w:type="dxa"/>
            <w:vAlign w:val="bottom"/>
          </w:tcPr>
          <w:p>
            <w:pPr>
              <w:spacing w:after="0"/>
              <w:rPr>
                <w:sz w:val="17"/>
                <w:szCs w:val="17"/>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7"/>
                <w:szCs w:val="17"/>
                <w:color w:val="auto"/>
              </w:rPr>
              <w:t>$733.5</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$730.2</w:t>
            </w:r>
          </w:p>
        </w:tc>
      </w:tr>
      <w:tr>
        <w:trPr>
          <w:trHeight w:val="179"/>
        </w:trPr>
        <w:tc>
          <w:tcPr>
            <w:tcW w:w="4280" w:type="dxa"/>
            <w:vAlign w:val="bottom"/>
          </w:tcPr>
          <w:p>
            <w:pPr>
              <w:spacing w:after="0" w:line="179" w:lineRule="exact"/>
              <w:rPr>
                <w:sz w:val="20"/>
                <w:szCs w:val="20"/>
                <w:color w:val="auto"/>
              </w:rPr>
            </w:pPr>
            <w:r>
              <w:rPr>
                <w:rFonts w:ascii="Arial" w:cs="Arial" w:eastAsia="Arial" w:hAnsi="Arial"/>
                <w:sz w:val="17"/>
                <w:szCs w:val="17"/>
                <w:color w:val="auto"/>
              </w:rPr>
              <w:t>Corporate assets</w:t>
            </w:r>
          </w:p>
        </w:tc>
        <w:tc>
          <w:tcPr>
            <w:tcW w:w="2500" w:type="dxa"/>
            <w:vAlign w:val="bottom"/>
          </w:tcPr>
          <w:p>
            <w:pPr>
              <w:spacing w:after="0"/>
              <w:rPr>
                <w:sz w:val="15"/>
                <w:szCs w:val="15"/>
                <w:color w:val="auto"/>
              </w:rPr>
            </w:pPr>
          </w:p>
        </w:tc>
        <w:tc>
          <w:tcPr>
            <w:tcW w:w="340" w:type="dxa"/>
            <w:vAlign w:val="bottom"/>
          </w:tcPr>
          <w:p>
            <w:pPr>
              <w:jc w:val="right"/>
              <w:spacing w:after="0" w:line="179" w:lineRule="exact"/>
              <w:rPr>
                <w:sz w:val="20"/>
                <w:szCs w:val="20"/>
                <w:color w:val="auto"/>
              </w:rPr>
            </w:pPr>
            <w:r>
              <w:rPr>
                <w:rFonts w:ascii="Arial" w:cs="Arial" w:eastAsia="Arial" w:hAnsi="Arial"/>
                <w:sz w:val="17"/>
                <w:szCs w:val="17"/>
                <w:color w:val="auto"/>
                <w:w w:val="96"/>
              </w:rPr>
              <w:t>17.</w:t>
            </w:r>
            <w:r>
              <w:rPr>
                <w:rFonts w:ascii="Arial" w:cs="Arial" w:eastAsia="Arial" w:hAnsi="Arial"/>
                <w:sz w:val="17"/>
                <w:szCs w:val="17"/>
                <w:u w:val="single" w:color="auto"/>
                <w:color w:val="auto"/>
                <w:w w:val="96"/>
              </w:rPr>
              <w:t>9</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jc w:val="right"/>
              <w:spacing w:after="0" w:line="179" w:lineRule="exact"/>
              <w:rPr>
                <w:sz w:val="20"/>
                <w:szCs w:val="20"/>
                <w:color w:val="auto"/>
              </w:rPr>
            </w:pPr>
            <w:r>
              <w:rPr>
                <w:rFonts w:ascii="Arial" w:cs="Arial" w:eastAsia="Arial" w:hAnsi="Arial"/>
                <w:sz w:val="17"/>
                <w:szCs w:val="17"/>
                <w:color w:val="auto"/>
                <w:w w:val="96"/>
              </w:rPr>
              <w:t>35.</w:t>
            </w:r>
            <w:r>
              <w:rPr>
                <w:rFonts w:ascii="Arial" w:cs="Arial" w:eastAsia="Arial" w:hAnsi="Arial"/>
                <w:sz w:val="17"/>
                <w:szCs w:val="17"/>
                <w:u w:val="single" w:color="auto"/>
                <w:color w:val="auto"/>
                <w:w w:val="96"/>
              </w:rPr>
              <w:t>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right"/>
              <w:ind w:right="60"/>
              <w:spacing w:after="0" w:line="179" w:lineRule="exact"/>
              <w:rPr>
                <w:sz w:val="20"/>
                <w:szCs w:val="20"/>
                <w:color w:val="auto"/>
              </w:rPr>
            </w:pPr>
            <w:r>
              <w:rPr>
                <w:rFonts w:ascii="Arial" w:cs="Arial" w:eastAsia="Arial" w:hAnsi="Arial"/>
                <w:sz w:val="17"/>
                <w:szCs w:val="17"/>
                <w:color w:val="auto"/>
              </w:rPr>
              <w:t>30.</w:t>
            </w:r>
            <w:r>
              <w:rPr>
                <w:rFonts w:ascii="Arial" w:cs="Arial" w:eastAsia="Arial" w:hAnsi="Arial"/>
                <w:sz w:val="17"/>
                <w:szCs w:val="17"/>
                <w:u w:val="single" w:color="auto"/>
                <w:color w:val="auto"/>
              </w:rPr>
              <w:t>7</w:t>
            </w:r>
          </w:p>
        </w:tc>
      </w:tr>
      <w:tr>
        <w:trPr>
          <w:trHeight w:val="20"/>
        </w:trPr>
        <w:tc>
          <w:tcPr>
            <w:tcW w:w="4280" w:type="dxa"/>
            <w:vAlign w:val="bottom"/>
          </w:tcPr>
          <w:p>
            <w:pPr>
              <w:spacing w:after="0" w:line="20" w:lineRule="exact"/>
              <w:rPr>
                <w:sz w:val="1"/>
                <w:szCs w:val="1"/>
                <w:color w:val="auto"/>
              </w:rPr>
            </w:pPr>
          </w:p>
        </w:tc>
        <w:tc>
          <w:tcPr>
            <w:tcW w:w="25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6"/>
        </w:trPr>
        <w:tc>
          <w:tcPr>
            <w:tcW w:w="4280" w:type="dxa"/>
            <w:vAlign w:val="bottom"/>
          </w:tcPr>
          <w:p>
            <w:pPr>
              <w:ind w:left="220"/>
              <w:spacing w:after="0"/>
              <w:rPr>
                <w:sz w:val="20"/>
                <w:szCs w:val="20"/>
                <w:color w:val="auto"/>
              </w:rPr>
            </w:pPr>
            <w:r>
              <w:rPr>
                <w:rFonts w:ascii="Arial" w:cs="Arial" w:eastAsia="Arial" w:hAnsi="Arial"/>
                <w:sz w:val="17"/>
                <w:szCs w:val="17"/>
                <w:color w:val="auto"/>
              </w:rPr>
              <w:t>Consolidated total assets</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$799.8</w:t>
            </w:r>
          </w:p>
        </w:tc>
        <w:tc>
          <w:tcPr>
            <w:tcW w:w="260" w:type="dxa"/>
            <w:vAlign w:val="bottom"/>
          </w:tcPr>
          <w:p>
            <w:pPr>
              <w:spacing w:after="0"/>
              <w:rPr>
                <w:sz w:val="24"/>
                <w:szCs w:val="2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7"/>
                <w:szCs w:val="17"/>
                <w:color w:val="auto"/>
              </w:rPr>
              <w:t>$769.1</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$760.9</w:t>
            </w:r>
          </w:p>
        </w:tc>
      </w:tr>
      <w:tr>
        <w:trPr>
          <w:trHeight w:val="216"/>
        </w:trPr>
        <w:tc>
          <w:tcPr>
            <w:tcW w:w="4280" w:type="dxa"/>
            <w:vAlign w:val="bottom"/>
          </w:tcPr>
          <w:p>
            <w:pPr>
              <w:spacing w:after="0"/>
              <w:rPr>
                <w:sz w:val="18"/>
                <w:szCs w:val="18"/>
                <w:color w:val="auto"/>
              </w:rPr>
            </w:pPr>
          </w:p>
        </w:tc>
        <w:tc>
          <w:tcPr>
            <w:tcW w:w="31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shd w:val="clear" w:color="auto" w:fill="C0C0C0"/>
          </w:tcPr>
          <w:p>
            <w:pPr>
              <w:ind w:left="40"/>
              <w:spacing w:after="0"/>
              <w:rPr>
                <w:sz w:val="20"/>
                <w:szCs w:val="20"/>
                <w:color w:val="auto"/>
              </w:rPr>
            </w:pPr>
            <w:r>
              <w:rPr>
                <w:rFonts w:ascii="Arial" w:cs="Arial" w:eastAsia="Arial" w:hAnsi="Arial"/>
                <w:sz w:val="17"/>
                <w:szCs w:val="17"/>
                <w:b w:val="1"/>
                <w:bCs w:val="1"/>
                <w:color w:val="auto"/>
              </w:rPr>
              <w:t>Capital expenditures</w:t>
            </w:r>
          </w:p>
        </w:tc>
        <w:tc>
          <w:tcPr>
            <w:tcW w:w="2020" w:type="dxa"/>
            <w:vAlign w:val="bottom"/>
            <w:tcBorders>
              <w:right w:val="single" w:sz="8" w:color="C0C0C0"/>
            </w:tcBorders>
            <w:shd w:val="clear" w:color="auto" w:fill="C0C0C0"/>
          </w:tcPr>
          <w:p>
            <w:pPr>
              <w:spacing w:after="0"/>
              <w:rPr>
                <w:sz w:val="16"/>
                <w:szCs w:val="16"/>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84"/>
              </w:rPr>
              <w:t>2000</w:t>
            </w:r>
          </w:p>
        </w:tc>
        <w:tc>
          <w:tcPr>
            <w:tcW w:w="260" w:type="dxa"/>
            <w:vAlign w:val="bottom"/>
            <w:shd w:val="clear" w:color="auto" w:fill="C0C0C0"/>
          </w:tcPr>
          <w:p>
            <w:pPr>
              <w:spacing w:after="0"/>
              <w:rPr>
                <w:sz w:val="16"/>
                <w:szCs w:val="16"/>
                <w:color w:val="auto"/>
              </w:rPr>
            </w:pPr>
          </w:p>
        </w:tc>
        <w:tc>
          <w:tcPr>
            <w:tcW w:w="380" w:type="dxa"/>
            <w:vAlign w:val="bottom"/>
            <w:tcBorders>
              <w:right w:val="single" w:sz="8" w:color="C0C0C0"/>
            </w:tcBorders>
            <w:shd w:val="clear" w:color="auto" w:fill="C0C0C0"/>
          </w:tcPr>
          <w:p>
            <w:pPr>
              <w:spacing w:after="0"/>
              <w:rPr>
                <w:sz w:val="16"/>
                <w:szCs w:val="16"/>
                <w:color w:val="auto"/>
              </w:rPr>
            </w:pPr>
          </w:p>
        </w:tc>
        <w:tc>
          <w:tcPr>
            <w:tcW w:w="60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b w:val="1"/>
                <w:bCs w:val="1"/>
                <w:color w:val="auto"/>
                <w:w w:val="84"/>
              </w:rPr>
              <w:t>1999</w:t>
            </w:r>
          </w:p>
        </w:tc>
        <w:tc>
          <w:tcPr>
            <w:tcW w:w="340" w:type="dxa"/>
            <w:vAlign w:val="bottom"/>
            <w:shd w:val="clear" w:color="auto" w:fill="C0C0C0"/>
          </w:tcPr>
          <w:p>
            <w:pPr>
              <w:spacing w:after="0"/>
              <w:rPr>
                <w:sz w:val="16"/>
                <w:szCs w:val="16"/>
                <w:color w:val="auto"/>
              </w:rPr>
            </w:pPr>
          </w:p>
        </w:tc>
        <w:tc>
          <w:tcPr>
            <w:tcW w:w="4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b w:val="1"/>
                <w:bCs w:val="1"/>
                <w:color w:val="auto"/>
                <w:w w:val="84"/>
              </w:rPr>
              <w:t>1998</w:t>
            </w:r>
          </w:p>
        </w:tc>
      </w:tr>
      <w:tr>
        <w:trPr>
          <w:trHeight w:val="39"/>
        </w:trPr>
        <w:tc>
          <w:tcPr>
            <w:tcW w:w="4760" w:type="dxa"/>
            <w:vAlign w:val="bottom"/>
            <w:shd w:val="clear" w:color="auto" w:fill="C0C0C0"/>
          </w:tcPr>
          <w:p>
            <w:pPr>
              <w:spacing w:after="0"/>
              <w:rPr>
                <w:sz w:val="3"/>
                <w:szCs w:val="3"/>
                <w:color w:val="auto"/>
              </w:rPr>
            </w:pPr>
          </w:p>
        </w:tc>
        <w:tc>
          <w:tcPr>
            <w:tcW w:w="2020" w:type="dxa"/>
            <w:vAlign w:val="bottom"/>
            <w:tcBorders>
              <w:right w:val="single" w:sz="8" w:color="C0C0C0"/>
            </w:tcBorders>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380" w:type="dxa"/>
            <w:vAlign w:val="bottom"/>
            <w:tcBorders>
              <w:right w:val="single" w:sz="8" w:color="C0C0C0"/>
            </w:tcBorders>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340" w:type="dxa"/>
            <w:vAlign w:val="bottom"/>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r>
      <w:tr>
        <w:trPr>
          <w:trHeight w:val="201"/>
        </w:trPr>
        <w:tc>
          <w:tcPr>
            <w:tcW w:w="4760" w:type="dxa"/>
            <w:vAlign w:val="bottom"/>
          </w:tcPr>
          <w:p>
            <w:pPr>
              <w:spacing w:after="0"/>
              <w:rPr>
                <w:sz w:val="20"/>
                <w:szCs w:val="20"/>
                <w:color w:val="auto"/>
              </w:rPr>
            </w:pPr>
            <w:r>
              <w:rPr>
                <w:rFonts w:ascii="Arial" w:cs="Arial" w:eastAsia="Arial" w:hAnsi="Arial"/>
                <w:sz w:val="17"/>
                <w:szCs w:val="17"/>
                <w:color w:val="auto"/>
              </w:rPr>
              <w:t>Total segment capital expenditures</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$103.3</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69.3</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72.5</w:t>
            </w:r>
          </w:p>
        </w:tc>
      </w:tr>
      <w:tr>
        <w:trPr>
          <w:trHeight w:val="179"/>
        </w:trPr>
        <w:tc>
          <w:tcPr>
            <w:tcW w:w="4760" w:type="dxa"/>
            <w:vAlign w:val="bottom"/>
          </w:tcPr>
          <w:p>
            <w:pPr>
              <w:spacing w:after="0" w:line="179" w:lineRule="exact"/>
              <w:rPr>
                <w:sz w:val="20"/>
                <w:szCs w:val="20"/>
                <w:color w:val="auto"/>
              </w:rPr>
            </w:pPr>
            <w:r>
              <w:rPr>
                <w:rFonts w:ascii="Arial" w:cs="Arial" w:eastAsia="Arial" w:hAnsi="Arial"/>
                <w:sz w:val="17"/>
                <w:szCs w:val="17"/>
                <w:color w:val="auto"/>
              </w:rPr>
              <w:t>Corporate capital expenditures</w:t>
            </w:r>
          </w:p>
        </w:tc>
        <w:tc>
          <w:tcPr>
            <w:tcW w:w="2020" w:type="dxa"/>
            <w:vAlign w:val="bottom"/>
          </w:tcPr>
          <w:p>
            <w:pPr>
              <w:spacing w:after="0"/>
              <w:rPr>
                <w:sz w:val="15"/>
                <w:szCs w:val="15"/>
                <w:color w:val="auto"/>
              </w:rPr>
            </w:pP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bottom w:val="single" w:sz="8" w:color="auto"/>
            </w:tcBorders>
            <w:gridSpan w:val="2"/>
          </w:tcPr>
          <w:p>
            <w:pPr>
              <w:jc w:val="right"/>
              <w:ind w:right="60"/>
              <w:spacing w:after="0" w:line="179" w:lineRule="exact"/>
              <w:rPr>
                <w:sz w:val="20"/>
                <w:szCs w:val="20"/>
                <w:color w:val="auto"/>
              </w:rPr>
            </w:pPr>
            <w:r>
              <w:rPr>
                <w:rFonts w:ascii="Arial" w:cs="Arial" w:eastAsia="Arial" w:hAnsi="Arial"/>
                <w:sz w:val="17"/>
                <w:szCs w:val="17"/>
                <w:color w:val="auto"/>
              </w:rPr>
              <w:t>10.</w:t>
            </w:r>
            <w:r>
              <w:rPr>
                <w:rFonts w:ascii="Arial" w:cs="Arial" w:eastAsia="Arial" w:hAnsi="Arial"/>
                <w:sz w:val="17"/>
                <w:szCs w:val="17"/>
                <w:u w:val="single" w:color="auto"/>
                <w:color w:val="auto"/>
              </w:rPr>
              <w:t>0</w:t>
            </w:r>
          </w:p>
        </w:tc>
      </w:tr>
      <w:tr>
        <w:trPr>
          <w:trHeight w:val="456"/>
        </w:trPr>
        <w:tc>
          <w:tcPr>
            <w:tcW w:w="4760" w:type="dxa"/>
            <w:vAlign w:val="bottom"/>
          </w:tcPr>
          <w:p>
            <w:pPr>
              <w:ind w:left="220"/>
              <w:spacing w:after="0"/>
              <w:rPr>
                <w:sz w:val="20"/>
                <w:szCs w:val="20"/>
                <w:color w:val="auto"/>
              </w:rPr>
            </w:pPr>
            <w:r>
              <w:rPr>
                <w:rFonts w:ascii="Arial" w:cs="Arial" w:eastAsia="Arial" w:hAnsi="Arial"/>
                <w:sz w:val="17"/>
                <w:szCs w:val="17"/>
                <w:color w:val="auto"/>
              </w:rPr>
              <w:t>Consolidated total capital expenditures</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$103.3</w:t>
            </w: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73.8</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82.5</w:t>
            </w:r>
          </w:p>
        </w:tc>
      </w:tr>
      <w:tr>
        <w:trPr>
          <w:trHeight w:val="216"/>
        </w:trPr>
        <w:tc>
          <w:tcPr>
            <w:tcW w:w="4760" w:type="dxa"/>
            <w:vAlign w:val="bottom"/>
          </w:tcPr>
          <w:p>
            <w:pPr>
              <w:spacing w:after="0"/>
              <w:rPr>
                <w:sz w:val="18"/>
                <w:szCs w:val="18"/>
                <w:color w:val="auto"/>
              </w:rPr>
            </w:pPr>
          </w:p>
        </w:tc>
        <w:tc>
          <w:tcPr>
            <w:tcW w:w="26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w w:val="80"/>
              </w:rPr>
              <w:t>====</w:t>
            </w:r>
          </w:p>
        </w:tc>
        <w:tc>
          <w:tcPr>
            <w:tcW w:w="3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w:t>
            </w:r>
          </w:p>
        </w:tc>
      </w:tr>
    </w:tbl>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Financial information relating to the Company's operations by geographic area was as follows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Net sales</w:t>
            </w:r>
          </w:p>
        </w:tc>
        <w:tc>
          <w:tcPr>
            <w:tcW w:w="276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2000</w:t>
            </w:r>
          </w:p>
        </w:tc>
        <w:tc>
          <w:tcPr>
            <w:tcW w:w="280" w:type="dxa"/>
            <w:vAlign w:val="bottom"/>
            <w:shd w:val="clear" w:color="auto" w:fill="C0C0C0"/>
          </w:tcPr>
          <w:p>
            <w:pPr>
              <w:spacing w:after="0"/>
              <w:rPr>
                <w:sz w:val="16"/>
                <w:szCs w:val="16"/>
                <w:color w:val="auto"/>
              </w:rPr>
            </w:pPr>
          </w:p>
        </w:tc>
        <w:tc>
          <w:tcPr>
            <w:tcW w:w="70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1999</w:t>
            </w:r>
          </w:p>
        </w:tc>
        <w:tc>
          <w:tcPr>
            <w:tcW w:w="280" w:type="dxa"/>
            <w:vAlign w:val="bottom"/>
            <w:shd w:val="clear" w:color="auto" w:fill="C0C0C0"/>
          </w:tcPr>
          <w:p>
            <w:pPr>
              <w:spacing w:after="0"/>
              <w:rPr>
                <w:sz w:val="16"/>
                <w:szCs w:val="16"/>
                <w:color w:val="auto"/>
              </w:rPr>
            </w:pPr>
          </w:p>
        </w:tc>
        <w:tc>
          <w:tcPr>
            <w:tcW w:w="70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1998</w:t>
            </w:r>
          </w:p>
        </w:tc>
        <w:tc>
          <w:tcPr>
            <w:tcW w:w="60" w:type="dxa"/>
            <w:vAlign w:val="bottom"/>
            <w:shd w:val="clear" w:color="auto" w:fill="C0C0C0"/>
          </w:tcPr>
          <w:p>
            <w:pPr>
              <w:spacing w:after="0"/>
              <w:rPr>
                <w:sz w:val="16"/>
                <w:szCs w:val="16"/>
                <w:color w:val="auto"/>
              </w:rPr>
            </w:pPr>
          </w:p>
        </w:tc>
      </w:tr>
      <w:tr>
        <w:trPr>
          <w:trHeight w:val="39"/>
        </w:trPr>
        <w:tc>
          <w:tcPr>
            <w:tcW w:w="4360" w:type="dxa"/>
            <w:vAlign w:val="bottom"/>
            <w:shd w:val="clear" w:color="auto" w:fill="C0C0C0"/>
          </w:tcPr>
          <w:p>
            <w:pPr>
              <w:spacing w:after="0"/>
              <w:rPr>
                <w:sz w:val="3"/>
                <w:szCs w:val="3"/>
                <w:color w:val="auto"/>
              </w:rPr>
            </w:pPr>
          </w:p>
        </w:tc>
        <w:tc>
          <w:tcPr>
            <w:tcW w:w="2420" w:type="dxa"/>
            <w:vAlign w:val="bottom"/>
            <w:tcBorders>
              <w:right w:val="single" w:sz="8" w:color="C0C0C0"/>
            </w:tcBorders>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320" w:type="dxa"/>
            <w:vAlign w:val="bottom"/>
            <w:shd w:val="clear" w:color="auto" w:fill="C0C0C0"/>
          </w:tcPr>
          <w:p>
            <w:pPr>
              <w:spacing w:after="0"/>
              <w:rPr>
                <w:sz w:val="3"/>
                <w:szCs w:val="3"/>
                <w:color w:val="auto"/>
              </w:rPr>
            </w:pPr>
          </w:p>
        </w:tc>
        <w:tc>
          <w:tcPr>
            <w:tcW w:w="380" w:type="dxa"/>
            <w:vAlign w:val="bottom"/>
            <w:tcBorders>
              <w:right w:val="single" w:sz="8" w:color="C0C0C0"/>
            </w:tcBorders>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320" w:type="dxa"/>
            <w:vAlign w:val="bottom"/>
            <w:shd w:val="clear" w:color="auto" w:fill="C0C0C0"/>
          </w:tcPr>
          <w:p>
            <w:pPr>
              <w:spacing w:after="0"/>
              <w:rPr>
                <w:sz w:val="3"/>
                <w:szCs w:val="3"/>
                <w:color w:val="auto"/>
              </w:rPr>
            </w:pPr>
          </w:p>
        </w:tc>
        <w:tc>
          <w:tcPr>
            <w:tcW w:w="380" w:type="dxa"/>
            <w:vAlign w:val="bottom"/>
            <w:tcBorders>
              <w:right w:val="single" w:sz="8" w:color="C0C0C0"/>
            </w:tcBorders>
            <w:shd w:val="clear" w:color="auto" w:fill="000000"/>
          </w:tcPr>
          <w:p>
            <w:pPr>
              <w:spacing w:after="0"/>
              <w:rPr>
                <w:sz w:val="3"/>
                <w:szCs w:val="3"/>
                <w:color w:val="auto"/>
              </w:rPr>
            </w:pPr>
          </w:p>
        </w:tc>
        <w:tc>
          <w:tcPr>
            <w:tcW w:w="60" w:type="dxa"/>
            <w:vAlign w:val="bottom"/>
            <w:shd w:val="clear" w:color="auto" w:fill="C0C0C0"/>
          </w:tcPr>
          <w:p>
            <w:pPr>
              <w:spacing w:after="0"/>
              <w:rPr>
                <w:sz w:val="3"/>
                <w:szCs w:val="3"/>
                <w:color w:val="auto"/>
              </w:rPr>
            </w:pPr>
          </w:p>
        </w:tc>
      </w:tr>
      <w:tr>
        <w:trPr>
          <w:trHeight w:val="170"/>
        </w:trPr>
        <w:tc>
          <w:tcPr>
            <w:tcW w:w="4360" w:type="dxa"/>
            <w:vAlign w:val="bottom"/>
          </w:tcPr>
          <w:p>
            <w:pPr>
              <w:spacing w:after="0" w:line="171" w:lineRule="exact"/>
              <w:rPr>
                <w:sz w:val="20"/>
                <w:szCs w:val="20"/>
                <w:color w:val="auto"/>
              </w:rPr>
            </w:pPr>
            <w:r>
              <w:rPr>
                <w:rFonts w:ascii="Arial" w:cs="Arial" w:eastAsia="Arial" w:hAnsi="Arial"/>
                <w:sz w:val="17"/>
                <w:szCs w:val="17"/>
                <w:color w:val="auto"/>
              </w:rPr>
              <w:t>United States</w:t>
            </w:r>
          </w:p>
        </w:tc>
        <w:tc>
          <w:tcPr>
            <w:tcW w:w="2760" w:type="dxa"/>
            <w:vAlign w:val="bottom"/>
            <w:gridSpan w:val="2"/>
          </w:tcPr>
          <w:p>
            <w:pPr>
              <w:jc w:val="right"/>
              <w:spacing w:after="0" w:line="171" w:lineRule="exact"/>
              <w:rPr>
                <w:sz w:val="20"/>
                <w:szCs w:val="20"/>
                <w:color w:val="auto"/>
              </w:rPr>
            </w:pPr>
            <w:r>
              <w:rPr>
                <w:rFonts w:ascii="Arial" w:cs="Arial" w:eastAsia="Arial" w:hAnsi="Arial"/>
                <w:sz w:val="17"/>
                <w:szCs w:val="17"/>
                <w:color w:val="auto"/>
              </w:rPr>
              <w:t>$442.7</w:t>
            </w:r>
          </w:p>
        </w:tc>
        <w:tc>
          <w:tcPr>
            <w:tcW w:w="280" w:type="dxa"/>
            <w:vAlign w:val="bottom"/>
          </w:tcPr>
          <w:p>
            <w:pPr>
              <w:spacing w:after="0"/>
              <w:rPr>
                <w:sz w:val="14"/>
                <w:szCs w:val="14"/>
                <w:color w:val="auto"/>
              </w:rPr>
            </w:pPr>
          </w:p>
        </w:tc>
        <w:tc>
          <w:tcPr>
            <w:tcW w:w="980" w:type="dxa"/>
            <w:vAlign w:val="bottom"/>
            <w:gridSpan w:val="3"/>
          </w:tcPr>
          <w:p>
            <w:pPr>
              <w:jc w:val="right"/>
              <w:ind w:right="280"/>
              <w:spacing w:after="0" w:line="171" w:lineRule="exact"/>
              <w:rPr>
                <w:sz w:val="20"/>
                <w:szCs w:val="20"/>
                <w:color w:val="auto"/>
              </w:rPr>
            </w:pPr>
            <w:r>
              <w:rPr>
                <w:rFonts w:ascii="Arial" w:cs="Arial" w:eastAsia="Arial" w:hAnsi="Arial"/>
                <w:sz w:val="17"/>
                <w:szCs w:val="17"/>
                <w:color w:val="auto"/>
              </w:rPr>
              <w:t>$444.5</w:t>
            </w:r>
          </w:p>
        </w:tc>
        <w:tc>
          <w:tcPr>
            <w:tcW w:w="760" w:type="dxa"/>
            <w:vAlign w:val="bottom"/>
            <w:gridSpan w:val="3"/>
          </w:tcPr>
          <w:p>
            <w:pPr>
              <w:jc w:val="right"/>
              <w:ind w:right="60"/>
              <w:spacing w:after="0" w:line="171" w:lineRule="exact"/>
              <w:rPr>
                <w:sz w:val="20"/>
                <w:szCs w:val="20"/>
                <w:color w:val="auto"/>
              </w:rPr>
            </w:pPr>
            <w:r>
              <w:rPr>
                <w:rFonts w:ascii="Arial" w:cs="Arial" w:eastAsia="Arial" w:hAnsi="Arial"/>
                <w:sz w:val="17"/>
                <w:szCs w:val="17"/>
                <w:color w:val="auto"/>
              </w:rPr>
              <w:t>$428.2</w:t>
            </w:r>
          </w:p>
        </w:tc>
      </w:tr>
      <w:tr>
        <w:trPr>
          <w:trHeight w:val="20"/>
        </w:trPr>
        <w:tc>
          <w:tcPr>
            <w:tcW w:w="4360" w:type="dxa"/>
            <w:vAlign w:val="bottom"/>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6"/>
        </w:trPr>
        <w:tc>
          <w:tcPr>
            <w:tcW w:w="4360" w:type="dxa"/>
            <w:vAlign w:val="bottom"/>
          </w:tcPr>
          <w:p>
            <w:pPr>
              <w:spacing w:after="0"/>
              <w:rPr>
                <w:sz w:val="20"/>
                <w:szCs w:val="20"/>
                <w:color w:val="auto"/>
              </w:rPr>
            </w:pPr>
            <w:r>
              <w:rPr>
                <w:rFonts w:ascii="Arial" w:cs="Arial" w:eastAsia="Arial" w:hAnsi="Arial"/>
                <w:sz w:val="17"/>
                <w:szCs w:val="17"/>
                <w:color w:val="auto"/>
              </w:rPr>
              <w:t>Canada/Latin America</w:t>
            </w:r>
          </w:p>
        </w:tc>
        <w:tc>
          <w:tcPr>
            <w:tcW w:w="24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6"/>
              </w:rPr>
              <w:t>62.0</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57.6</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60.1</w:t>
            </w:r>
          </w:p>
        </w:tc>
      </w:tr>
      <w:tr>
        <w:trPr>
          <w:trHeight w:val="210"/>
        </w:trPr>
        <w:tc>
          <w:tcPr>
            <w:tcW w:w="4360" w:type="dxa"/>
            <w:vAlign w:val="bottom"/>
          </w:tcPr>
          <w:p>
            <w:pPr>
              <w:spacing w:after="0"/>
              <w:rPr>
                <w:sz w:val="20"/>
                <w:szCs w:val="20"/>
                <w:color w:val="auto"/>
              </w:rPr>
            </w:pPr>
            <w:r>
              <w:rPr>
                <w:rFonts w:ascii="Arial" w:cs="Arial" w:eastAsia="Arial" w:hAnsi="Arial"/>
                <w:sz w:val="17"/>
                <w:szCs w:val="17"/>
                <w:color w:val="auto"/>
              </w:rPr>
              <w:t>Europe/Africa</w:t>
            </w:r>
          </w:p>
        </w:tc>
        <w:tc>
          <w:tcPr>
            <w:tcW w:w="2760" w:type="dxa"/>
            <w:vAlign w:val="bottom"/>
            <w:gridSpan w:val="2"/>
          </w:tcPr>
          <w:p>
            <w:pPr>
              <w:jc w:val="right"/>
              <w:spacing w:after="0"/>
              <w:rPr>
                <w:sz w:val="20"/>
                <w:szCs w:val="20"/>
                <w:color w:val="auto"/>
              </w:rPr>
            </w:pPr>
            <w:r>
              <w:rPr>
                <w:rFonts w:ascii="Arial" w:cs="Arial" w:eastAsia="Arial" w:hAnsi="Arial"/>
                <w:sz w:val="17"/>
                <w:szCs w:val="17"/>
                <w:color w:val="auto"/>
              </w:rPr>
              <w:t>116.8</w:t>
            </w:r>
          </w:p>
        </w:tc>
        <w:tc>
          <w:tcPr>
            <w:tcW w:w="2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7"/>
                <w:szCs w:val="17"/>
                <w:color w:val="auto"/>
              </w:rPr>
              <w:t>117.3</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106.8</w:t>
            </w:r>
          </w:p>
        </w:tc>
      </w:tr>
      <w:tr>
        <w:trPr>
          <w:trHeight w:val="179"/>
        </w:trPr>
        <w:tc>
          <w:tcPr>
            <w:tcW w:w="4360" w:type="dxa"/>
            <w:vAlign w:val="bottom"/>
          </w:tcPr>
          <w:p>
            <w:pPr>
              <w:spacing w:after="0" w:line="179" w:lineRule="exact"/>
              <w:rPr>
                <w:sz w:val="20"/>
                <w:szCs w:val="20"/>
                <w:color w:val="auto"/>
              </w:rPr>
            </w:pPr>
            <w:r>
              <w:rPr>
                <w:rFonts w:ascii="Arial" w:cs="Arial" w:eastAsia="Arial" w:hAnsi="Arial"/>
                <w:sz w:val="17"/>
                <w:szCs w:val="17"/>
                <w:color w:val="auto"/>
              </w:rPr>
              <w:t>Asia</w:t>
            </w:r>
          </w:p>
        </w:tc>
        <w:tc>
          <w:tcPr>
            <w:tcW w:w="2420" w:type="dxa"/>
            <w:vAlign w:val="bottom"/>
          </w:tcPr>
          <w:p>
            <w:pPr>
              <w:spacing w:after="0"/>
              <w:rPr>
                <w:sz w:val="15"/>
                <w:szCs w:val="15"/>
                <w:color w:val="auto"/>
              </w:rPr>
            </w:pPr>
          </w:p>
        </w:tc>
        <w:tc>
          <w:tcPr>
            <w:tcW w:w="340" w:type="dxa"/>
            <w:vAlign w:val="bottom"/>
          </w:tcPr>
          <w:p>
            <w:pPr>
              <w:jc w:val="right"/>
              <w:spacing w:after="0" w:line="179" w:lineRule="exact"/>
              <w:rPr>
                <w:sz w:val="20"/>
                <w:szCs w:val="20"/>
                <w:color w:val="auto"/>
              </w:rPr>
            </w:pPr>
            <w:r>
              <w:rPr>
                <w:rFonts w:ascii="Arial" w:cs="Arial" w:eastAsia="Arial" w:hAnsi="Arial"/>
                <w:sz w:val="17"/>
                <w:szCs w:val="17"/>
                <w:color w:val="auto"/>
                <w:w w:val="96"/>
              </w:rPr>
              <w:t>49.</w:t>
            </w:r>
            <w:r>
              <w:rPr>
                <w:rFonts w:ascii="Arial" w:cs="Arial" w:eastAsia="Arial" w:hAnsi="Arial"/>
                <w:sz w:val="17"/>
                <w:szCs w:val="17"/>
                <w:u w:val="single" w:color="auto"/>
                <w:color w:val="auto"/>
                <w:w w:val="96"/>
              </w:rPr>
              <w:t>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jc w:val="right"/>
              <w:spacing w:after="0" w:line="179" w:lineRule="exact"/>
              <w:rPr>
                <w:sz w:val="20"/>
                <w:szCs w:val="20"/>
                <w:color w:val="auto"/>
              </w:rPr>
            </w:pPr>
            <w:r>
              <w:rPr>
                <w:rFonts w:ascii="Arial" w:cs="Arial" w:eastAsia="Arial" w:hAnsi="Arial"/>
                <w:sz w:val="17"/>
                <w:szCs w:val="17"/>
                <w:color w:val="auto"/>
              </w:rPr>
              <w:t>43.</w:t>
            </w:r>
            <w:r>
              <w:rPr>
                <w:rFonts w:ascii="Arial" w:cs="Arial" w:eastAsia="Arial" w:hAnsi="Arial"/>
                <w:sz w:val="17"/>
                <w:szCs w:val="17"/>
                <w:u w:val="single" w:color="auto"/>
                <w:color w:val="auto"/>
              </w:rPr>
              <w:t>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2"/>
          </w:tcPr>
          <w:p>
            <w:pPr>
              <w:jc w:val="right"/>
              <w:ind w:right="60"/>
              <w:spacing w:after="0" w:line="179" w:lineRule="exact"/>
              <w:rPr>
                <w:sz w:val="20"/>
                <w:szCs w:val="20"/>
                <w:color w:val="auto"/>
              </w:rPr>
            </w:pPr>
            <w:r>
              <w:rPr>
                <w:rFonts w:ascii="Arial" w:cs="Arial" w:eastAsia="Arial" w:hAnsi="Arial"/>
                <w:sz w:val="17"/>
                <w:szCs w:val="17"/>
                <w:color w:val="auto"/>
              </w:rPr>
              <w:t>36.</w:t>
            </w:r>
            <w:r>
              <w:rPr>
                <w:rFonts w:ascii="Arial" w:cs="Arial" w:eastAsia="Arial" w:hAnsi="Arial"/>
                <w:sz w:val="17"/>
                <w:szCs w:val="17"/>
                <w:u w:val="single" w:color="auto"/>
                <w:color w:val="auto"/>
              </w:rPr>
              <w:t>5</w:t>
            </w:r>
          </w:p>
        </w:tc>
      </w:tr>
      <w:tr>
        <w:trPr>
          <w:trHeight w:val="20"/>
        </w:trPr>
        <w:tc>
          <w:tcPr>
            <w:tcW w:w="4360" w:type="dxa"/>
            <w:vAlign w:val="bottom"/>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4360" w:type="dxa"/>
            <w:vAlign w:val="bottom"/>
          </w:tcPr>
          <w:p>
            <w:pPr>
              <w:spacing w:after="0" w:line="189" w:lineRule="exact"/>
              <w:rPr>
                <w:sz w:val="20"/>
                <w:szCs w:val="20"/>
                <w:color w:val="auto"/>
              </w:rPr>
            </w:pPr>
            <w:r>
              <w:rPr>
                <w:rFonts w:ascii="Arial" w:cs="Arial" w:eastAsia="Arial" w:hAnsi="Arial"/>
                <w:sz w:val="17"/>
                <w:szCs w:val="17"/>
                <w:color w:val="auto"/>
              </w:rPr>
              <w:t>Total International</w:t>
            </w:r>
          </w:p>
        </w:tc>
        <w:tc>
          <w:tcPr>
            <w:tcW w:w="242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w w:val="75"/>
              </w:rPr>
              <w:t>228.</w:t>
            </w:r>
            <w:r>
              <w:rPr>
                <w:rFonts w:ascii="Arial" w:cs="Arial" w:eastAsia="Arial" w:hAnsi="Arial"/>
                <w:sz w:val="17"/>
                <w:szCs w:val="17"/>
                <w:u w:val="single" w:color="auto"/>
                <w:color w:val="auto"/>
                <w:w w:val="75"/>
              </w:rPr>
              <w:t>2</w:t>
            </w:r>
          </w:p>
        </w:tc>
        <w:tc>
          <w:tcPr>
            <w:tcW w:w="280" w:type="dxa"/>
            <w:vAlign w:val="bottom"/>
          </w:tcPr>
          <w:p>
            <w:pPr>
              <w:spacing w:after="0"/>
              <w:rPr>
                <w:sz w:val="16"/>
                <w:szCs w:val="16"/>
                <w:color w:val="auto"/>
              </w:rPr>
            </w:pPr>
          </w:p>
        </w:tc>
        <w:tc>
          <w:tcPr>
            <w:tcW w:w="98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218.</w:t>
            </w:r>
            <w:r>
              <w:rPr>
                <w:rFonts w:ascii="Arial" w:cs="Arial" w:eastAsia="Arial" w:hAnsi="Arial"/>
                <w:sz w:val="17"/>
                <w:szCs w:val="17"/>
                <w:u w:val="single" w:color="auto"/>
                <w:color w:val="auto"/>
              </w:rPr>
              <w:t>0</w:t>
            </w:r>
          </w:p>
        </w:tc>
        <w:tc>
          <w:tcPr>
            <w:tcW w:w="76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203.</w:t>
            </w:r>
            <w:r>
              <w:rPr>
                <w:rFonts w:ascii="Arial" w:cs="Arial" w:eastAsia="Arial" w:hAnsi="Arial"/>
                <w:sz w:val="17"/>
                <w:szCs w:val="17"/>
                <w:u w:val="single" w:color="auto"/>
                <w:color w:val="auto"/>
              </w:rPr>
              <w:t>4</w:t>
            </w:r>
          </w:p>
        </w:tc>
      </w:tr>
      <w:tr>
        <w:trPr>
          <w:trHeight w:val="20"/>
        </w:trPr>
        <w:tc>
          <w:tcPr>
            <w:tcW w:w="4360" w:type="dxa"/>
            <w:vAlign w:val="bottom"/>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6"/>
        </w:trPr>
        <w:tc>
          <w:tcPr>
            <w:tcW w:w="4360" w:type="dxa"/>
            <w:vAlign w:val="bottom"/>
          </w:tcPr>
          <w:p>
            <w:pPr>
              <w:ind w:left="220"/>
              <w:spacing w:after="0"/>
              <w:rPr>
                <w:sz w:val="20"/>
                <w:szCs w:val="20"/>
                <w:color w:val="auto"/>
              </w:rPr>
            </w:pPr>
            <w:r>
              <w:rPr>
                <w:rFonts w:ascii="Arial" w:cs="Arial" w:eastAsia="Arial" w:hAnsi="Arial"/>
                <w:sz w:val="17"/>
                <w:szCs w:val="17"/>
                <w:color w:val="auto"/>
              </w:rPr>
              <w:t>Consolidated total net sales</w:t>
            </w:r>
          </w:p>
        </w:tc>
        <w:tc>
          <w:tcPr>
            <w:tcW w:w="3040" w:type="dxa"/>
            <w:vAlign w:val="bottom"/>
            <w:gridSpan w:val="3"/>
          </w:tcPr>
          <w:p>
            <w:pPr>
              <w:jc w:val="right"/>
              <w:ind w:right="240"/>
              <w:spacing w:after="0"/>
              <w:rPr>
                <w:sz w:val="20"/>
                <w:szCs w:val="20"/>
                <w:color w:val="auto"/>
              </w:rPr>
            </w:pPr>
            <w:r>
              <w:rPr>
                <w:rFonts w:ascii="Arial" w:cs="Arial" w:eastAsia="Arial" w:hAnsi="Arial"/>
                <w:sz w:val="17"/>
                <w:szCs w:val="17"/>
                <w:color w:val="auto"/>
              </w:rPr>
              <w:t>$670.9</w:t>
            </w:r>
          </w:p>
        </w:tc>
        <w:tc>
          <w:tcPr>
            <w:tcW w:w="980" w:type="dxa"/>
            <w:vAlign w:val="bottom"/>
            <w:gridSpan w:val="3"/>
          </w:tcPr>
          <w:p>
            <w:pPr>
              <w:jc w:val="right"/>
              <w:ind w:right="240"/>
              <w:spacing w:after="0"/>
              <w:rPr>
                <w:sz w:val="20"/>
                <w:szCs w:val="20"/>
                <w:color w:val="auto"/>
              </w:rPr>
            </w:pPr>
            <w:r>
              <w:rPr>
                <w:rFonts w:ascii="Arial" w:cs="Arial" w:eastAsia="Arial" w:hAnsi="Arial"/>
                <w:sz w:val="17"/>
                <w:szCs w:val="17"/>
                <w:color w:val="auto"/>
              </w:rPr>
              <w:t>$662.5</w:t>
            </w: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$631.6</w:t>
            </w:r>
          </w:p>
        </w:tc>
      </w:tr>
      <w:tr>
        <w:trPr>
          <w:trHeight w:val="216"/>
        </w:trPr>
        <w:tc>
          <w:tcPr>
            <w:tcW w:w="4360" w:type="dxa"/>
            <w:vAlign w:val="bottom"/>
          </w:tcPr>
          <w:p>
            <w:pPr>
              <w:spacing w:after="0"/>
              <w:rPr>
                <w:sz w:val="18"/>
                <w:szCs w:val="18"/>
                <w:color w:val="auto"/>
              </w:rPr>
            </w:pPr>
          </w:p>
        </w:tc>
        <w:tc>
          <w:tcPr>
            <w:tcW w:w="30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w:t>
            </w:r>
          </w:p>
        </w:tc>
      </w:tr>
    </w:tbl>
    <w:p>
      <w:pPr>
        <w:sectPr>
          <w:pgSz w:w="11900" w:h="16838" w:orient="portrait"/>
          <w:cols w:equalWidth="0" w:num="1">
            <w:col w:w="11420"/>
          </w:cols>
          <w:pgMar w:left="240" w:top="471" w:right="239" w:bottom="0" w:gutter="0" w:footer="0" w:header="0"/>
        </w:sectPr>
      </w:pPr>
    </w:p>
    <w:bookmarkStart w:id="36" w:name="page37"/>
    <w:bookmarkEnd w:id="36"/>
    <w:p>
      <w:pPr>
        <w:ind w:left="440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368300</wp:posOffset>
            </wp:positionV>
            <wp:extent cx="72758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MINERALS TECHNOLOGIES AND SUBSIDIARY COMPANIES</w:t>
      </w:r>
    </w:p>
    <w:p>
      <w:pPr>
        <w:spacing w:after="0" w:line="24"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left="1200" w:right="680" w:firstLine="213"/>
        <w:spacing w:after="0" w:line="351" w:lineRule="auto"/>
        <w:rPr>
          <w:sz w:val="20"/>
          <w:szCs w:val="20"/>
          <w:color w:val="auto"/>
        </w:rPr>
      </w:pPr>
      <w:r>
        <w:rPr>
          <w:rFonts w:ascii="Arial" w:cs="Arial" w:eastAsia="Arial" w:hAnsi="Arial"/>
          <w:sz w:val="15"/>
          <w:szCs w:val="15"/>
          <w:color w:val="auto"/>
        </w:rPr>
        <w:t>Net sales and long-lived assets are attributed to countries and geographic areas based on the location of the legal entity. No individual foreign country represents more than 10% of consolidated net sales or consolidated long-lived assets.</w:t>
      </w:r>
    </w:p>
    <w:p>
      <w:pPr>
        <w:spacing w:after="0" w:line="107" w:lineRule="exact"/>
        <w:rPr>
          <w:sz w:val="20"/>
          <w:szCs w:val="20"/>
          <w:color w:val="auto"/>
        </w:rPr>
      </w:pPr>
    </w:p>
    <w:tbl>
      <w:tblPr>
        <w:tblLayout w:type="fixed"/>
        <w:tblInd w:w="1200" w:type="dxa"/>
        <w:tblCellMar>
          <w:top w:w="0" w:type="dxa"/>
          <w:left w:w="0" w:type="dxa"/>
          <w:bottom w:w="0" w:type="dxa"/>
          <w:right w:w="0" w:type="dxa"/>
        </w:tblCellMar>
      </w:tblPr>
      <w:tr>
        <w:trPr>
          <w:trHeight w:val="195"/>
        </w:trPr>
        <w:tc>
          <w:tcPr>
            <w:tcW w:w="42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Long-lived assets</w:t>
            </w:r>
          </w:p>
        </w:tc>
        <w:tc>
          <w:tcPr>
            <w:tcW w:w="1700" w:type="dxa"/>
            <w:vAlign w:val="bottom"/>
            <w:tcBorders>
              <w:right w:val="single" w:sz="8" w:color="C0C0C0"/>
            </w:tcBorders>
            <w:shd w:val="clear" w:color="auto" w:fill="C0C0C0"/>
          </w:tcPr>
          <w:p>
            <w:pPr>
              <w:spacing w:after="0"/>
              <w:rPr>
                <w:sz w:val="16"/>
                <w:szCs w:val="16"/>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84"/>
              </w:rPr>
              <w:t>2000</w:t>
            </w:r>
          </w:p>
        </w:tc>
        <w:tc>
          <w:tcPr>
            <w:tcW w:w="480" w:type="dxa"/>
            <w:vAlign w:val="bottom"/>
            <w:shd w:val="clear" w:color="auto" w:fill="C0C0C0"/>
          </w:tcPr>
          <w:p>
            <w:pPr>
              <w:spacing w:after="0"/>
              <w:rPr>
                <w:sz w:val="16"/>
                <w:szCs w:val="16"/>
                <w:color w:val="auto"/>
              </w:rPr>
            </w:pPr>
          </w:p>
        </w:tc>
        <w:tc>
          <w:tcPr>
            <w:tcW w:w="600" w:type="dxa"/>
            <w:vAlign w:val="bottom"/>
            <w:tcBorders>
              <w:right w:val="single" w:sz="8" w:color="C0C0C0"/>
            </w:tcBorders>
            <w:shd w:val="clear" w:color="auto" w:fill="C0C0C0"/>
          </w:tcPr>
          <w:p>
            <w:pPr>
              <w:spacing w:after="0"/>
              <w:rPr>
                <w:sz w:val="16"/>
                <w:szCs w:val="16"/>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b w:val="1"/>
                <w:bCs w:val="1"/>
                <w:color w:val="auto"/>
                <w:w w:val="84"/>
              </w:rPr>
              <w:t>1999</w:t>
            </w:r>
          </w:p>
        </w:tc>
        <w:tc>
          <w:tcPr>
            <w:tcW w:w="440" w:type="dxa"/>
            <w:vAlign w:val="bottom"/>
            <w:shd w:val="clear" w:color="auto" w:fill="C0C0C0"/>
          </w:tcPr>
          <w:p>
            <w:pPr>
              <w:spacing w:after="0"/>
              <w:rPr>
                <w:sz w:val="16"/>
                <w:szCs w:val="16"/>
                <w:color w:val="auto"/>
              </w:rPr>
            </w:pPr>
          </w:p>
        </w:tc>
        <w:tc>
          <w:tcPr>
            <w:tcW w:w="920" w:type="dxa"/>
            <w:vAlign w:val="bottom"/>
            <w:gridSpan w:val="2"/>
            <w:shd w:val="clear" w:color="auto" w:fill="C0C0C0"/>
          </w:tcPr>
          <w:p>
            <w:pPr>
              <w:jc w:val="right"/>
              <w:spacing w:after="0"/>
              <w:rPr>
                <w:sz w:val="20"/>
                <w:szCs w:val="20"/>
                <w:color w:val="auto"/>
              </w:rPr>
            </w:pPr>
            <w:r>
              <w:rPr>
                <w:rFonts w:ascii="Arial" w:cs="Arial" w:eastAsia="Arial" w:hAnsi="Arial"/>
                <w:sz w:val="17"/>
                <w:szCs w:val="17"/>
                <w:b w:val="1"/>
                <w:bCs w:val="1"/>
                <w:color w:val="auto"/>
              </w:rPr>
              <w:t>1998</w:t>
            </w:r>
          </w:p>
        </w:tc>
      </w:tr>
      <w:tr>
        <w:trPr>
          <w:trHeight w:val="39"/>
        </w:trPr>
        <w:tc>
          <w:tcPr>
            <w:tcW w:w="4220" w:type="dxa"/>
            <w:vAlign w:val="bottom"/>
            <w:shd w:val="clear" w:color="auto" w:fill="C0C0C0"/>
          </w:tcPr>
          <w:p>
            <w:pPr>
              <w:spacing w:after="0"/>
              <w:rPr>
                <w:sz w:val="3"/>
                <w:szCs w:val="3"/>
                <w:color w:val="auto"/>
              </w:rPr>
            </w:pPr>
          </w:p>
        </w:tc>
        <w:tc>
          <w:tcPr>
            <w:tcW w:w="1700" w:type="dxa"/>
            <w:vAlign w:val="bottom"/>
            <w:tcBorders>
              <w:right w:val="single" w:sz="8" w:color="C0C0C0"/>
            </w:tcBorders>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80" w:type="dxa"/>
            <w:vAlign w:val="bottom"/>
            <w:shd w:val="clear" w:color="auto" w:fill="C0C0C0"/>
          </w:tcPr>
          <w:p>
            <w:pPr>
              <w:spacing w:after="0"/>
              <w:rPr>
                <w:sz w:val="3"/>
                <w:szCs w:val="3"/>
                <w:color w:val="auto"/>
              </w:rPr>
            </w:pPr>
          </w:p>
        </w:tc>
        <w:tc>
          <w:tcPr>
            <w:tcW w:w="600" w:type="dxa"/>
            <w:vAlign w:val="bottom"/>
            <w:tcBorders>
              <w:right w:val="single" w:sz="8" w:color="C0C0C0"/>
            </w:tcBorders>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40" w:type="dxa"/>
            <w:vAlign w:val="bottom"/>
            <w:shd w:val="clear" w:color="auto" w:fill="C0C0C0"/>
          </w:tcPr>
          <w:p>
            <w:pPr>
              <w:spacing w:after="0"/>
              <w:rPr>
                <w:sz w:val="3"/>
                <w:szCs w:val="3"/>
                <w:color w:val="auto"/>
              </w:rPr>
            </w:pPr>
          </w:p>
        </w:tc>
        <w:tc>
          <w:tcPr>
            <w:tcW w:w="580" w:type="dxa"/>
            <w:vAlign w:val="bottom"/>
            <w:tcBorders>
              <w:right w:val="single" w:sz="8" w:color="C0C0C0"/>
            </w:tcBorders>
            <w:shd w:val="clear" w:color="auto" w:fill="C0C0C0"/>
          </w:tcPr>
          <w:p>
            <w:pPr>
              <w:spacing w:after="0"/>
              <w:rPr>
                <w:sz w:val="3"/>
                <w:szCs w:val="3"/>
                <w:color w:val="auto"/>
              </w:rPr>
            </w:pPr>
          </w:p>
        </w:tc>
        <w:tc>
          <w:tcPr>
            <w:tcW w:w="340" w:type="dxa"/>
            <w:vAlign w:val="bottom"/>
            <w:shd w:val="clear" w:color="auto" w:fill="000000"/>
          </w:tcPr>
          <w:p>
            <w:pPr>
              <w:spacing w:after="0"/>
              <w:rPr>
                <w:sz w:val="3"/>
                <w:szCs w:val="3"/>
                <w:color w:val="auto"/>
              </w:rPr>
            </w:pPr>
          </w:p>
        </w:tc>
      </w:tr>
      <w:tr>
        <w:trPr>
          <w:trHeight w:val="170"/>
        </w:trPr>
        <w:tc>
          <w:tcPr>
            <w:tcW w:w="4220" w:type="dxa"/>
            <w:vAlign w:val="bottom"/>
          </w:tcPr>
          <w:p>
            <w:pPr>
              <w:spacing w:after="0" w:line="171" w:lineRule="exact"/>
              <w:rPr>
                <w:sz w:val="20"/>
                <w:szCs w:val="20"/>
                <w:color w:val="auto"/>
              </w:rPr>
            </w:pPr>
            <w:r>
              <w:rPr>
                <w:rFonts w:ascii="Arial" w:cs="Arial" w:eastAsia="Arial" w:hAnsi="Arial"/>
                <w:sz w:val="17"/>
                <w:szCs w:val="17"/>
                <w:color w:val="auto"/>
              </w:rPr>
              <w:t>United States</w:t>
            </w:r>
          </w:p>
        </w:tc>
        <w:tc>
          <w:tcPr>
            <w:tcW w:w="2040" w:type="dxa"/>
            <w:vAlign w:val="bottom"/>
            <w:gridSpan w:val="2"/>
          </w:tcPr>
          <w:p>
            <w:pPr>
              <w:jc w:val="right"/>
              <w:spacing w:after="0" w:line="171" w:lineRule="exact"/>
              <w:rPr>
                <w:sz w:val="20"/>
                <w:szCs w:val="20"/>
                <w:color w:val="auto"/>
              </w:rPr>
            </w:pPr>
            <w:r>
              <w:rPr>
                <w:rFonts w:ascii="Arial" w:cs="Arial" w:eastAsia="Arial" w:hAnsi="Arial"/>
                <w:sz w:val="17"/>
                <w:szCs w:val="17"/>
                <w:color w:val="auto"/>
              </w:rPr>
              <w:t>$387.4</w:t>
            </w:r>
          </w:p>
        </w:tc>
        <w:tc>
          <w:tcPr>
            <w:tcW w:w="480" w:type="dxa"/>
            <w:vAlign w:val="bottom"/>
          </w:tcPr>
          <w:p>
            <w:pPr>
              <w:spacing w:after="0"/>
              <w:rPr>
                <w:sz w:val="14"/>
                <w:szCs w:val="14"/>
                <w:color w:val="auto"/>
              </w:rPr>
            </w:pPr>
          </w:p>
        </w:tc>
        <w:tc>
          <w:tcPr>
            <w:tcW w:w="940" w:type="dxa"/>
            <w:vAlign w:val="bottom"/>
            <w:gridSpan w:val="2"/>
          </w:tcPr>
          <w:p>
            <w:pPr>
              <w:jc w:val="right"/>
              <w:spacing w:after="0" w:line="171" w:lineRule="exact"/>
              <w:rPr>
                <w:sz w:val="20"/>
                <w:szCs w:val="20"/>
                <w:color w:val="auto"/>
              </w:rPr>
            </w:pPr>
            <w:r>
              <w:rPr>
                <w:rFonts w:ascii="Arial" w:cs="Arial" w:eastAsia="Arial" w:hAnsi="Arial"/>
                <w:sz w:val="17"/>
                <w:szCs w:val="17"/>
                <w:color w:val="auto"/>
              </w:rPr>
              <w:t>$364.0</w:t>
            </w:r>
          </w:p>
        </w:tc>
        <w:tc>
          <w:tcPr>
            <w:tcW w:w="440" w:type="dxa"/>
            <w:vAlign w:val="bottom"/>
          </w:tcPr>
          <w:p>
            <w:pPr>
              <w:spacing w:after="0"/>
              <w:rPr>
                <w:sz w:val="14"/>
                <w:szCs w:val="14"/>
                <w:color w:val="auto"/>
              </w:rPr>
            </w:pPr>
          </w:p>
        </w:tc>
        <w:tc>
          <w:tcPr>
            <w:tcW w:w="920" w:type="dxa"/>
            <w:vAlign w:val="bottom"/>
            <w:gridSpan w:val="2"/>
          </w:tcPr>
          <w:p>
            <w:pPr>
              <w:jc w:val="right"/>
              <w:spacing w:after="0" w:line="171" w:lineRule="exact"/>
              <w:rPr>
                <w:sz w:val="20"/>
                <w:szCs w:val="20"/>
                <w:color w:val="auto"/>
              </w:rPr>
            </w:pPr>
            <w:r>
              <w:rPr>
                <w:rFonts w:ascii="Arial" w:cs="Arial" w:eastAsia="Arial" w:hAnsi="Arial"/>
                <w:sz w:val="17"/>
                <w:szCs w:val="17"/>
                <w:color w:val="auto"/>
              </w:rPr>
              <w:t>$349.9</w:t>
            </w:r>
          </w:p>
        </w:tc>
      </w:tr>
      <w:tr>
        <w:trPr>
          <w:trHeight w:val="430"/>
        </w:trPr>
        <w:tc>
          <w:tcPr>
            <w:tcW w:w="4220" w:type="dxa"/>
            <w:vAlign w:val="bottom"/>
          </w:tcPr>
          <w:p>
            <w:pPr>
              <w:spacing w:after="0"/>
              <w:rPr>
                <w:sz w:val="20"/>
                <w:szCs w:val="20"/>
                <w:color w:val="auto"/>
              </w:rPr>
            </w:pPr>
            <w:r>
              <w:rPr>
                <w:rFonts w:ascii="Arial" w:cs="Arial" w:eastAsia="Arial" w:hAnsi="Arial"/>
                <w:sz w:val="17"/>
                <w:szCs w:val="17"/>
                <w:color w:val="auto"/>
              </w:rPr>
              <w:t>Canada/Latin America</w:t>
            </w:r>
          </w:p>
        </w:tc>
        <w:tc>
          <w:tcPr>
            <w:tcW w:w="17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31.2</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27.7</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34.7</w:t>
            </w:r>
          </w:p>
        </w:tc>
      </w:tr>
      <w:tr>
        <w:trPr>
          <w:trHeight w:val="210"/>
        </w:trPr>
        <w:tc>
          <w:tcPr>
            <w:tcW w:w="4220" w:type="dxa"/>
            <w:vAlign w:val="bottom"/>
          </w:tcPr>
          <w:p>
            <w:pPr>
              <w:spacing w:after="0"/>
              <w:rPr>
                <w:sz w:val="20"/>
                <w:szCs w:val="20"/>
                <w:color w:val="auto"/>
              </w:rPr>
            </w:pPr>
            <w:r>
              <w:rPr>
                <w:rFonts w:ascii="Arial" w:cs="Arial" w:eastAsia="Arial" w:hAnsi="Arial"/>
                <w:sz w:val="17"/>
                <w:szCs w:val="17"/>
                <w:color w:val="auto"/>
              </w:rPr>
              <w:t>Europe/Africa</w:t>
            </w:r>
          </w:p>
        </w:tc>
        <w:tc>
          <w:tcPr>
            <w:tcW w:w="2520" w:type="dxa"/>
            <w:vAlign w:val="bottom"/>
            <w:gridSpan w:val="3"/>
          </w:tcPr>
          <w:p>
            <w:pPr>
              <w:jc w:val="right"/>
              <w:ind w:right="480"/>
              <w:spacing w:after="0"/>
              <w:rPr>
                <w:sz w:val="20"/>
                <w:szCs w:val="20"/>
                <w:color w:val="auto"/>
              </w:rPr>
            </w:pPr>
            <w:r>
              <w:rPr>
                <w:rFonts w:ascii="Arial" w:cs="Arial" w:eastAsia="Arial" w:hAnsi="Arial"/>
                <w:sz w:val="17"/>
                <w:szCs w:val="17"/>
                <w:color w:val="auto"/>
              </w:rPr>
              <w:t>112.3</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106.7</w:t>
            </w: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116.5</w:t>
            </w:r>
          </w:p>
        </w:tc>
      </w:tr>
      <w:tr>
        <w:trPr>
          <w:trHeight w:val="179"/>
        </w:trPr>
        <w:tc>
          <w:tcPr>
            <w:tcW w:w="4220" w:type="dxa"/>
            <w:vAlign w:val="bottom"/>
          </w:tcPr>
          <w:p>
            <w:pPr>
              <w:spacing w:after="0" w:line="179" w:lineRule="exact"/>
              <w:rPr>
                <w:sz w:val="20"/>
                <w:szCs w:val="20"/>
                <w:color w:val="auto"/>
              </w:rPr>
            </w:pPr>
            <w:r>
              <w:rPr>
                <w:rFonts w:ascii="Arial" w:cs="Arial" w:eastAsia="Arial" w:hAnsi="Arial"/>
                <w:sz w:val="17"/>
                <w:szCs w:val="17"/>
                <w:color w:val="auto"/>
              </w:rPr>
              <w:t>Asia</w:t>
            </w:r>
          </w:p>
        </w:tc>
        <w:tc>
          <w:tcPr>
            <w:tcW w:w="1700" w:type="dxa"/>
            <w:vAlign w:val="bottom"/>
          </w:tcPr>
          <w:p>
            <w:pPr>
              <w:spacing w:after="0"/>
              <w:rPr>
                <w:sz w:val="15"/>
                <w:szCs w:val="15"/>
                <w:color w:val="auto"/>
              </w:rPr>
            </w:pP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w w:val="96"/>
              </w:rPr>
              <w:t>37.</w:t>
            </w:r>
            <w:r>
              <w:rPr>
                <w:rFonts w:ascii="Arial" w:cs="Arial" w:eastAsia="Arial" w:hAnsi="Arial"/>
                <w:sz w:val="17"/>
                <w:szCs w:val="17"/>
                <w:u w:val="single" w:color="auto"/>
                <w:color w:val="auto"/>
                <w:w w:val="96"/>
              </w:rPr>
              <w:t>5</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w w:val="96"/>
              </w:rPr>
              <w:t>31.</w:t>
            </w:r>
            <w:r>
              <w:rPr>
                <w:rFonts w:ascii="Arial" w:cs="Arial" w:eastAsia="Arial" w:hAnsi="Arial"/>
                <w:sz w:val="17"/>
                <w:szCs w:val="17"/>
                <w:u w:val="single" w:color="auto"/>
                <w:color w:val="auto"/>
                <w:w w:val="96"/>
              </w:rPr>
              <w:t>9</w:t>
            </w: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w w:val="96"/>
              </w:rPr>
              <w:t>31.</w:t>
            </w:r>
            <w:r>
              <w:rPr>
                <w:rFonts w:ascii="Arial" w:cs="Arial" w:eastAsia="Arial" w:hAnsi="Arial"/>
                <w:sz w:val="17"/>
                <w:szCs w:val="17"/>
                <w:u w:val="single" w:color="auto"/>
                <w:color w:val="auto"/>
                <w:w w:val="96"/>
              </w:rPr>
              <w:t>6</w:t>
            </w:r>
          </w:p>
        </w:tc>
      </w:tr>
      <w:tr>
        <w:trPr>
          <w:trHeight w:val="190"/>
        </w:trPr>
        <w:tc>
          <w:tcPr>
            <w:tcW w:w="4220" w:type="dxa"/>
            <w:vAlign w:val="bottom"/>
          </w:tcPr>
          <w:p>
            <w:pPr>
              <w:spacing w:after="0" w:line="189" w:lineRule="exact"/>
              <w:rPr>
                <w:sz w:val="20"/>
                <w:szCs w:val="20"/>
                <w:color w:val="auto"/>
              </w:rPr>
            </w:pPr>
            <w:r>
              <w:rPr>
                <w:rFonts w:ascii="Arial" w:cs="Arial" w:eastAsia="Arial" w:hAnsi="Arial"/>
                <w:sz w:val="17"/>
                <w:szCs w:val="17"/>
                <w:color w:val="auto"/>
              </w:rPr>
              <w:t>Total International</w:t>
            </w:r>
          </w:p>
        </w:tc>
        <w:tc>
          <w:tcPr>
            <w:tcW w:w="170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w w:val="75"/>
              </w:rPr>
              <w:t>181.</w:t>
            </w:r>
            <w:r>
              <w:rPr>
                <w:rFonts w:ascii="Arial" w:cs="Arial" w:eastAsia="Arial" w:hAnsi="Arial"/>
                <w:sz w:val="17"/>
                <w:szCs w:val="17"/>
                <w:u w:val="single" w:color="auto"/>
                <w:color w:val="auto"/>
                <w:w w:val="75"/>
              </w:rPr>
              <w:t>0</w:t>
            </w:r>
          </w:p>
        </w:tc>
        <w:tc>
          <w:tcPr>
            <w:tcW w:w="480" w:type="dxa"/>
            <w:vAlign w:val="bottom"/>
          </w:tcPr>
          <w:p>
            <w:pPr>
              <w:spacing w:after="0"/>
              <w:rPr>
                <w:sz w:val="16"/>
                <w:szCs w:val="16"/>
                <w:color w:val="auto"/>
              </w:rPr>
            </w:pPr>
          </w:p>
        </w:tc>
        <w:tc>
          <w:tcPr>
            <w:tcW w:w="9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166.</w:t>
            </w:r>
            <w:r>
              <w:rPr>
                <w:rFonts w:ascii="Arial" w:cs="Arial" w:eastAsia="Arial" w:hAnsi="Arial"/>
                <w:sz w:val="17"/>
                <w:szCs w:val="17"/>
                <w:u w:val="single" w:color="auto"/>
                <w:color w:val="auto"/>
              </w:rPr>
              <w:t>3</w:t>
            </w:r>
          </w:p>
        </w:tc>
        <w:tc>
          <w:tcPr>
            <w:tcW w:w="440" w:type="dxa"/>
            <w:vAlign w:val="bottom"/>
          </w:tcPr>
          <w:p>
            <w:pPr>
              <w:spacing w:after="0"/>
              <w:rPr>
                <w:sz w:val="16"/>
                <w:szCs w:val="16"/>
                <w:color w:val="auto"/>
              </w:rPr>
            </w:pP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182.</w:t>
            </w:r>
            <w:r>
              <w:rPr>
                <w:rFonts w:ascii="Arial" w:cs="Arial" w:eastAsia="Arial" w:hAnsi="Arial"/>
                <w:sz w:val="17"/>
                <w:szCs w:val="17"/>
                <w:u w:val="single" w:color="auto"/>
                <w:color w:val="auto"/>
              </w:rPr>
              <w:t>8</w:t>
            </w:r>
          </w:p>
        </w:tc>
      </w:tr>
      <w:tr>
        <w:trPr>
          <w:trHeight w:val="20"/>
        </w:trPr>
        <w:tc>
          <w:tcPr>
            <w:tcW w:w="4220" w:type="dxa"/>
            <w:vAlign w:val="bottom"/>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30"/>
        </w:trPr>
        <w:tc>
          <w:tcPr>
            <w:tcW w:w="4220" w:type="dxa"/>
            <w:vAlign w:val="bottom"/>
          </w:tcPr>
          <w:p>
            <w:pPr>
              <w:ind w:left="200"/>
              <w:spacing w:after="0"/>
              <w:rPr>
                <w:sz w:val="20"/>
                <w:szCs w:val="20"/>
                <w:color w:val="auto"/>
              </w:rPr>
            </w:pPr>
            <w:r>
              <w:rPr>
                <w:rFonts w:ascii="Arial" w:cs="Arial" w:eastAsia="Arial" w:hAnsi="Arial"/>
                <w:sz w:val="17"/>
                <w:szCs w:val="17"/>
                <w:color w:val="auto"/>
              </w:rPr>
              <w:t>Consolidated total long-lived assets</w:t>
            </w: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$568.4</w:t>
            </w:r>
          </w:p>
        </w:tc>
        <w:tc>
          <w:tcPr>
            <w:tcW w:w="4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$530.3</w:t>
            </w:r>
          </w:p>
        </w:tc>
        <w:tc>
          <w:tcPr>
            <w:tcW w:w="4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$532.7</w:t>
            </w:r>
          </w:p>
        </w:tc>
      </w:tr>
      <w:tr>
        <w:trPr>
          <w:trHeight w:val="216"/>
        </w:trPr>
        <w:tc>
          <w:tcPr>
            <w:tcW w:w="4220" w:type="dxa"/>
            <w:vAlign w:val="bottom"/>
          </w:tcPr>
          <w:p>
            <w:pPr>
              <w:spacing w:after="0"/>
              <w:rPr>
                <w:sz w:val="18"/>
                <w:szCs w:val="18"/>
                <w:color w:val="auto"/>
              </w:rPr>
            </w:pPr>
          </w:p>
        </w:tc>
        <w:tc>
          <w:tcPr>
            <w:tcW w:w="252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Pr>
          <w:p>
            <w:pPr>
              <w:spacing w:after="0"/>
              <w:rPr>
                <w:sz w:val="20"/>
                <w:szCs w:val="20"/>
                <w:color w:val="auto"/>
              </w:rPr>
            </w:pPr>
            <w:r>
              <w:rPr>
                <w:rFonts w:ascii="Arial" w:cs="Arial" w:eastAsia="Arial" w:hAnsi="Arial"/>
                <w:sz w:val="17"/>
                <w:szCs w:val="17"/>
                <w:b w:val="1"/>
                <w:bCs w:val="1"/>
                <w:color w:val="auto"/>
              </w:rPr>
              <w:t>Quarterly Financial Data (unaudited)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73"/>
        </w:trPr>
        <w:tc>
          <w:tcPr>
            <w:tcW w:w="4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20"/>
        </w:trPr>
        <w:tc>
          <w:tcPr>
            <w:tcW w:w="496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Thousands of Dollars, Except Per Share Amounts</w:t>
            </w:r>
          </w:p>
        </w:tc>
        <w:tc>
          <w:tcPr>
            <w:tcW w:w="8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r>
      <w:tr>
        <w:trPr>
          <w:trHeight w:val="206"/>
        </w:trPr>
        <w:tc>
          <w:tcPr>
            <w:tcW w:w="4960" w:type="dxa"/>
            <w:vAlign w:val="bottom"/>
            <w:shd w:val="clear" w:color="auto" w:fill="C0C0C0"/>
          </w:tcPr>
          <w:p>
            <w:pPr>
              <w:spacing w:after="0" w:line="186" w:lineRule="exact"/>
              <w:rPr>
                <w:sz w:val="20"/>
                <w:szCs w:val="20"/>
                <w:color w:val="auto"/>
              </w:rPr>
            </w:pPr>
            <w:r>
              <w:rPr>
                <w:rFonts w:ascii="Arial" w:cs="Arial" w:eastAsia="Arial" w:hAnsi="Arial"/>
                <w:sz w:val="17"/>
                <w:szCs w:val="17"/>
                <w:b w:val="1"/>
                <w:bCs w:val="1"/>
                <w:color w:val="auto"/>
              </w:rPr>
              <w:t>2000 Quarters</w:t>
            </w:r>
          </w:p>
        </w:tc>
        <w:tc>
          <w:tcPr>
            <w:tcW w:w="8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360"/>
              <w:spacing w:after="0" w:line="186" w:lineRule="exact"/>
              <w:rPr>
                <w:sz w:val="20"/>
                <w:szCs w:val="20"/>
                <w:color w:val="auto"/>
              </w:rPr>
            </w:pPr>
            <w:r>
              <w:rPr>
                <w:rFonts w:ascii="Arial" w:cs="Arial" w:eastAsia="Arial" w:hAnsi="Arial"/>
                <w:sz w:val="17"/>
                <w:szCs w:val="17"/>
                <w:b w:val="1"/>
                <w:bCs w:val="1"/>
                <w:color w:val="auto"/>
                <w:w w:val="86"/>
              </w:rPr>
              <w:t>First</w:t>
            </w:r>
          </w:p>
        </w:tc>
        <w:tc>
          <w:tcPr>
            <w:tcW w:w="46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60" w:type="dxa"/>
            <w:vAlign w:val="bottom"/>
            <w:gridSpan w:val="3"/>
            <w:shd w:val="clear" w:color="auto" w:fill="C0C0C0"/>
          </w:tcPr>
          <w:p>
            <w:pPr>
              <w:spacing w:after="0" w:line="186" w:lineRule="exact"/>
              <w:rPr>
                <w:sz w:val="20"/>
                <w:szCs w:val="20"/>
                <w:color w:val="auto"/>
              </w:rPr>
            </w:pPr>
            <w:r>
              <w:rPr>
                <w:rFonts w:ascii="Arial" w:cs="Arial" w:eastAsia="Arial" w:hAnsi="Arial"/>
                <w:sz w:val="17"/>
                <w:szCs w:val="17"/>
                <w:b w:val="1"/>
                <w:bCs w:val="1"/>
                <w:color w:val="auto"/>
              </w:rPr>
              <w:t>Second</w:t>
            </w:r>
          </w:p>
        </w:tc>
        <w:tc>
          <w:tcPr>
            <w:tcW w:w="480" w:type="dxa"/>
            <w:vAlign w:val="bottom"/>
            <w:shd w:val="clear" w:color="auto" w:fill="C0C0C0"/>
          </w:tcPr>
          <w:p>
            <w:pPr>
              <w:spacing w:after="0"/>
              <w:rPr>
                <w:sz w:val="17"/>
                <w:szCs w:val="17"/>
                <w:color w:val="auto"/>
              </w:rPr>
            </w:pPr>
          </w:p>
        </w:tc>
        <w:tc>
          <w:tcPr>
            <w:tcW w:w="920" w:type="dxa"/>
            <w:vAlign w:val="bottom"/>
            <w:gridSpan w:val="3"/>
            <w:shd w:val="clear" w:color="auto" w:fill="C0C0C0"/>
          </w:tcPr>
          <w:p>
            <w:pPr>
              <w:jc w:val="right"/>
              <w:ind w:right="380"/>
              <w:spacing w:after="0" w:line="186" w:lineRule="exact"/>
              <w:rPr>
                <w:sz w:val="20"/>
                <w:szCs w:val="20"/>
                <w:color w:val="auto"/>
              </w:rPr>
            </w:pPr>
            <w:r>
              <w:rPr>
                <w:rFonts w:ascii="Arial" w:cs="Arial" w:eastAsia="Arial" w:hAnsi="Arial"/>
                <w:sz w:val="17"/>
                <w:szCs w:val="17"/>
                <w:b w:val="1"/>
                <w:bCs w:val="1"/>
                <w:color w:val="auto"/>
              </w:rPr>
              <w:t>Third</w:t>
            </w:r>
          </w:p>
        </w:tc>
        <w:tc>
          <w:tcPr>
            <w:tcW w:w="440" w:type="dxa"/>
            <w:vAlign w:val="bottom"/>
            <w:shd w:val="clear" w:color="auto" w:fill="C0C0C0"/>
          </w:tcPr>
          <w:p>
            <w:pPr>
              <w:spacing w:after="0"/>
              <w:rPr>
                <w:sz w:val="17"/>
                <w:szCs w:val="17"/>
                <w:color w:val="auto"/>
              </w:rPr>
            </w:pPr>
          </w:p>
        </w:tc>
        <w:tc>
          <w:tcPr>
            <w:tcW w:w="20" w:type="dxa"/>
            <w:vAlign w:val="bottom"/>
            <w:shd w:val="clear" w:color="auto" w:fill="C0C0C0"/>
          </w:tcPr>
          <w:p>
            <w:pPr>
              <w:spacing w:after="0"/>
              <w:rPr>
                <w:sz w:val="17"/>
                <w:szCs w:val="17"/>
                <w:color w:val="auto"/>
              </w:rPr>
            </w:pPr>
          </w:p>
        </w:tc>
        <w:tc>
          <w:tcPr>
            <w:tcW w:w="540" w:type="dxa"/>
            <w:vAlign w:val="bottom"/>
            <w:gridSpan w:val="2"/>
            <w:shd w:val="clear" w:color="auto" w:fill="C0C0C0"/>
          </w:tcPr>
          <w:p>
            <w:pPr>
              <w:jc w:val="right"/>
              <w:spacing w:after="0" w:line="186" w:lineRule="exact"/>
              <w:rPr>
                <w:sz w:val="20"/>
                <w:szCs w:val="20"/>
                <w:color w:val="auto"/>
              </w:rPr>
            </w:pPr>
            <w:r>
              <w:rPr>
                <w:rFonts w:ascii="Arial" w:cs="Arial" w:eastAsia="Arial" w:hAnsi="Arial"/>
                <w:sz w:val="17"/>
                <w:szCs w:val="17"/>
                <w:b w:val="1"/>
                <w:bCs w:val="1"/>
                <w:color w:val="auto"/>
                <w:w w:val="96"/>
              </w:rPr>
              <w:t>Fourth</w:t>
            </w:r>
          </w:p>
        </w:tc>
      </w:tr>
      <w:tr>
        <w:trPr>
          <w:trHeight w:val="417"/>
        </w:trPr>
        <w:tc>
          <w:tcPr>
            <w:tcW w:w="4960" w:type="dxa"/>
            <w:vAlign w:val="bottom"/>
            <w:tcBorders>
              <w:top w:val="single" w:sz="8" w:color="C0C0C0"/>
            </w:tcBorders>
          </w:tcPr>
          <w:p>
            <w:pPr>
              <w:spacing w:after="0"/>
              <w:rPr>
                <w:sz w:val="20"/>
                <w:szCs w:val="20"/>
                <w:color w:val="auto"/>
              </w:rPr>
            </w:pPr>
            <w:r>
              <w:rPr>
                <w:rFonts w:ascii="Arial" w:cs="Arial" w:eastAsia="Arial" w:hAnsi="Arial"/>
                <w:sz w:val="17"/>
                <w:szCs w:val="17"/>
                <w:color w:val="auto"/>
              </w:rPr>
              <w:t>Net Sales by Product Line</w:t>
            </w:r>
          </w:p>
        </w:tc>
        <w:tc>
          <w:tcPr>
            <w:tcW w:w="820" w:type="dxa"/>
            <w:vAlign w:val="bottom"/>
            <w:tcBorders>
              <w:top w:val="single" w:sz="8" w:color="C0C0C0"/>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60" w:type="dxa"/>
            <w:vAlign w:val="bottom"/>
            <w:tcBorders>
              <w:top w:val="single" w:sz="8" w:color="C0C0C0"/>
            </w:tcBorders>
          </w:tcPr>
          <w:p>
            <w:pPr>
              <w:spacing w:after="0"/>
              <w:rPr>
                <w:sz w:val="24"/>
                <w:szCs w:val="24"/>
                <w:color w:val="auto"/>
              </w:rPr>
            </w:pPr>
          </w:p>
        </w:tc>
        <w:tc>
          <w:tcPr>
            <w:tcW w:w="460" w:type="dxa"/>
            <w:vAlign w:val="bottom"/>
            <w:tcBorders>
              <w:top w:val="single" w:sz="8" w:color="C0C0C0"/>
            </w:tcBorders>
          </w:tcPr>
          <w:p>
            <w:pPr>
              <w:spacing w:after="0"/>
              <w:rPr>
                <w:sz w:val="24"/>
                <w:szCs w:val="24"/>
                <w:color w:val="auto"/>
              </w:rPr>
            </w:pPr>
          </w:p>
        </w:tc>
        <w:tc>
          <w:tcPr>
            <w:tcW w:w="40" w:type="dxa"/>
            <w:vAlign w:val="bottom"/>
            <w:tcBorders>
              <w:top w:val="single" w:sz="8" w:color="C0C0C0"/>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C0C0C0"/>
            </w:tcBorders>
          </w:tcPr>
          <w:p>
            <w:pPr>
              <w:spacing w:after="0"/>
              <w:rPr>
                <w:sz w:val="24"/>
                <w:szCs w:val="24"/>
                <w:color w:val="auto"/>
              </w:rPr>
            </w:pPr>
          </w:p>
        </w:tc>
        <w:tc>
          <w:tcPr>
            <w:tcW w:w="48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C0C0C0"/>
            </w:tcBorders>
          </w:tcPr>
          <w:p>
            <w:pPr>
              <w:spacing w:after="0"/>
              <w:rPr>
                <w:sz w:val="24"/>
                <w:szCs w:val="24"/>
                <w:color w:val="auto"/>
              </w:rPr>
            </w:pPr>
          </w:p>
        </w:tc>
        <w:tc>
          <w:tcPr>
            <w:tcW w:w="440" w:type="dxa"/>
            <w:vAlign w:val="bottom"/>
            <w:tcBorders>
              <w:top w:val="single" w:sz="8" w:color="C0C0C0"/>
            </w:tcBorders>
          </w:tcPr>
          <w:p>
            <w:pPr>
              <w:spacing w:after="0"/>
              <w:rPr>
                <w:sz w:val="24"/>
                <w:szCs w:val="24"/>
                <w:color w:val="auto"/>
              </w:rPr>
            </w:pPr>
          </w:p>
        </w:tc>
        <w:tc>
          <w:tcPr>
            <w:tcW w:w="20" w:type="dxa"/>
            <w:vAlign w:val="bottom"/>
            <w:tcBorders>
              <w:top w:val="single" w:sz="8" w:color="C0C0C0"/>
            </w:tcBorders>
          </w:tcPr>
          <w:p>
            <w:pPr>
              <w:spacing w:after="0"/>
              <w:rPr>
                <w:sz w:val="24"/>
                <w:szCs w:val="24"/>
                <w:color w:val="auto"/>
              </w:rPr>
            </w:pPr>
          </w:p>
        </w:tc>
        <w:tc>
          <w:tcPr>
            <w:tcW w:w="40" w:type="dxa"/>
            <w:vAlign w:val="bottom"/>
            <w:tcBorders>
              <w:top w:val="single" w:sz="8" w:color="C0C0C0"/>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7"/>
                <w:szCs w:val="17"/>
                <w:color w:val="auto"/>
              </w:rPr>
              <w:t>PCC</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95,033</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99,917</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99,057</w:t>
            </w: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105,245</w:t>
            </w:r>
          </w:p>
        </w:tc>
      </w:tr>
      <w:tr>
        <w:trPr>
          <w:trHeight w:val="179"/>
        </w:trPr>
        <w:tc>
          <w:tcPr>
            <w:tcW w:w="4960" w:type="dxa"/>
            <w:vAlign w:val="bottom"/>
          </w:tcPr>
          <w:p>
            <w:pPr>
              <w:ind w:left="140"/>
              <w:spacing w:after="0" w:line="179" w:lineRule="exact"/>
              <w:rPr>
                <w:sz w:val="20"/>
                <w:szCs w:val="20"/>
                <w:color w:val="auto"/>
              </w:rPr>
            </w:pPr>
            <w:r>
              <w:rPr>
                <w:rFonts w:ascii="Arial" w:cs="Arial" w:eastAsia="Arial" w:hAnsi="Arial"/>
                <w:sz w:val="17"/>
                <w:szCs w:val="17"/>
                <w:color w:val="auto"/>
              </w:rPr>
              <w:t>Processed Minerals</w:t>
            </w:r>
          </w:p>
        </w:tc>
        <w:tc>
          <w:tcPr>
            <w:tcW w:w="82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99"/>
              </w:rPr>
              <w:t>20,643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Borders>
              <w:bottom w:val="single" w:sz="8" w:color="auto"/>
            </w:tcBorders>
            <w:gridSpan w:val="3"/>
          </w:tcPr>
          <w:p>
            <w:pPr>
              <w:jc w:val="right"/>
              <w:spacing w:after="0" w:line="179" w:lineRule="exact"/>
              <w:rPr>
                <w:sz w:val="20"/>
                <w:szCs w:val="20"/>
                <w:color w:val="auto"/>
              </w:rPr>
            </w:pPr>
            <w:r>
              <w:rPr>
                <w:rFonts w:ascii="Arial" w:cs="Arial" w:eastAsia="Arial" w:hAnsi="Arial"/>
                <w:sz w:val="17"/>
                <w:szCs w:val="17"/>
                <w:color w:val="auto"/>
              </w:rPr>
              <w:t>23,460</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99"/>
              </w:rPr>
              <w:t>21,855</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99"/>
              </w:rPr>
              <w:t>21,115</w:t>
            </w:r>
          </w:p>
        </w:tc>
      </w:tr>
      <w:tr>
        <w:trPr>
          <w:trHeight w:val="220"/>
        </w:trPr>
        <w:tc>
          <w:tcPr>
            <w:tcW w:w="4960" w:type="dxa"/>
            <w:vAlign w:val="bottom"/>
          </w:tcPr>
          <w:p>
            <w:pPr>
              <w:ind w:left="260"/>
              <w:spacing w:after="0"/>
              <w:rPr>
                <w:sz w:val="20"/>
                <w:szCs w:val="20"/>
                <w:color w:val="auto"/>
              </w:rPr>
            </w:pPr>
            <w:r>
              <w:rPr>
                <w:rFonts w:ascii="Arial" w:cs="Arial" w:eastAsia="Arial" w:hAnsi="Arial"/>
                <w:sz w:val="17"/>
                <w:szCs w:val="17"/>
                <w:color w:val="auto"/>
              </w:rPr>
              <w:t>Specialty Minerals Segment</w:t>
            </w:r>
          </w:p>
        </w:tc>
        <w:tc>
          <w:tcPr>
            <w:tcW w:w="8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115,676</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123,377</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120,912</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126,360</w:t>
            </w:r>
          </w:p>
        </w:tc>
      </w:tr>
      <w:tr>
        <w:trPr>
          <w:trHeight w:val="179"/>
        </w:trPr>
        <w:tc>
          <w:tcPr>
            <w:tcW w:w="4960" w:type="dxa"/>
            <w:vAlign w:val="bottom"/>
          </w:tcPr>
          <w:p>
            <w:pPr>
              <w:ind w:left="260"/>
              <w:spacing w:after="0" w:line="179" w:lineRule="exact"/>
              <w:rPr>
                <w:sz w:val="20"/>
                <w:szCs w:val="20"/>
                <w:color w:val="auto"/>
              </w:rPr>
            </w:pPr>
            <w:r>
              <w:rPr>
                <w:rFonts w:ascii="Arial" w:cs="Arial" w:eastAsia="Arial" w:hAnsi="Arial"/>
                <w:sz w:val="17"/>
                <w:szCs w:val="17"/>
                <w:color w:val="auto"/>
              </w:rPr>
              <w:t>Refractories Segment</w:t>
            </w:r>
          </w:p>
        </w:tc>
        <w:tc>
          <w:tcPr>
            <w:tcW w:w="82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99"/>
              </w:rPr>
              <w:t>45,253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Borders>
              <w:bottom w:val="single" w:sz="8" w:color="auto"/>
            </w:tcBorders>
            <w:gridSpan w:val="3"/>
          </w:tcPr>
          <w:p>
            <w:pPr>
              <w:jc w:val="right"/>
              <w:spacing w:after="0" w:line="179" w:lineRule="exact"/>
              <w:rPr>
                <w:sz w:val="20"/>
                <w:szCs w:val="20"/>
                <w:color w:val="auto"/>
              </w:rPr>
            </w:pPr>
            <w:r>
              <w:rPr>
                <w:rFonts w:ascii="Arial" w:cs="Arial" w:eastAsia="Arial" w:hAnsi="Arial"/>
                <w:sz w:val="17"/>
                <w:szCs w:val="17"/>
                <w:color w:val="auto"/>
              </w:rPr>
              <w:t>48,839</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99"/>
              </w:rPr>
              <w:t>46,384</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99"/>
              </w:rPr>
              <w:t>44,116</w:t>
            </w:r>
          </w:p>
        </w:tc>
      </w:tr>
      <w:tr>
        <w:trPr>
          <w:trHeight w:val="430"/>
        </w:trPr>
        <w:tc>
          <w:tcPr>
            <w:tcW w:w="4960" w:type="dxa"/>
            <w:vAlign w:val="bottom"/>
          </w:tcPr>
          <w:p>
            <w:pPr>
              <w:spacing w:after="0"/>
              <w:rPr>
                <w:sz w:val="20"/>
                <w:szCs w:val="20"/>
                <w:color w:val="auto"/>
              </w:rPr>
            </w:pPr>
            <w:r>
              <w:rPr>
                <w:rFonts w:ascii="Arial" w:cs="Arial" w:eastAsia="Arial" w:hAnsi="Arial"/>
                <w:sz w:val="17"/>
                <w:szCs w:val="17"/>
                <w:color w:val="auto"/>
              </w:rPr>
              <w:t>Consolidated net sales</w:t>
            </w:r>
          </w:p>
        </w:tc>
        <w:tc>
          <w:tcPr>
            <w:tcW w:w="8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160,929</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172,216</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167,296</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170,476</w:t>
            </w:r>
          </w:p>
        </w:tc>
      </w:tr>
      <w:tr>
        <w:trPr>
          <w:trHeight w:val="210"/>
        </w:trPr>
        <w:tc>
          <w:tcPr>
            <w:tcW w:w="4960" w:type="dxa"/>
            <w:vAlign w:val="bottom"/>
          </w:tcPr>
          <w:p>
            <w:pPr>
              <w:spacing w:after="0"/>
              <w:rPr>
                <w:sz w:val="20"/>
                <w:szCs w:val="20"/>
                <w:color w:val="auto"/>
              </w:rPr>
            </w:pPr>
            <w:r>
              <w:rPr>
                <w:rFonts w:ascii="Arial" w:cs="Arial" w:eastAsia="Arial" w:hAnsi="Arial"/>
                <w:sz w:val="17"/>
                <w:szCs w:val="17"/>
                <w:color w:val="auto"/>
              </w:rPr>
              <w:t>Gross profit</w:t>
            </w: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46,899</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52,644</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48,144</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45,718</w:t>
            </w:r>
          </w:p>
        </w:tc>
      </w:tr>
      <w:tr>
        <w:trPr>
          <w:trHeight w:val="210"/>
        </w:trPr>
        <w:tc>
          <w:tcPr>
            <w:tcW w:w="4960" w:type="dxa"/>
            <w:vAlign w:val="bottom"/>
          </w:tcPr>
          <w:p>
            <w:pPr>
              <w:spacing w:after="0"/>
              <w:rPr>
                <w:sz w:val="20"/>
                <w:szCs w:val="20"/>
                <w:color w:val="auto"/>
              </w:rPr>
            </w:pPr>
            <w:r>
              <w:rPr>
                <w:rFonts w:ascii="Arial" w:cs="Arial" w:eastAsia="Arial" w:hAnsi="Arial"/>
                <w:sz w:val="17"/>
                <w:szCs w:val="17"/>
                <w:color w:val="auto"/>
              </w:rPr>
              <w:t>Net income</w:t>
            </w: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15,025</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17,153</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15,134</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6,896</w:t>
            </w: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rPr>
              <w:t>Earnings per share: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7"/>
                <w:szCs w:val="17"/>
                <w:color w:val="auto"/>
              </w:rPr>
              <w:t>Basic</w:t>
            </w:r>
          </w:p>
        </w:tc>
        <w:tc>
          <w:tcPr>
            <w:tcW w:w="8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0.72</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0.83</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0.74</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0.34</w:t>
            </w:r>
          </w:p>
        </w:tc>
      </w:tr>
      <w:tr>
        <w:trPr>
          <w:trHeight w:val="210"/>
        </w:trPr>
        <w:tc>
          <w:tcPr>
            <w:tcW w:w="4960" w:type="dxa"/>
            <w:vAlign w:val="bottom"/>
          </w:tcPr>
          <w:p>
            <w:pPr>
              <w:ind w:left="220"/>
              <w:spacing w:after="0"/>
              <w:rPr>
                <w:sz w:val="20"/>
                <w:szCs w:val="20"/>
                <w:color w:val="auto"/>
              </w:rPr>
            </w:pPr>
            <w:r>
              <w:rPr>
                <w:rFonts w:ascii="Arial" w:cs="Arial" w:eastAsia="Arial" w:hAnsi="Arial"/>
                <w:sz w:val="17"/>
                <w:szCs w:val="17"/>
                <w:color w:val="auto"/>
              </w:rPr>
              <w:t>Diluted</w:t>
            </w: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0.71</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0.81</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0.72</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0.34</w:t>
            </w: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rPr>
              <w:t>Market Price Range Per Share of Common Stock:</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69"/>
        </w:trPr>
        <w:tc>
          <w:tcPr>
            <w:tcW w:w="4960" w:type="dxa"/>
            <w:vAlign w:val="bottom"/>
          </w:tcPr>
          <w:p>
            <w:pPr>
              <w:ind w:left="220"/>
              <w:spacing w:after="0"/>
              <w:rPr>
                <w:sz w:val="20"/>
                <w:szCs w:val="20"/>
                <w:color w:val="auto"/>
              </w:rPr>
            </w:pPr>
            <w:r>
              <w:rPr>
                <w:rFonts w:ascii="Arial" w:cs="Arial" w:eastAsia="Arial" w:hAnsi="Arial"/>
                <w:sz w:val="17"/>
                <w:szCs w:val="17"/>
                <w:color w:val="auto"/>
              </w:rPr>
              <w:t>High</w:t>
            </w:r>
          </w:p>
        </w:tc>
        <w:tc>
          <w:tcPr>
            <w:tcW w:w="820" w:type="dxa"/>
            <w:vAlign w:val="bottom"/>
          </w:tcPr>
          <w:p>
            <w:pPr>
              <w:spacing w:after="0"/>
              <w:rPr>
                <w:sz w:val="23"/>
                <w:szCs w:val="23"/>
                <w:color w:val="auto"/>
              </w:rPr>
            </w:pPr>
          </w:p>
        </w:tc>
        <w:tc>
          <w:tcPr>
            <w:tcW w:w="540" w:type="dxa"/>
            <w:vAlign w:val="bottom"/>
            <w:gridSpan w:val="2"/>
          </w:tcPr>
          <w:p>
            <w:pPr>
              <w:jc w:val="right"/>
              <w:spacing w:after="0" w:line="268" w:lineRule="exact"/>
              <w:rPr>
                <w:sz w:val="20"/>
                <w:szCs w:val="20"/>
                <w:color w:val="auto"/>
              </w:rPr>
            </w:pPr>
            <w:r>
              <w:rPr>
                <w:rFonts w:ascii="Arial" w:cs="Arial" w:eastAsia="Arial" w:hAnsi="Arial"/>
                <w:sz w:val="31"/>
                <w:szCs w:val="31"/>
                <w:color w:val="auto"/>
                <w:vertAlign w:val="subscript"/>
              </w:rPr>
              <w:t>46</w:t>
            </w:r>
            <w:r>
              <w:rPr>
                <w:rFonts w:ascii="Arial" w:cs="Arial" w:eastAsia="Arial" w:hAnsi="Arial"/>
                <w:sz w:val="13"/>
                <w:szCs w:val="13"/>
                <w:color w:val="auto"/>
              </w:rPr>
              <w:t xml:space="preserve"> 7/16</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3/4</w:t>
            </w:r>
          </w:p>
        </w:tc>
        <w:tc>
          <w:tcPr>
            <w:tcW w:w="480" w:type="dxa"/>
            <w:vAlign w:val="bottom"/>
          </w:tcPr>
          <w:p>
            <w:pPr>
              <w:spacing w:after="0"/>
              <w:rPr>
                <w:sz w:val="23"/>
                <w:szCs w:val="23"/>
                <w:color w:val="auto"/>
              </w:rPr>
            </w:pPr>
          </w:p>
        </w:tc>
        <w:tc>
          <w:tcPr>
            <w:tcW w:w="540" w:type="dxa"/>
            <w:vAlign w:val="bottom"/>
            <w:gridSpan w:val="2"/>
          </w:tcPr>
          <w:p>
            <w:pPr>
              <w:jc w:val="right"/>
              <w:spacing w:after="0" w:line="268" w:lineRule="exact"/>
              <w:rPr>
                <w:sz w:val="20"/>
                <w:szCs w:val="20"/>
                <w:color w:val="auto"/>
              </w:rPr>
            </w:pPr>
            <w:r>
              <w:rPr>
                <w:rFonts w:ascii="Arial" w:cs="Arial" w:eastAsia="Arial" w:hAnsi="Arial"/>
                <w:sz w:val="31"/>
                <w:szCs w:val="31"/>
                <w:color w:val="auto"/>
                <w:vertAlign w:val="subscript"/>
              </w:rPr>
              <w:t>54</w:t>
            </w:r>
            <w:r>
              <w:rPr>
                <w:rFonts w:ascii="Arial" w:cs="Arial" w:eastAsia="Arial" w:hAnsi="Arial"/>
                <w:sz w:val="13"/>
                <w:szCs w:val="13"/>
                <w:color w:val="auto"/>
              </w:rPr>
              <w:t xml:space="preserve"> 1/16</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gridSpan w:val="3"/>
          </w:tcPr>
          <w:p>
            <w:pPr>
              <w:jc w:val="right"/>
              <w:spacing w:after="0" w:line="268" w:lineRule="exact"/>
              <w:rPr>
                <w:sz w:val="20"/>
                <w:szCs w:val="20"/>
                <w:color w:val="auto"/>
              </w:rPr>
            </w:pPr>
            <w:r>
              <w:rPr>
                <w:rFonts w:ascii="Arial" w:cs="Arial" w:eastAsia="Arial" w:hAnsi="Arial"/>
                <w:sz w:val="31"/>
                <w:szCs w:val="31"/>
                <w:color w:val="auto"/>
                <w:vertAlign w:val="subscript"/>
              </w:rPr>
              <w:t>46</w:t>
            </w:r>
            <w:r>
              <w:rPr>
                <w:rFonts w:ascii="Arial" w:cs="Arial" w:eastAsia="Arial" w:hAnsi="Arial"/>
                <w:sz w:val="13"/>
                <w:szCs w:val="13"/>
                <w:color w:val="auto"/>
              </w:rPr>
              <w:t xml:space="preserve"> 1/4</w:t>
            </w:r>
          </w:p>
        </w:tc>
      </w:tr>
      <w:tr>
        <w:trPr>
          <w:trHeight w:val="249"/>
        </w:trPr>
        <w:tc>
          <w:tcPr>
            <w:tcW w:w="4960" w:type="dxa"/>
            <w:vAlign w:val="bottom"/>
          </w:tcPr>
          <w:p>
            <w:pPr>
              <w:ind w:left="220"/>
              <w:spacing w:after="0"/>
              <w:rPr>
                <w:sz w:val="20"/>
                <w:szCs w:val="20"/>
                <w:color w:val="auto"/>
              </w:rPr>
            </w:pPr>
            <w:r>
              <w:rPr>
                <w:rFonts w:ascii="Arial" w:cs="Arial" w:eastAsia="Arial" w:hAnsi="Arial"/>
                <w:sz w:val="17"/>
                <w:szCs w:val="17"/>
                <w:color w:val="auto"/>
              </w:rPr>
              <w:t>Low</w:t>
            </w:r>
          </w:p>
        </w:tc>
        <w:tc>
          <w:tcPr>
            <w:tcW w:w="820" w:type="dxa"/>
            <w:vAlign w:val="bottom"/>
          </w:tcPr>
          <w:p>
            <w:pPr>
              <w:spacing w:after="0"/>
              <w:rPr>
                <w:sz w:val="21"/>
                <w:szCs w:val="21"/>
                <w:color w:val="auto"/>
              </w:rPr>
            </w:pPr>
          </w:p>
        </w:tc>
        <w:tc>
          <w:tcPr>
            <w:tcW w:w="900" w:type="dxa"/>
            <w:vAlign w:val="bottom"/>
            <w:gridSpan w:val="3"/>
          </w:tcPr>
          <w:p>
            <w:pPr>
              <w:jc w:val="right"/>
              <w:ind w:right="360"/>
              <w:spacing w:after="0" w:line="249" w:lineRule="exact"/>
              <w:rPr>
                <w:sz w:val="20"/>
                <w:szCs w:val="20"/>
                <w:color w:val="auto"/>
              </w:rPr>
            </w:pPr>
            <w:r>
              <w:rPr>
                <w:rFonts w:ascii="Arial" w:cs="Arial" w:eastAsia="Arial" w:hAnsi="Arial"/>
                <w:sz w:val="28"/>
                <w:szCs w:val="28"/>
                <w:color w:val="auto"/>
                <w:vertAlign w:val="subscript"/>
              </w:rPr>
              <w:t>36</w:t>
            </w:r>
            <w:r>
              <w:rPr>
                <w:rFonts w:ascii="Arial" w:cs="Arial" w:eastAsia="Arial" w:hAnsi="Arial"/>
                <w:sz w:val="13"/>
                <w:szCs w:val="13"/>
                <w:color w:val="auto"/>
              </w:rPr>
              <w:t xml:space="preserve"> 5/8</w:t>
            </w:r>
          </w:p>
        </w:tc>
        <w:tc>
          <w:tcPr>
            <w:tcW w:w="460" w:type="dxa"/>
            <w:vAlign w:val="bottom"/>
          </w:tcPr>
          <w:p>
            <w:pPr>
              <w:spacing w:after="0"/>
              <w:rPr>
                <w:sz w:val="21"/>
                <w:szCs w:val="21"/>
                <w:color w:val="auto"/>
              </w:rPr>
            </w:pPr>
          </w:p>
        </w:tc>
        <w:tc>
          <w:tcPr>
            <w:tcW w:w="900" w:type="dxa"/>
            <w:vAlign w:val="bottom"/>
            <w:gridSpan w:val="4"/>
          </w:tcPr>
          <w:p>
            <w:pPr>
              <w:jc w:val="right"/>
              <w:ind w:right="340"/>
              <w:spacing w:after="0" w:line="249" w:lineRule="exact"/>
              <w:rPr>
                <w:sz w:val="20"/>
                <w:szCs w:val="20"/>
                <w:color w:val="auto"/>
              </w:rPr>
            </w:pPr>
            <w:r>
              <w:rPr>
                <w:rFonts w:ascii="Arial" w:cs="Arial" w:eastAsia="Arial" w:hAnsi="Arial"/>
                <w:sz w:val="28"/>
                <w:szCs w:val="28"/>
                <w:color w:val="auto"/>
                <w:vertAlign w:val="subscript"/>
              </w:rPr>
              <w:t>40</w:t>
            </w:r>
            <w:r>
              <w:rPr>
                <w:rFonts w:ascii="Arial" w:cs="Arial" w:eastAsia="Arial" w:hAnsi="Arial"/>
                <w:sz w:val="13"/>
                <w:szCs w:val="13"/>
                <w:color w:val="auto"/>
              </w:rPr>
              <w:t xml:space="preserve"> 3/8</w:t>
            </w:r>
          </w:p>
        </w:tc>
        <w:tc>
          <w:tcPr>
            <w:tcW w:w="480" w:type="dxa"/>
            <w:vAlign w:val="bottom"/>
          </w:tcPr>
          <w:p>
            <w:pPr>
              <w:spacing w:after="0"/>
              <w:rPr>
                <w:sz w:val="21"/>
                <w:szCs w:val="21"/>
                <w:color w:val="auto"/>
              </w:rPr>
            </w:pPr>
          </w:p>
        </w:tc>
        <w:tc>
          <w:tcPr>
            <w:tcW w:w="920" w:type="dxa"/>
            <w:vAlign w:val="bottom"/>
            <w:gridSpan w:val="3"/>
          </w:tcPr>
          <w:p>
            <w:pPr>
              <w:jc w:val="right"/>
              <w:ind w:right="380"/>
              <w:spacing w:after="0" w:line="249" w:lineRule="exact"/>
              <w:rPr>
                <w:sz w:val="20"/>
                <w:szCs w:val="20"/>
                <w:color w:val="auto"/>
              </w:rPr>
            </w:pPr>
            <w:r>
              <w:rPr>
                <w:rFonts w:ascii="Arial" w:cs="Arial" w:eastAsia="Arial" w:hAnsi="Arial"/>
                <w:sz w:val="28"/>
                <w:szCs w:val="28"/>
                <w:color w:val="auto"/>
                <w:vertAlign w:val="subscript"/>
              </w:rPr>
              <w:t>41</w:t>
            </w:r>
            <w:r>
              <w:rPr>
                <w:rFonts w:ascii="Arial" w:cs="Arial" w:eastAsia="Arial" w:hAnsi="Arial"/>
                <w:sz w:val="13"/>
                <w:szCs w:val="13"/>
                <w:color w:val="auto"/>
              </w:rPr>
              <w:t xml:space="preserve"> 3/8</w:t>
            </w:r>
          </w:p>
        </w:tc>
        <w:tc>
          <w:tcPr>
            <w:tcW w:w="440" w:type="dxa"/>
            <w:vAlign w:val="bottom"/>
          </w:tcPr>
          <w:p>
            <w:pPr>
              <w:spacing w:after="0"/>
              <w:rPr>
                <w:sz w:val="21"/>
                <w:szCs w:val="21"/>
                <w:color w:val="auto"/>
              </w:rPr>
            </w:pPr>
          </w:p>
        </w:tc>
        <w:tc>
          <w:tcPr>
            <w:tcW w:w="560" w:type="dxa"/>
            <w:vAlign w:val="bottom"/>
            <w:gridSpan w:val="3"/>
          </w:tcPr>
          <w:p>
            <w:pPr>
              <w:jc w:val="right"/>
              <w:spacing w:after="0" w:line="249" w:lineRule="exact"/>
              <w:rPr>
                <w:sz w:val="20"/>
                <w:szCs w:val="20"/>
                <w:color w:val="auto"/>
              </w:rPr>
            </w:pPr>
            <w:r>
              <w:rPr>
                <w:rFonts w:ascii="Arial" w:cs="Arial" w:eastAsia="Arial" w:hAnsi="Arial"/>
                <w:sz w:val="28"/>
                <w:szCs w:val="28"/>
                <w:color w:val="auto"/>
                <w:vertAlign w:val="subscript"/>
              </w:rPr>
              <w:t>28</w:t>
            </w:r>
            <w:r>
              <w:rPr>
                <w:rFonts w:ascii="Arial" w:cs="Arial" w:eastAsia="Arial" w:hAnsi="Arial"/>
                <w:sz w:val="13"/>
                <w:szCs w:val="13"/>
                <w:color w:val="auto"/>
              </w:rPr>
              <w:t>15/16</w:t>
            </w:r>
          </w:p>
        </w:tc>
      </w:tr>
      <w:tr>
        <w:trPr>
          <w:trHeight w:val="443"/>
        </w:trPr>
        <w:tc>
          <w:tcPr>
            <w:tcW w:w="4960" w:type="dxa"/>
            <w:vAlign w:val="bottom"/>
          </w:tcPr>
          <w:p>
            <w:pPr>
              <w:ind w:left="220"/>
              <w:spacing w:after="0"/>
              <w:rPr>
                <w:sz w:val="20"/>
                <w:szCs w:val="20"/>
                <w:color w:val="auto"/>
              </w:rPr>
            </w:pPr>
            <w:r>
              <w:rPr>
                <w:rFonts w:ascii="Arial" w:cs="Arial" w:eastAsia="Arial" w:hAnsi="Arial"/>
                <w:sz w:val="17"/>
                <w:szCs w:val="17"/>
                <w:color w:val="auto"/>
              </w:rPr>
              <w:t>Close</w:t>
            </w:r>
          </w:p>
        </w:tc>
        <w:tc>
          <w:tcPr>
            <w:tcW w:w="820" w:type="dxa"/>
            <w:vAlign w:val="bottom"/>
          </w:tcPr>
          <w:p>
            <w:pPr>
              <w:spacing w:after="0"/>
              <w:rPr>
                <w:sz w:val="24"/>
                <w:szCs w:val="2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34"/>
                <w:szCs w:val="34"/>
                <w:color w:val="auto"/>
                <w:w w:val="86"/>
                <w:vertAlign w:val="subscript"/>
              </w:rPr>
              <w:t>41</w:t>
            </w:r>
            <w:r>
              <w:rPr>
                <w:rFonts w:ascii="Arial" w:cs="Arial" w:eastAsia="Arial" w:hAnsi="Arial"/>
                <w:sz w:val="14"/>
                <w:szCs w:val="14"/>
                <w:color w:val="auto"/>
                <w:w w:val="86"/>
              </w:rPr>
              <w:t>15/16</w:t>
            </w:r>
          </w:p>
        </w:tc>
        <w:tc>
          <w:tcPr>
            <w:tcW w:w="460" w:type="dxa"/>
            <w:vAlign w:val="bottom"/>
          </w:tcPr>
          <w:p>
            <w:pPr>
              <w:spacing w:after="0"/>
              <w:rPr>
                <w:sz w:val="24"/>
                <w:szCs w:val="24"/>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34"/>
                <w:szCs w:val="34"/>
                <w:color w:val="auto"/>
                <w:w w:val="89"/>
                <w:vertAlign w:val="subscript"/>
              </w:rPr>
              <w:t>41</w:t>
            </w:r>
            <w:r>
              <w:rPr>
                <w:rFonts w:ascii="Arial" w:cs="Arial" w:eastAsia="Arial" w:hAnsi="Arial"/>
                <w:sz w:val="14"/>
                <w:szCs w:val="14"/>
                <w:color w:val="auto"/>
                <w:w w:val="89"/>
              </w:rPr>
              <w:t>11/16</w:t>
            </w:r>
          </w:p>
        </w:tc>
        <w:tc>
          <w:tcPr>
            <w:tcW w:w="48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34"/>
                <w:szCs w:val="34"/>
                <w:color w:val="auto"/>
                <w:w w:val="86"/>
                <w:vertAlign w:val="subscript"/>
              </w:rPr>
              <w:t>43</w:t>
            </w:r>
            <w:r>
              <w:rPr>
                <w:rFonts w:ascii="Arial" w:cs="Arial" w:eastAsia="Arial" w:hAnsi="Arial"/>
                <w:sz w:val="14"/>
                <w:szCs w:val="14"/>
                <w:color w:val="auto"/>
                <w:w w:val="86"/>
              </w:rPr>
              <w:t>15/16</w:t>
            </w:r>
          </w:p>
        </w:tc>
        <w:tc>
          <w:tcPr>
            <w:tcW w:w="4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34"/>
                <w:szCs w:val="34"/>
                <w:color w:val="auto"/>
                <w:w w:val="95"/>
                <w:vertAlign w:val="subscript"/>
              </w:rPr>
              <w:t>34</w:t>
            </w:r>
            <w:r>
              <w:rPr>
                <w:rFonts w:ascii="Arial" w:cs="Arial" w:eastAsia="Arial" w:hAnsi="Arial"/>
                <w:sz w:val="14"/>
                <w:szCs w:val="14"/>
                <w:color w:val="auto"/>
                <w:w w:val="95"/>
              </w:rPr>
              <w:t xml:space="preserve"> 3/16</w:t>
            </w:r>
          </w:p>
        </w:tc>
      </w:tr>
      <w:tr>
        <w:trPr>
          <w:trHeight w:val="231"/>
        </w:trPr>
        <w:tc>
          <w:tcPr>
            <w:tcW w:w="4960" w:type="dxa"/>
            <w:vAlign w:val="bottom"/>
          </w:tcPr>
          <w:p>
            <w:pPr>
              <w:spacing w:after="0"/>
              <w:rPr>
                <w:sz w:val="20"/>
                <w:szCs w:val="20"/>
                <w:color w:val="auto"/>
              </w:rPr>
            </w:pPr>
            <w:r>
              <w:rPr>
                <w:rFonts w:ascii="Arial" w:cs="Arial" w:eastAsia="Arial" w:hAnsi="Arial"/>
                <w:sz w:val="17"/>
                <w:szCs w:val="17"/>
                <w:color w:val="auto"/>
              </w:rPr>
              <w:t>Dividends paid per common share</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0.025</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0.025</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0.025</w:t>
            </w: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0.025</w:t>
            </w:r>
          </w:p>
        </w:tc>
      </w:tr>
    </w:tbl>
    <w:p>
      <w:pPr>
        <w:spacing w:after="0" w:line="200" w:lineRule="exact"/>
        <w:rPr>
          <w:sz w:val="20"/>
          <w:szCs w:val="20"/>
          <w:color w:val="auto"/>
        </w:rPr>
      </w:pPr>
    </w:p>
    <w:p>
      <w:pPr>
        <w:spacing w:after="0" w:line="265" w:lineRule="exact"/>
        <w:rPr>
          <w:sz w:val="20"/>
          <w:szCs w:val="20"/>
          <w:color w:val="auto"/>
        </w:rPr>
      </w:pPr>
    </w:p>
    <w:p>
      <w:pPr>
        <w:jc w:val="both"/>
        <w:ind w:firstLine="232"/>
        <w:spacing w:after="0" w:line="267" w:lineRule="auto"/>
        <w:rPr>
          <w:sz w:val="20"/>
          <w:szCs w:val="20"/>
          <w:color w:val="auto"/>
        </w:rPr>
      </w:pPr>
      <w:r>
        <w:rPr>
          <w:rFonts w:ascii="Arial" w:cs="Arial" w:eastAsia="Arial" w:hAnsi="Arial"/>
          <w:sz w:val="17"/>
          <w:szCs w:val="17"/>
          <w:color w:val="auto"/>
        </w:rPr>
        <w:t>In the fourth quarter of 2000, the Company recorded a $4.9 million write-down of impaired assets related to three satellite PCC plants at paper mills that have ceased or will cease operations. The Company also recognized $5.6 million in additional bad debt expenses, primarily related to bankruptcies of major customers in the steel, paper and construction industries.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6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Thousands of Dollars, Except Per Share Amounts</w:t>
            </w:r>
          </w:p>
        </w:tc>
        <w:tc>
          <w:tcPr>
            <w:tcW w:w="8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46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r>
      <w:tr>
        <w:trPr>
          <w:trHeight w:val="190"/>
        </w:trPr>
        <w:tc>
          <w:tcPr>
            <w:tcW w:w="4960" w:type="dxa"/>
            <w:vAlign w:val="bottom"/>
            <w:shd w:val="clear" w:color="auto" w:fill="C0C0C0"/>
          </w:tcPr>
          <w:p>
            <w:pPr>
              <w:spacing w:after="0" w:line="171" w:lineRule="exact"/>
              <w:rPr>
                <w:sz w:val="20"/>
                <w:szCs w:val="20"/>
                <w:color w:val="auto"/>
              </w:rPr>
            </w:pPr>
            <w:r>
              <w:rPr>
                <w:rFonts w:ascii="Arial" w:cs="Arial" w:eastAsia="Arial" w:hAnsi="Arial"/>
                <w:sz w:val="17"/>
                <w:szCs w:val="17"/>
                <w:b w:val="1"/>
                <w:bCs w:val="1"/>
                <w:color w:val="auto"/>
              </w:rPr>
              <w:t>1999 Quarters</w:t>
            </w:r>
          </w:p>
        </w:tc>
        <w:tc>
          <w:tcPr>
            <w:tcW w:w="82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700" w:type="dxa"/>
            <w:vAlign w:val="bottom"/>
            <w:gridSpan w:val="2"/>
            <w:shd w:val="clear" w:color="auto" w:fill="C0C0C0"/>
          </w:tcPr>
          <w:p>
            <w:pPr>
              <w:jc w:val="right"/>
              <w:ind w:right="360"/>
              <w:spacing w:after="0" w:line="171" w:lineRule="exact"/>
              <w:rPr>
                <w:sz w:val="20"/>
                <w:szCs w:val="20"/>
                <w:color w:val="auto"/>
              </w:rPr>
            </w:pPr>
            <w:r>
              <w:rPr>
                <w:rFonts w:ascii="Arial" w:cs="Arial" w:eastAsia="Arial" w:hAnsi="Arial"/>
                <w:sz w:val="17"/>
                <w:szCs w:val="17"/>
                <w:b w:val="1"/>
                <w:bCs w:val="1"/>
                <w:color w:val="auto"/>
                <w:w w:val="86"/>
              </w:rPr>
              <w:t>First</w:t>
            </w:r>
          </w:p>
        </w:tc>
        <w:tc>
          <w:tcPr>
            <w:tcW w:w="4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860" w:type="dxa"/>
            <w:vAlign w:val="bottom"/>
            <w:gridSpan w:val="2"/>
            <w:shd w:val="clear" w:color="auto" w:fill="C0C0C0"/>
          </w:tcPr>
          <w:p>
            <w:pPr>
              <w:spacing w:after="0" w:line="171" w:lineRule="exact"/>
              <w:rPr>
                <w:sz w:val="20"/>
                <w:szCs w:val="20"/>
                <w:color w:val="auto"/>
              </w:rPr>
            </w:pPr>
            <w:r>
              <w:rPr>
                <w:rFonts w:ascii="Arial" w:cs="Arial" w:eastAsia="Arial" w:hAnsi="Arial"/>
                <w:sz w:val="17"/>
                <w:szCs w:val="17"/>
                <w:b w:val="1"/>
                <w:bCs w:val="1"/>
                <w:color w:val="auto"/>
              </w:rPr>
              <w:t>Second</w:t>
            </w:r>
          </w:p>
        </w:tc>
        <w:tc>
          <w:tcPr>
            <w:tcW w:w="480" w:type="dxa"/>
            <w:vAlign w:val="bottom"/>
            <w:shd w:val="clear" w:color="auto" w:fill="C0C0C0"/>
          </w:tcPr>
          <w:p>
            <w:pPr>
              <w:spacing w:after="0"/>
              <w:rPr>
                <w:sz w:val="16"/>
                <w:szCs w:val="16"/>
                <w:color w:val="auto"/>
              </w:rPr>
            </w:pPr>
          </w:p>
        </w:tc>
        <w:tc>
          <w:tcPr>
            <w:tcW w:w="920" w:type="dxa"/>
            <w:vAlign w:val="bottom"/>
            <w:gridSpan w:val="3"/>
            <w:shd w:val="clear" w:color="auto" w:fill="C0C0C0"/>
          </w:tcPr>
          <w:p>
            <w:pPr>
              <w:jc w:val="right"/>
              <w:ind w:right="380"/>
              <w:spacing w:after="0" w:line="171" w:lineRule="exact"/>
              <w:rPr>
                <w:sz w:val="20"/>
                <w:szCs w:val="20"/>
                <w:color w:val="auto"/>
              </w:rPr>
            </w:pPr>
            <w:r>
              <w:rPr>
                <w:rFonts w:ascii="Arial" w:cs="Arial" w:eastAsia="Arial" w:hAnsi="Arial"/>
                <w:sz w:val="17"/>
                <w:szCs w:val="17"/>
                <w:b w:val="1"/>
                <w:bCs w:val="1"/>
                <w:color w:val="auto"/>
              </w:rPr>
              <w:t>Third</w:t>
            </w:r>
          </w:p>
        </w:tc>
        <w:tc>
          <w:tcPr>
            <w:tcW w:w="440" w:type="dxa"/>
            <w:vAlign w:val="bottom"/>
            <w:shd w:val="clear" w:color="auto" w:fill="C0C0C0"/>
          </w:tcPr>
          <w:p>
            <w:pPr>
              <w:spacing w:after="0"/>
              <w:rPr>
                <w:sz w:val="16"/>
                <w:szCs w:val="16"/>
                <w:color w:val="auto"/>
              </w:rPr>
            </w:pPr>
          </w:p>
        </w:tc>
        <w:tc>
          <w:tcPr>
            <w:tcW w:w="560" w:type="dxa"/>
            <w:vAlign w:val="bottom"/>
            <w:gridSpan w:val="2"/>
            <w:shd w:val="clear" w:color="auto" w:fill="C0C0C0"/>
          </w:tcPr>
          <w:p>
            <w:pPr>
              <w:jc w:val="right"/>
              <w:spacing w:after="0" w:line="171" w:lineRule="exact"/>
              <w:rPr>
                <w:sz w:val="20"/>
                <w:szCs w:val="20"/>
                <w:color w:val="auto"/>
              </w:rPr>
            </w:pPr>
            <w:r>
              <w:rPr>
                <w:rFonts w:ascii="Arial" w:cs="Arial" w:eastAsia="Arial" w:hAnsi="Arial"/>
                <w:sz w:val="17"/>
                <w:szCs w:val="17"/>
                <w:b w:val="1"/>
                <w:bCs w:val="1"/>
                <w:color w:val="auto"/>
              </w:rPr>
              <w:t>Fourth</w:t>
            </w:r>
          </w:p>
        </w:tc>
      </w:tr>
      <w:tr>
        <w:trPr>
          <w:trHeight w:val="417"/>
        </w:trPr>
        <w:tc>
          <w:tcPr>
            <w:tcW w:w="4960" w:type="dxa"/>
            <w:vAlign w:val="bottom"/>
            <w:tcBorders>
              <w:top w:val="single" w:sz="8" w:color="C0C0C0"/>
            </w:tcBorders>
          </w:tcPr>
          <w:p>
            <w:pPr>
              <w:spacing w:after="0"/>
              <w:rPr>
                <w:sz w:val="20"/>
                <w:szCs w:val="20"/>
                <w:color w:val="auto"/>
              </w:rPr>
            </w:pPr>
            <w:r>
              <w:rPr>
                <w:rFonts w:ascii="Arial" w:cs="Arial" w:eastAsia="Arial" w:hAnsi="Arial"/>
                <w:sz w:val="17"/>
                <w:szCs w:val="17"/>
                <w:color w:val="auto"/>
              </w:rPr>
              <w:t>Net Sales by Product Line</w:t>
            </w:r>
          </w:p>
        </w:tc>
        <w:tc>
          <w:tcPr>
            <w:tcW w:w="820" w:type="dxa"/>
            <w:vAlign w:val="bottom"/>
            <w:tcBorders>
              <w:top w:val="single" w:sz="8" w:color="C0C0C0"/>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60" w:type="dxa"/>
            <w:vAlign w:val="bottom"/>
            <w:tcBorders>
              <w:top w:val="single" w:sz="8" w:color="C0C0C0"/>
            </w:tcBorders>
          </w:tcPr>
          <w:p>
            <w:pPr>
              <w:spacing w:after="0"/>
              <w:rPr>
                <w:sz w:val="24"/>
                <w:szCs w:val="24"/>
                <w:color w:val="auto"/>
              </w:rPr>
            </w:pPr>
          </w:p>
        </w:tc>
        <w:tc>
          <w:tcPr>
            <w:tcW w:w="460" w:type="dxa"/>
            <w:vAlign w:val="bottom"/>
            <w:tcBorders>
              <w:top w:val="single" w:sz="8" w:color="C0C0C0"/>
            </w:tcBorders>
          </w:tcPr>
          <w:p>
            <w:pPr>
              <w:spacing w:after="0"/>
              <w:rPr>
                <w:sz w:val="24"/>
                <w:szCs w:val="24"/>
                <w:color w:val="auto"/>
              </w:rPr>
            </w:pPr>
          </w:p>
        </w:tc>
        <w:tc>
          <w:tcPr>
            <w:tcW w:w="40" w:type="dxa"/>
            <w:vAlign w:val="bottom"/>
            <w:tcBorders>
              <w:top w:val="single" w:sz="8" w:color="C0C0C0"/>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Borders>
              <w:top w:val="single" w:sz="8" w:color="C0C0C0"/>
            </w:tcBorders>
          </w:tcPr>
          <w:p>
            <w:pPr>
              <w:spacing w:after="0"/>
              <w:rPr>
                <w:sz w:val="24"/>
                <w:szCs w:val="24"/>
                <w:color w:val="auto"/>
              </w:rPr>
            </w:pPr>
          </w:p>
        </w:tc>
        <w:tc>
          <w:tcPr>
            <w:tcW w:w="48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C0C0C0"/>
            </w:tcBorders>
          </w:tcPr>
          <w:p>
            <w:pPr>
              <w:spacing w:after="0"/>
              <w:rPr>
                <w:sz w:val="24"/>
                <w:szCs w:val="24"/>
                <w:color w:val="auto"/>
              </w:rPr>
            </w:pPr>
          </w:p>
        </w:tc>
        <w:tc>
          <w:tcPr>
            <w:tcW w:w="440" w:type="dxa"/>
            <w:vAlign w:val="bottom"/>
            <w:tcBorders>
              <w:top w:val="single" w:sz="8" w:color="C0C0C0"/>
            </w:tcBorders>
          </w:tcPr>
          <w:p>
            <w:pPr>
              <w:spacing w:after="0"/>
              <w:rPr>
                <w:sz w:val="24"/>
                <w:szCs w:val="24"/>
                <w:color w:val="auto"/>
              </w:rPr>
            </w:pPr>
          </w:p>
        </w:tc>
        <w:tc>
          <w:tcPr>
            <w:tcW w:w="60" w:type="dxa"/>
            <w:vAlign w:val="bottom"/>
            <w:tcBorders>
              <w:top w:val="single" w:sz="8" w:color="C0C0C0"/>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7"/>
                <w:szCs w:val="17"/>
                <w:color w:val="auto"/>
              </w:rPr>
              <w:t>PCC</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91,238</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98,061</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97,957</w:t>
            </w: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104,646</w:t>
            </w:r>
          </w:p>
        </w:tc>
      </w:tr>
      <w:tr>
        <w:trPr>
          <w:trHeight w:val="179"/>
        </w:trPr>
        <w:tc>
          <w:tcPr>
            <w:tcW w:w="4960" w:type="dxa"/>
            <w:vAlign w:val="bottom"/>
          </w:tcPr>
          <w:p>
            <w:pPr>
              <w:ind w:left="140"/>
              <w:spacing w:after="0" w:line="179" w:lineRule="exact"/>
              <w:rPr>
                <w:sz w:val="20"/>
                <w:szCs w:val="20"/>
                <w:color w:val="auto"/>
              </w:rPr>
            </w:pPr>
            <w:r>
              <w:rPr>
                <w:rFonts w:ascii="Arial" w:cs="Arial" w:eastAsia="Arial" w:hAnsi="Arial"/>
                <w:sz w:val="17"/>
                <w:szCs w:val="17"/>
                <w:color w:val="auto"/>
              </w:rPr>
              <w:t>Processed Minerals</w:t>
            </w:r>
          </w:p>
        </w:tc>
        <w:tc>
          <w:tcPr>
            <w:tcW w:w="820" w:type="dxa"/>
            <w:vAlign w:val="bottom"/>
          </w:tcPr>
          <w:p>
            <w:pPr>
              <w:spacing w:after="0"/>
              <w:rPr>
                <w:sz w:val="15"/>
                <w:szCs w:val="15"/>
                <w:color w:val="auto"/>
              </w:rPr>
            </w:pPr>
          </w:p>
        </w:tc>
        <w:tc>
          <w:tcPr>
            <w:tcW w:w="540" w:type="dxa"/>
            <w:vAlign w:val="bottom"/>
            <w:gridSpan w:val="2"/>
          </w:tcPr>
          <w:p>
            <w:pPr>
              <w:jc w:val="right"/>
              <w:spacing w:after="0" w:line="179" w:lineRule="exact"/>
              <w:rPr>
                <w:sz w:val="20"/>
                <w:szCs w:val="20"/>
                <w:color w:val="auto"/>
              </w:rPr>
            </w:pPr>
            <w:r>
              <w:rPr>
                <w:rFonts w:ascii="Arial" w:cs="Arial" w:eastAsia="Arial" w:hAnsi="Arial"/>
                <w:sz w:val="17"/>
                <w:szCs w:val="17"/>
                <w:color w:val="auto"/>
                <w:w w:val="99"/>
              </w:rPr>
              <w:t>20,378</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gridSpan w:val="3"/>
          </w:tcPr>
          <w:p>
            <w:pPr>
              <w:jc w:val="right"/>
              <w:ind w:right="340"/>
              <w:spacing w:after="0" w:line="179" w:lineRule="exact"/>
              <w:rPr>
                <w:sz w:val="20"/>
                <w:szCs w:val="20"/>
                <w:color w:val="auto"/>
              </w:rPr>
            </w:pPr>
            <w:r>
              <w:rPr>
                <w:rFonts w:ascii="Arial" w:cs="Arial" w:eastAsia="Arial" w:hAnsi="Arial"/>
                <w:sz w:val="17"/>
                <w:szCs w:val="17"/>
                <w:color w:val="auto"/>
              </w:rPr>
              <w:t>22,911</w:t>
            </w:r>
          </w:p>
        </w:tc>
        <w:tc>
          <w:tcPr>
            <w:tcW w:w="480" w:type="dxa"/>
            <w:vAlign w:val="bottom"/>
          </w:tcPr>
          <w:p>
            <w:pPr>
              <w:spacing w:after="0"/>
              <w:rPr>
                <w:sz w:val="15"/>
                <w:szCs w:val="15"/>
                <w:color w:val="auto"/>
              </w:rPr>
            </w:pPr>
          </w:p>
        </w:tc>
        <w:tc>
          <w:tcPr>
            <w:tcW w:w="540" w:type="dxa"/>
            <w:vAlign w:val="bottom"/>
            <w:gridSpan w:val="2"/>
          </w:tcPr>
          <w:p>
            <w:pPr>
              <w:jc w:val="right"/>
              <w:spacing w:after="0" w:line="179" w:lineRule="exact"/>
              <w:rPr>
                <w:sz w:val="20"/>
                <w:szCs w:val="20"/>
                <w:color w:val="auto"/>
              </w:rPr>
            </w:pPr>
            <w:r>
              <w:rPr>
                <w:rFonts w:ascii="Arial" w:cs="Arial" w:eastAsia="Arial" w:hAnsi="Arial"/>
                <w:sz w:val="17"/>
                <w:szCs w:val="17"/>
                <w:color w:val="auto"/>
                <w:w w:val="99"/>
              </w:rPr>
              <w:t>21,643</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22,549</w:t>
            </w:r>
          </w:p>
        </w:tc>
      </w:tr>
      <w:tr>
        <w:trPr>
          <w:trHeight w:val="220"/>
        </w:trPr>
        <w:tc>
          <w:tcPr>
            <w:tcW w:w="4960" w:type="dxa"/>
            <w:vAlign w:val="bottom"/>
          </w:tcPr>
          <w:p>
            <w:pPr>
              <w:ind w:left="260"/>
              <w:spacing w:after="0"/>
              <w:rPr>
                <w:sz w:val="20"/>
                <w:szCs w:val="20"/>
                <w:color w:val="auto"/>
              </w:rPr>
            </w:pPr>
            <w:r>
              <w:rPr>
                <w:rFonts w:ascii="Arial" w:cs="Arial" w:eastAsia="Arial" w:hAnsi="Arial"/>
                <w:sz w:val="17"/>
                <w:szCs w:val="17"/>
                <w:color w:val="auto"/>
              </w:rPr>
              <w:t>Specialty Minerals Segment</w:t>
            </w:r>
          </w:p>
        </w:tc>
        <w:tc>
          <w:tcPr>
            <w:tcW w:w="82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4"/>
              </w:rPr>
              <w:t>111,616</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7"/>
              </w:rPr>
              <w:t>120,972</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4"/>
              </w:rPr>
              <w:t>119,600</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7"/>
              </w:rPr>
              <w:t>127,195</w:t>
            </w:r>
          </w:p>
        </w:tc>
      </w:tr>
      <w:tr>
        <w:trPr>
          <w:trHeight w:val="179"/>
        </w:trPr>
        <w:tc>
          <w:tcPr>
            <w:tcW w:w="4960" w:type="dxa"/>
            <w:vAlign w:val="bottom"/>
          </w:tcPr>
          <w:p>
            <w:pPr>
              <w:ind w:left="260"/>
              <w:spacing w:after="0" w:line="179" w:lineRule="exact"/>
              <w:rPr>
                <w:sz w:val="20"/>
                <w:szCs w:val="20"/>
                <w:color w:val="auto"/>
              </w:rPr>
            </w:pPr>
            <w:r>
              <w:rPr>
                <w:rFonts w:ascii="Arial" w:cs="Arial" w:eastAsia="Arial" w:hAnsi="Arial"/>
                <w:sz w:val="17"/>
                <w:szCs w:val="17"/>
                <w:color w:val="auto"/>
              </w:rPr>
              <w:t>Refractories Segment</w:t>
            </w:r>
          </w:p>
        </w:tc>
        <w:tc>
          <w:tcPr>
            <w:tcW w:w="82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99"/>
              </w:rPr>
              <w:t>42,491</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rPr>
              <w:t>44,266</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w w:val="99"/>
              </w:rPr>
              <w:t>46,298</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7"/>
                <w:szCs w:val="17"/>
                <w:color w:val="auto"/>
              </w:rPr>
              <w:t>50,037</w:t>
            </w:r>
          </w:p>
        </w:tc>
      </w:tr>
      <w:tr>
        <w:trPr>
          <w:trHeight w:val="430"/>
        </w:trPr>
        <w:tc>
          <w:tcPr>
            <w:tcW w:w="4960" w:type="dxa"/>
            <w:vAlign w:val="bottom"/>
          </w:tcPr>
          <w:p>
            <w:pPr>
              <w:spacing w:after="0"/>
              <w:rPr>
                <w:sz w:val="20"/>
                <w:szCs w:val="20"/>
                <w:color w:val="auto"/>
              </w:rPr>
            </w:pPr>
            <w:r>
              <w:rPr>
                <w:rFonts w:ascii="Arial" w:cs="Arial" w:eastAsia="Arial" w:hAnsi="Arial"/>
                <w:sz w:val="17"/>
                <w:szCs w:val="17"/>
                <w:color w:val="auto"/>
              </w:rPr>
              <w:t>Consolidated net sales</w:t>
            </w:r>
          </w:p>
        </w:tc>
        <w:tc>
          <w:tcPr>
            <w:tcW w:w="8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154,107</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165,238</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165,898</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177,232</w:t>
            </w:r>
          </w:p>
        </w:tc>
      </w:tr>
      <w:tr>
        <w:trPr>
          <w:trHeight w:val="210"/>
        </w:trPr>
        <w:tc>
          <w:tcPr>
            <w:tcW w:w="4960" w:type="dxa"/>
            <w:vAlign w:val="bottom"/>
          </w:tcPr>
          <w:p>
            <w:pPr>
              <w:spacing w:after="0"/>
              <w:rPr>
                <w:sz w:val="20"/>
                <w:szCs w:val="20"/>
                <w:color w:val="auto"/>
              </w:rPr>
            </w:pPr>
            <w:r>
              <w:rPr>
                <w:rFonts w:ascii="Arial" w:cs="Arial" w:eastAsia="Arial" w:hAnsi="Arial"/>
                <w:sz w:val="17"/>
                <w:szCs w:val="17"/>
                <w:color w:val="auto"/>
              </w:rPr>
              <w:t>Gross profit</w:t>
            </w: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44,680</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49,063</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48,826</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53,204</w:t>
            </w:r>
          </w:p>
        </w:tc>
      </w:tr>
      <w:tr>
        <w:trPr>
          <w:trHeight w:val="210"/>
        </w:trPr>
        <w:tc>
          <w:tcPr>
            <w:tcW w:w="4960" w:type="dxa"/>
            <w:vAlign w:val="bottom"/>
          </w:tcPr>
          <w:p>
            <w:pPr>
              <w:spacing w:after="0"/>
              <w:rPr>
                <w:sz w:val="20"/>
                <w:szCs w:val="20"/>
                <w:color w:val="auto"/>
              </w:rPr>
            </w:pPr>
            <w:r>
              <w:rPr>
                <w:rFonts w:ascii="Arial" w:cs="Arial" w:eastAsia="Arial" w:hAnsi="Arial"/>
                <w:sz w:val="17"/>
                <w:szCs w:val="17"/>
                <w:color w:val="auto"/>
              </w:rPr>
              <w:t>Net income</w:t>
            </w: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13,731</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15,722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9"/>
              </w:rPr>
              <w:t>15,908</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16,755</w:t>
            </w: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rPr>
              <w:t>Earnings per share: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7"/>
                <w:szCs w:val="17"/>
                <w:color w:val="auto"/>
              </w:rPr>
              <w:t>Basic</w:t>
            </w:r>
          </w:p>
        </w:tc>
        <w:tc>
          <w:tcPr>
            <w:tcW w:w="8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0.63</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0.73</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0.75</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0.80</w:t>
            </w:r>
          </w:p>
        </w:tc>
      </w:tr>
      <w:tr>
        <w:trPr>
          <w:trHeight w:val="210"/>
        </w:trPr>
        <w:tc>
          <w:tcPr>
            <w:tcW w:w="4960" w:type="dxa"/>
            <w:vAlign w:val="bottom"/>
          </w:tcPr>
          <w:p>
            <w:pPr>
              <w:ind w:left="220"/>
              <w:spacing w:after="0"/>
              <w:rPr>
                <w:sz w:val="20"/>
                <w:szCs w:val="20"/>
                <w:color w:val="auto"/>
              </w:rPr>
            </w:pPr>
            <w:r>
              <w:rPr>
                <w:rFonts w:ascii="Arial" w:cs="Arial" w:eastAsia="Arial" w:hAnsi="Arial"/>
                <w:sz w:val="17"/>
                <w:szCs w:val="17"/>
                <w:color w:val="auto"/>
              </w:rPr>
              <w:t>Diluted</w:t>
            </w: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0.62</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0.70</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0.71</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0.78</w:t>
            </w: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rPr>
              <w:t>Market Price Range Per Share of Common Stock:</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69"/>
        </w:trPr>
        <w:tc>
          <w:tcPr>
            <w:tcW w:w="4960" w:type="dxa"/>
            <w:vAlign w:val="bottom"/>
          </w:tcPr>
          <w:p>
            <w:pPr>
              <w:ind w:left="220"/>
              <w:spacing w:after="0"/>
              <w:rPr>
                <w:sz w:val="20"/>
                <w:szCs w:val="20"/>
                <w:color w:val="auto"/>
              </w:rPr>
            </w:pPr>
            <w:r>
              <w:rPr>
                <w:rFonts w:ascii="Arial" w:cs="Arial" w:eastAsia="Arial" w:hAnsi="Arial"/>
                <w:sz w:val="17"/>
                <w:szCs w:val="17"/>
                <w:color w:val="auto"/>
              </w:rPr>
              <w:t>High</w:t>
            </w:r>
          </w:p>
        </w:tc>
        <w:tc>
          <w:tcPr>
            <w:tcW w:w="820" w:type="dxa"/>
            <w:vAlign w:val="bottom"/>
          </w:tcPr>
          <w:p>
            <w:pPr>
              <w:spacing w:after="0"/>
              <w:rPr>
                <w:sz w:val="23"/>
                <w:szCs w:val="23"/>
                <w:color w:val="auto"/>
              </w:rPr>
            </w:pPr>
          </w:p>
        </w:tc>
        <w:tc>
          <w:tcPr>
            <w:tcW w:w="540" w:type="dxa"/>
            <w:vAlign w:val="bottom"/>
            <w:gridSpan w:val="2"/>
          </w:tcPr>
          <w:p>
            <w:pPr>
              <w:jc w:val="right"/>
              <w:spacing w:after="0" w:line="268" w:lineRule="exact"/>
              <w:rPr>
                <w:sz w:val="20"/>
                <w:szCs w:val="20"/>
                <w:color w:val="auto"/>
              </w:rPr>
            </w:pPr>
            <w:r>
              <w:rPr>
                <w:rFonts w:ascii="Arial" w:cs="Arial" w:eastAsia="Arial" w:hAnsi="Arial"/>
                <w:sz w:val="31"/>
                <w:szCs w:val="31"/>
                <w:color w:val="auto"/>
                <w:vertAlign w:val="subscript"/>
              </w:rPr>
              <w:t>49</w:t>
            </w:r>
            <w:r>
              <w:rPr>
                <w:rFonts w:ascii="Arial" w:cs="Arial" w:eastAsia="Arial" w:hAnsi="Arial"/>
                <w:sz w:val="13"/>
                <w:szCs w:val="13"/>
                <w:color w:val="auto"/>
              </w:rPr>
              <w:t>1/16</w:t>
            </w: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3"/>
          </w:tcPr>
          <w:p>
            <w:pPr>
              <w:jc w:val="right"/>
              <w:ind w:right="340"/>
              <w:spacing w:after="0" w:line="268" w:lineRule="exact"/>
              <w:rPr>
                <w:sz w:val="20"/>
                <w:szCs w:val="20"/>
                <w:color w:val="auto"/>
              </w:rPr>
            </w:pPr>
            <w:r>
              <w:rPr>
                <w:rFonts w:ascii="Arial" w:cs="Arial" w:eastAsia="Arial" w:hAnsi="Arial"/>
                <w:sz w:val="31"/>
                <w:szCs w:val="31"/>
                <w:color w:val="auto"/>
                <w:vertAlign w:val="subscript"/>
              </w:rPr>
              <w:t>56</w:t>
            </w:r>
            <w:r>
              <w:rPr>
                <w:rFonts w:ascii="Arial" w:cs="Arial" w:eastAsia="Arial" w:hAnsi="Arial"/>
                <w:sz w:val="13"/>
                <w:szCs w:val="13"/>
                <w:color w:val="auto"/>
              </w:rPr>
              <w:t xml:space="preserve"> 1/2</w:t>
            </w:r>
          </w:p>
        </w:tc>
        <w:tc>
          <w:tcPr>
            <w:tcW w:w="480" w:type="dxa"/>
            <w:vAlign w:val="bottom"/>
          </w:tcPr>
          <w:p>
            <w:pPr>
              <w:spacing w:after="0"/>
              <w:rPr>
                <w:sz w:val="23"/>
                <w:szCs w:val="23"/>
                <w:color w:val="auto"/>
              </w:rPr>
            </w:pPr>
          </w:p>
        </w:tc>
        <w:tc>
          <w:tcPr>
            <w:tcW w:w="920" w:type="dxa"/>
            <w:vAlign w:val="bottom"/>
            <w:gridSpan w:val="3"/>
          </w:tcPr>
          <w:p>
            <w:pPr>
              <w:jc w:val="right"/>
              <w:ind w:right="380"/>
              <w:spacing w:after="0" w:line="268" w:lineRule="exact"/>
              <w:rPr>
                <w:sz w:val="20"/>
                <w:szCs w:val="20"/>
                <w:color w:val="auto"/>
              </w:rPr>
            </w:pPr>
            <w:r>
              <w:rPr>
                <w:rFonts w:ascii="Arial" w:cs="Arial" w:eastAsia="Arial" w:hAnsi="Arial"/>
                <w:sz w:val="31"/>
                <w:szCs w:val="31"/>
                <w:color w:val="auto"/>
                <w:w w:val="93"/>
                <w:vertAlign w:val="subscript"/>
              </w:rPr>
              <w:t>56</w:t>
            </w:r>
            <w:r>
              <w:rPr>
                <w:rFonts w:ascii="Arial" w:cs="Arial" w:eastAsia="Arial" w:hAnsi="Arial"/>
                <w:sz w:val="13"/>
                <w:szCs w:val="13"/>
                <w:color w:val="auto"/>
                <w:w w:val="93"/>
              </w:rPr>
              <w:t>13/16</w:t>
            </w:r>
          </w:p>
        </w:tc>
        <w:tc>
          <w:tcPr>
            <w:tcW w:w="440" w:type="dxa"/>
            <w:vAlign w:val="bottom"/>
          </w:tcPr>
          <w:p>
            <w:pPr>
              <w:spacing w:after="0"/>
              <w:rPr>
                <w:sz w:val="23"/>
                <w:szCs w:val="23"/>
                <w:color w:val="auto"/>
              </w:rPr>
            </w:pPr>
          </w:p>
        </w:tc>
        <w:tc>
          <w:tcPr>
            <w:tcW w:w="560" w:type="dxa"/>
            <w:vAlign w:val="bottom"/>
            <w:gridSpan w:val="2"/>
          </w:tcPr>
          <w:p>
            <w:pPr>
              <w:jc w:val="right"/>
              <w:spacing w:after="0" w:line="268" w:lineRule="exact"/>
              <w:rPr>
                <w:sz w:val="20"/>
                <w:szCs w:val="20"/>
                <w:color w:val="auto"/>
              </w:rPr>
            </w:pPr>
            <w:r>
              <w:rPr>
                <w:rFonts w:ascii="Arial" w:cs="Arial" w:eastAsia="Arial" w:hAnsi="Arial"/>
                <w:sz w:val="31"/>
                <w:szCs w:val="31"/>
                <w:color w:val="auto"/>
                <w:vertAlign w:val="subscript"/>
              </w:rPr>
              <w:t>50</w:t>
            </w:r>
            <w:r>
              <w:rPr>
                <w:rFonts w:ascii="Arial" w:cs="Arial" w:eastAsia="Arial" w:hAnsi="Arial"/>
                <w:sz w:val="13"/>
                <w:szCs w:val="13"/>
                <w:color w:val="auto"/>
              </w:rPr>
              <w:t>9/16</w:t>
            </w:r>
          </w:p>
        </w:tc>
      </w:tr>
      <w:tr>
        <w:trPr>
          <w:trHeight w:val="249"/>
        </w:trPr>
        <w:tc>
          <w:tcPr>
            <w:tcW w:w="4960" w:type="dxa"/>
            <w:vAlign w:val="bottom"/>
          </w:tcPr>
          <w:p>
            <w:pPr>
              <w:ind w:left="220"/>
              <w:spacing w:after="0"/>
              <w:rPr>
                <w:sz w:val="20"/>
                <w:szCs w:val="20"/>
                <w:color w:val="auto"/>
              </w:rPr>
            </w:pPr>
            <w:r>
              <w:rPr>
                <w:rFonts w:ascii="Arial" w:cs="Arial" w:eastAsia="Arial" w:hAnsi="Arial"/>
                <w:sz w:val="17"/>
                <w:szCs w:val="17"/>
                <w:color w:val="auto"/>
              </w:rPr>
              <w:t>Low</w:t>
            </w:r>
          </w:p>
        </w:tc>
        <w:tc>
          <w:tcPr>
            <w:tcW w:w="820" w:type="dxa"/>
            <w:vAlign w:val="bottom"/>
          </w:tcPr>
          <w:p>
            <w:pPr>
              <w:spacing w:after="0"/>
              <w:rPr>
                <w:sz w:val="21"/>
                <w:szCs w:val="21"/>
                <w:color w:val="auto"/>
              </w:rPr>
            </w:pPr>
          </w:p>
        </w:tc>
        <w:tc>
          <w:tcPr>
            <w:tcW w:w="900" w:type="dxa"/>
            <w:vAlign w:val="bottom"/>
            <w:gridSpan w:val="3"/>
          </w:tcPr>
          <w:p>
            <w:pPr>
              <w:jc w:val="right"/>
              <w:ind w:right="360"/>
              <w:spacing w:after="0" w:line="249" w:lineRule="exact"/>
              <w:rPr>
                <w:sz w:val="20"/>
                <w:szCs w:val="20"/>
                <w:color w:val="auto"/>
              </w:rPr>
            </w:pPr>
            <w:r>
              <w:rPr>
                <w:rFonts w:ascii="Arial" w:cs="Arial" w:eastAsia="Arial" w:hAnsi="Arial"/>
                <w:sz w:val="28"/>
                <w:szCs w:val="28"/>
                <w:color w:val="auto"/>
                <w:vertAlign w:val="subscript"/>
              </w:rPr>
              <w:t>38</w:t>
            </w:r>
            <w:r>
              <w:rPr>
                <w:rFonts w:ascii="Arial" w:cs="Arial" w:eastAsia="Arial" w:hAnsi="Arial"/>
                <w:sz w:val="13"/>
                <w:szCs w:val="13"/>
                <w:color w:val="auto"/>
              </w:rPr>
              <w:t xml:space="preserve"> 1/2</w:t>
            </w:r>
          </w:p>
        </w:tc>
        <w:tc>
          <w:tcPr>
            <w:tcW w:w="460" w:type="dxa"/>
            <w:vAlign w:val="bottom"/>
          </w:tcPr>
          <w:p>
            <w:pPr>
              <w:spacing w:after="0"/>
              <w:rPr>
                <w:sz w:val="21"/>
                <w:szCs w:val="21"/>
                <w:color w:val="auto"/>
              </w:rPr>
            </w:pPr>
          </w:p>
        </w:tc>
        <w:tc>
          <w:tcPr>
            <w:tcW w:w="560" w:type="dxa"/>
            <w:vAlign w:val="bottom"/>
            <w:gridSpan w:val="2"/>
          </w:tcPr>
          <w:p>
            <w:pPr>
              <w:jc w:val="right"/>
              <w:ind w:right="95"/>
              <w:spacing w:after="0"/>
              <w:rPr>
                <w:sz w:val="20"/>
                <w:szCs w:val="20"/>
                <w:color w:val="auto"/>
              </w:rPr>
            </w:pPr>
            <w:r>
              <w:rPr>
                <w:rFonts w:ascii="Arial" w:cs="Arial" w:eastAsia="Arial" w:hAnsi="Arial"/>
                <w:sz w:val="17"/>
                <w:szCs w:val="17"/>
                <w:color w:val="auto"/>
              </w:rPr>
              <w:t>46</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3"/>
          </w:tcPr>
          <w:p>
            <w:pPr>
              <w:jc w:val="right"/>
              <w:ind w:right="380"/>
              <w:spacing w:after="0" w:line="249" w:lineRule="exact"/>
              <w:rPr>
                <w:sz w:val="20"/>
                <w:szCs w:val="20"/>
                <w:color w:val="auto"/>
              </w:rPr>
            </w:pPr>
            <w:r>
              <w:rPr>
                <w:rFonts w:ascii="Arial" w:cs="Arial" w:eastAsia="Arial" w:hAnsi="Arial"/>
                <w:sz w:val="28"/>
                <w:szCs w:val="28"/>
                <w:color w:val="auto"/>
                <w:w w:val="97"/>
                <w:vertAlign w:val="subscript"/>
              </w:rPr>
              <w:t>43</w:t>
            </w:r>
            <w:r>
              <w:rPr>
                <w:rFonts w:ascii="Arial" w:cs="Arial" w:eastAsia="Arial" w:hAnsi="Arial"/>
                <w:sz w:val="13"/>
                <w:szCs w:val="13"/>
                <w:color w:val="auto"/>
                <w:w w:val="97"/>
              </w:rPr>
              <w:t>13/16</w:t>
            </w:r>
          </w:p>
        </w:tc>
        <w:tc>
          <w:tcPr>
            <w:tcW w:w="44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r>
      <w:tr>
        <w:trPr>
          <w:trHeight w:val="443"/>
        </w:trPr>
        <w:tc>
          <w:tcPr>
            <w:tcW w:w="4960" w:type="dxa"/>
            <w:vAlign w:val="bottom"/>
          </w:tcPr>
          <w:p>
            <w:pPr>
              <w:ind w:left="220"/>
              <w:spacing w:after="0"/>
              <w:rPr>
                <w:sz w:val="20"/>
                <w:szCs w:val="20"/>
                <w:color w:val="auto"/>
              </w:rPr>
            </w:pPr>
            <w:r>
              <w:rPr>
                <w:rFonts w:ascii="Arial" w:cs="Arial" w:eastAsia="Arial" w:hAnsi="Arial"/>
                <w:sz w:val="17"/>
                <w:szCs w:val="17"/>
                <w:color w:val="auto"/>
              </w:rPr>
              <w:t>Close</w:t>
            </w:r>
          </w:p>
        </w:tc>
        <w:tc>
          <w:tcPr>
            <w:tcW w:w="820" w:type="dxa"/>
            <w:vAlign w:val="bottom"/>
          </w:tcPr>
          <w:p>
            <w:pPr>
              <w:spacing w:after="0"/>
              <w:rPr>
                <w:sz w:val="24"/>
                <w:szCs w:val="2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34"/>
                <w:szCs w:val="34"/>
                <w:color w:val="auto"/>
                <w:vertAlign w:val="subscript"/>
              </w:rPr>
              <w:t>47</w:t>
            </w:r>
            <w:r>
              <w:rPr>
                <w:rFonts w:ascii="Arial" w:cs="Arial" w:eastAsia="Arial" w:hAnsi="Arial"/>
                <w:sz w:val="14"/>
                <w:szCs w:val="14"/>
                <w:color w:val="auto"/>
              </w:rPr>
              <w:t xml:space="preserve"> 3/8</w:t>
            </w:r>
          </w:p>
        </w:tc>
        <w:tc>
          <w:tcPr>
            <w:tcW w:w="460" w:type="dxa"/>
            <w:vAlign w:val="bottom"/>
          </w:tcPr>
          <w:p>
            <w:pPr>
              <w:spacing w:after="0"/>
              <w:rPr>
                <w:sz w:val="24"/>
                <w:szCs w:val="2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34"/>
                <w:szCs w:val="34"/>
                <w:color w:val="auto"/>
                <w:vertAlign w:val="subscript"/>
              </w:rPr>
              <w:t>56</w:t>
            </w:r>
            <w:r>
              <w:rPr>
                <w:rFonts w:ascii="Arial" w:cs="Arial" w:eastAsia="Arial" w:hAnsi="Arial"/>
                <w:sz w:val="14"/>
                <w:szCs w:val="14"/>
                <w:color w:val="auto"/>
              </w:rPr>
              <w:t>1/16</w:t>
            </w:r>
          </w:p>
        </w:tc>
        <w:tc>
          <w:tcPr>
            <w:tcW w:w="48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34"/>
                <w:szCs w:val="34"/>
                <w:color w:val="auto"/>
                <w:w w:val="86"/>
                <w:vertAlign w:val="subscript"/>
              </w:rPr>
              <w:t>43</w:t>
            </w:r>
            <w:r>
              <w:rPr>
                <w:rFonts w:ascii="Arial" w:cs="Arial" w:eastAsia="Arial" w:hAnsi="Arial"/>
                <w:sz w:val="14"/>
                <w:szCs w:val="14"/>
                <w:color w:val="auto"/>
                <w:w w:val="86"/>
              </w:rPr>
              <w:t>13/16</w:t>
            </w:r>
          </w:p>
        </w:tc>
        <w:tc>
          <w:tcPr>
            <w:tcW w:w="4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34"/>
                <w:szCs w:val="34"/>
                <w:color w:val="auto"/>
                <w:vertAlign w:val="subscript"/>
              </w:rPr>
              <w:t>40</w:t>
            </w:r>
            <w:r>
              <w:rPr>
                <w:rFonts w:ascii="Arial" w:cs="Arial" w:eastAsia="Arial" w:hAnsi="Arial"/>
                <w:sz w:val="14"/>
                <w:szCs w:val="14"/>
                <w:color w:val="auto"/>
              </w:rPr>
              <w:t>1/16</w:t>
            </w:r>
          </w:p>
        </w:tc>
      </w:tr>
      <w:tr>
        <w:trPr>
          <w:trHeight w:val="231"/>
        </w:trPr>
        <w:tc>
          <w:tcPr>
            <w:tcW w:w="4960" w:type="dxa"/>
            <w:vAlign w:val="bottom"/>
          </w:tcPr>
          <w:p>
            <w:pPr>
              <w:spacing w:after="0"/>
              <w:rPr>
                <w:sz w:val="20"/>
                <w:szCs w:val="20"/>
                <w:color w:val="auto"/>
              </w:rPr>
            </w:pPr>
            <w:r>
              <w:rPr>
                <w:rFonts w:ascii="Arial" w:cs="Arial" w:eastAsia="Arial" w:hAnsi="Arial"/>
                <w:sz w:val="17"/>
                <w:szCs w:val="17"/>
                <w:color w:val="auto"/>
              </w:rPr>
              <w:t>Dividends paid per common share</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0.025</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0.025</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0.025</w:t>
            </w: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0.025</w:t>
            </w:r>
          </w:p>
        </w:tc>
      </w:tr>
    </w:tbl>
    <w:p>
      <w:pPr>
        <w:sectPr>
          <w:pgSz w:w="11900" w:h="16838" w:orient="portrait"/>
          <w:cols w:equalWidth="0" w:num="1">
            <w:col w:w="10440"/>
          </w:cols>
          <w:pgMar w:left="240" w:top="104" w:right="1219" w:bottom="593" w:gutter="0" w:footer="0" w:header="0"/>
        </w:sectPr>
      </w:pPr>
    </w:p>
    <w:bookmarkStart w:id="37" w:name="page38"/>
    <w:bookmarkEnd w:id="37"/>
    <w:p>
      <w:pPr>
        <w:jc w:val="center"/>
        <w:ind w:right="-5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1556385</wp:posOffset>
            </wp:positionV>
            <wp:extent cx="72758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Independent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9264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2645" cy="2476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Board of Directors and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Minerals Technologies Inc.:</w:t>
      </w:r>
    </w:p>
    <w:p>
      <w:pPr>
        <w:spacing w:after="0" w:line="184" w:lineRule="exact"/>
        <w:rPr>
          <w:sz w:val="20"/>
          <w:szCs w:val="20"/>
          <w:color w:val="auto"/>
        </w:rPr>
      </w:pPr>
    </w:p>
    <w:p>
      <w:pPr>
        <w:ind w:right="80" w:firstLine="422"/>
        <w:spacing w:after="0" w:line="265" w:lineRule="auto"/>
        <w:rPr>
          <w:sz w:val="20"/>
          <w:szCs w:val="20"/>
          <w:color w:val="auto"/>
        </w:rPr>
      </w:pPr>
      <w:r>
        <w:rPr>
          <w:rFonts w:ascii="Arial" w:cs="Arial" w:eastAsia="Arial" w:hAnsi="Arial"/>
          <w:sz w:val="17"/>
          <w:szCs w:val="17"/>
          <w:color w:val="auto"/>
        </w:rPr>
        <w:t>We have audited the accompanying consolidated balance sheet of Minerals Technologies Inc. and subsidiary companies as of December 31, 2000 and 1999 and the related consolidated statements of income, shareholders' equity and cash flows for each of the years in the three-year period ended December 31, 2000. These consolidated financial statements are the responsibility of the Company's management. Our responsibility is to express an opinion on these consolidated financial statements based on our audits.</w:t>
      </w:r>
    </w:p>
    <w:p>
      <w:pPr>
        <w:spacing w:after="0" w:line="145" w:lineRule="exact"/>
        <w:rPr>
          <w:sz w:val="20"/>
          <w:szCs w:val="20"/>
          <w:color w:val="auto"/>
        </w:rPr>
      </w:pPr>
    </w:p>
    <w:p>
      <w:pPr>
        <w:ind w:firstLine="422"/>
        <w:spacing w:after="0" w:line="263"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47" w:lineRule="exact"/>
        <w:rPr>
          <w:sz w:val="20"/>
          <w:szCs w:val="20"/>
          <w:color w:val="auto"/>
        </w:rPr>
      </w:pPr>
    </w:p>
    <w:p>
      <w:pPr>
        <w:ind w:right="20" w:firstLine="426"/>
        <w:spacing w:after="0" w:line="26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Minerals Technologies Inc. and subsidiary companies as of December 31, 2000 and 1999 and the results of their operations and their cash flows for each of the years in the three-year period ended December 31, 2000 in conformity with accounting principles generally accepted in the United States of America.</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KPMG LLP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January 18,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Management's Responsibility for Financial Statements and System of Internal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9234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24765"/>
                    </a:xfrm>
                    <a:prstGeom prst="rect">
                      <a:avLst/>
                    </a:prstGeom>
                    <a:noFill/>
                  </pic:spPr>
                </pic:pic>
              </a:graphicData>
            </a:graphic>
          </wp:anchor>
        </w:drawing>
      </w:r>
    </w:p>
    <w:p>
      <w:pPr>
        <w:spacing w:after="0" w:line="203" w:lineRule="exact"/>
        <w:rPr>
          <w:sz w:val="20"/>
          <w:szCs w:val="20"/>
          <w:color w:val="auto"/>
        </w:rPr>
      </w:pPr>
    </w:p>
    <w:p>
      <w:pPr>
        <w:ind w:right="20" w:firstLine="422"/>
        <w:spacing w:after="0" w:line="269" w:lineRule="auto"/>
        <w:rPr>
          <w:sz w:val="20"/>
          <w:szCs w:val="20"/>
          <w:color w:val="auto"/>
        </w:rPr>
      </w:pPr>
      <w:r>
        <w:rPr>
          <w:rFonts w:ascii="Arial" w:cs="Arial" w:eastAsia="Arial" w:hAnsi="Arial"/>
          <w:sz w:val="17"/>
          <w:szCs w:val="17"/>
          <w:color w:val="auto"/>
        </w:rPr>
        <w:t>The consolidated financial statements and all related financial information herein are the responsibility of the Company's management. The financial statements, which include amounts based on judgments, have been prepared in accordance with accounting principles generally accepted in the United States of America. Other financial information in the annual report is consistent with that in the financial statements.</w:t>
      </w:r>
    </w:p>
    <w:p>
      <w:pPr>
        <w:spacing w:after="0" w:line="141" w:lineRule="exact"/>
        <w:rPr>
          <w:sz w:val="20"/>
          <w:szCs w:val="20"/>
          <w:color w:val="auto"/>
        </w:rPr>
      </w:pPr>
    </w:p>
    <w:p>
      <w:pPr>
        <w:ind w:firstLine="422"/>
        <w:spacing w:after="0" w:line="283" w:lineRule="auto"/>
        <w:rPr>
          <w:sz w:val="20"/>
          <w:szCs w:val="20"/>
          <w:color w:val="auto"/>
        </w:rPr>
      </w:pPr>
      <w:r>
        <w:rPr>
          <w:rFonts w:ascii="Arial" w:cs="Arial" w:eastAsia="Arial" w:hAnsi="Arial"/>
          <w:sz w:val="16"/>
          <w:szCs w:val="16"/>
          <w:color w:val="auto"/>
        </w:rPr>
        <w:t>The Company maintains a system of internal control over financial reporting, which it believes provides reasonable assurance that transactions are executed in accordance with management's authorization and are properly recorded, that assets are safeguarded, and that accountability for assets is maintained. Even an effective internal control system, no matter how well designed, has inherent limitations and, therefore, can provide only reasonable assurance with respect to financial statement preparation. The system of internal control is characterized by a control-oriented environment within the Company, which includes written policies and procedures, careful selection and training of personnel, and audits by a professional staff of internal auditors.</w:t>
      </w:r>
    </w:p>
    <w:p>
      <w:pPr>
        <w:spacing w:after="0" w:line="133" w:lineRule="exact"/>
        <w:rPr>
          <w:sz w:val="20"/>
          <w:szCs w:val="20"/>
          <w:color w:val="auto"/>
        </w:rPr>
      </w:pPr>
    </w:p>
    <w:p>
      <w:pPr>
        <w:ind w:right="580" w:firstLine="422"/>
        <w:spacing w:after="0" w:line="282" w:lineRule="auto"/>
        <w:rPr>
          <w:sz w:val="20"/>
          <w:szCs w:val="20"/>
          <w:color w:val="auto"/>
        </w:rPr>
      </w:pPr>
      <w:r>
        <w:rPr>
          <w:rFonts w:ascii="Arial" w:cs="Arial" w:eastAsia="Arial" w:hAnsi="Arial"/>
          <w:sz w:val="17"/>
          <w:szCs w:val="17"/>
          <w:color w:val="auto"/>
        </w:rPr>
        <w:t>The Company's independent accountants have audited and reported on the Company's consolidated financial statements. Their audits were performed in accordance with auditing standards generally accepted in the United States of America.</w:t>
      </w:r>
    </w:p>
    <w:p>
      <w:pPr>
        <w:sectPr>
          <w:pgSz w:w="11900" w:h="16838" w:orient="portrait"/>
          <w:cols w:equalWidth="0" w:num="1">
            <w:col w:w="11380"/>
          </w:cols>
          <w:pgMar w:left="240" w:top="131" w:right="279" w:bottom="0" w:gutter="0" w:footer="0" w:header="0"/>
        </w:sectPr>
      </w:pPr>
    </w:p>
    <w:bookmarkStart w:id="38" w:name="page39"/>
    <w:bookmarkEnd w:id="38"/>
    <w:p>
      <w:pPr>
        <w:spacing w:after="0" w:line="25" w:lineRule="exact"/>
        <w:rPr>
          <w:sz w:val="20"/>
          <w:szCs w:val="20"/>
          <w:color w:val="auto"/>
        </w:rPr>
      </w:pPr>
    </w:p>
    <w:p>
      <w:pPr>
        <w:jc w:val="both"/>
        <w:ind w:firstLine="422"/>
        <w:spacing w:after="0" w:line="265" w:lineRule="auto"/>
        <w:rPr>
          <w:sz w:val="20"/>
          <w:szCs w:val="20"/>
          <w:color w:val="auto"/>
        </w:rPr>
      </w:pPr>
      <w:r>
        <w:rPr>
          <w:rFonts w:ascii="Arial" w:cs="Arial" w:eastAsia="Arial" w:hAnsi="Arial"/>
          <w:sz w:val="17"/>
          <w:szCs w:val="17"/>
          <w:color w:val="auto"/>
        </w:rPr>
        <w:t>The Audit Committee of the Board of Directors is composed solely of outside directors. The Audit Committee meets periodically with our independent auditors, internal auditors and management to review accounting, auditing, internal control and financial reporting matters. Recommendations made by the independent auditors and the Company's internal auditors are considered and appropriate action is taken with respect to these recommendations. Both our independent auditors and internal auditors have free access to the Audit Committee.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Paul R. Saueracker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Neil M. Bardach</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A. Cipolla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Controller and Chief Accounting Officer</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January 18, 2001</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2758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MINERALS TECHNOLOGIES INC. &amp; SUBSIDIARY COMPANIES</w:t>
      </w:r>
    </w:p>
    <w:p>
      <w:pPr>
        <w:spacing w:after="0" w:line="24"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SCHEDULE II-VALUATION AND QUALIFYING ACCOUNTS</w:t>
      </w:r>
    </w:p>
    <w:p>
      <w:pPr>
        <w:spacing w:after="0" w:line="14"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(thousands of dollars)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c>
          <w:tcPr>
            <w:tcW w:w="2560" w:type="dxa"/>
            <w:vAlign w:val="bottom"/>
            <w:shd w:val="clear" w:color="auto" w:fill="C0C0C0"/>
          </w:tcPr>
          <w:p>
            <w:pPr>
              <w:spacing w:after="0"/>
              <w:rPr>
                <w:sz w:val="16"/>
                <w:szCs w:val="16"/>
                <w:color w:val="auto"/>
              </w:rPr>
            </w:pPr>
          </w:p>
        </w:tc>
        <w:tc>
          <w:tcPr>
            <w:tcW w:w="1480" w:type="dxa"/>
            <w:vAlign w:val="bottom"/>
            <w:shd w:val="clear" w:color="auto" w:fill="C0C0C0"/>
          </w:tcPr>
          <w:p>
            <w:pPr>
              <w:spacing w:after="0"/>
              <w:rPr>
                <w:sz w:val="16"/>
                <w:szCs w:val="16"/>
                <w:color w:val="auto"/>
              </w:rPr>
            </w:pPr>
          </w:p>
        </w:tc>
        <w:tc>
          <w:tcPr>
            <w:tcW w:w="680" w:type="dxa"/>
            <w:vAlign w:val="bottom"/>
            <w:shd w:val="clear" w:color="auto" w:fill="C0C0C0"/>
          </w:tcPr>
          <w:p>
            <w:pPr>
              <w:spacing w:after="0"/>
              <w:rPr>
                <w:sz w:val="16"/>
                <w:szCs w:val="16"/>
                <w:color w:val="auto"/>
              </w:rPr>
            </w:pPr>
          </w:p>
        </w:tc>
        <w:tc>
          <w:tcPr>
            <w:tcW w:w="400" w:type="dxa"/>
            <w:vAlign w:val="bottom"/>
            <w:shd w:val="clear" w:color="auto" w:fill="C0C0C0"/>
          </w:tcPr>
          <w:p>
            <w:pPr>
              <w:spacing w:after="0"/>
              <w:rPr>
                <w:sz w:val="16"/>
                <w:szCs w:val="16"/>
                <w:color w:val="auto"/>
              </w:rPr>
            </w:pPr>
          </w:p>
        </w:tc>
        <w:tc>
          <w:tcPr>
            <w:tcW w:w="2220" w:type="dxa"/>
            <w:vAlign w:val="bottom"/>
            <w:gridSpan w:val="3"/>
            <w:shd w:val="clear" w:color="auto" w:fill="C0C0C0"/>
          </w:tcPr>
          <w:p>
            <w:pPr>
              <w:jc w:val="center"/>
              <w:ind w:right="200"/>
              <w:spacing w:after="0"/>
              <w:rPr>
                <w:sz w:val="20"/>
                <w:szCs w:val="20"/>
                <w:color w:val="auto"/>
              </w:rPr>
            </w:pPr>
            <w:r>
              <w:rPr>
                <w:rFonts w:ascii="Arial" w:cs="Arial" w:eastAsia="Arial" w:hAnsi="Arial"/>
                <w:sz w:val="17"/>
                <w:szCs w:val="17"/>
                <w:b w:val="1"/>
                <w:bCs w:val="1"/>
                <w:color w:val="auto"/>
                <w:w w:val="89"/>
              </w:rPr>
              <w:t>Additions</w:t>
            </w:r>
          </w:p>
        </w:tc>
        <w:tc>
          <w:tcPr>
            <w:tcW w:w="12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34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400" w:type="dxa"/>
            <w:vAlign w:val="bottom"/>
            <w:shd w:val="clear" w:color="auto" w:fill="C0C0C0"/>
          </w:tcPr>
          <w:p>
            <w:pPr>
              <w:spacing w:after="0"/>
              <w:rPr>
                <w:sz w:val="16"/>
                <w:szCs w:val="16"/>
                <w:color w:val="auto"/>
              </w:rPr>
            </w:pPr>
          </w:p>
        </w:tc>
      </w:tr>
      <w:tr>
        <w:trPr>
          <w:trHeight w:val="210"/>
        </w:trPr>
        <w:tc>
          <w:tcPr>
            <w:tcW w:w="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2560" w:type="dxa"/>
            <w:vAlign w:val="bottom"/>
            <w:shd w:val="clear" w:color="auto" w:fill="C0C0C0"/>
          </w:tcPr>
          <w:p>
            <w:pPr>
              <w:spacing w:after="0"/>
              <w:rPr>
                <w:sz w:val="18"/>
                <w:szCs w:val="18"/>
                <w:color w:val="auto"/>
              </w:rPr>
            </w:pPr>
          </w:p>
        </w:tc>
        <w:tc>
          <w:tcPr>
            <w:tcW w:w="2560" w:type="dxa"/>
            <w:vAlign w:val="bottom"/>
            <w:gridSpan w:val="3"/>
            <w:shd w:val="clear" w:color="auto" w:fill="C0C0C0"/>
          </w:tcPr>
          <w:p>
            <w:pPr>
              <w:jc w:val="center"/>
              <w:ind w:left="995"/>
              <w:spacing w:after="0"/>
              <w:rPr>
                <w:sz w:val="20"/>
                <w:szCs w:val="20"/>
                <w:color w:val="auto"/>
              </w:rPr>
            </w:pPr>
            <w:r>
              <w:rPr>
                <w:rFonts w:ascii="Arial" w:cs="Arial" w:eastAsia="Arial" w:hAnsi="Arial"/>
                <w:sz w:val="17"/>
                <w:szCs w:val="17"/>
                <w:b w:val="1"/>
                <w:bCs w:val="1"/>
                <w:color w:val="auto"/>
                <w:w w:val="89"/>
              </w:rPr>
              <w:t>Balance at</w:t>
            </w:r>
          </w:p>
        </w:tc>
        <w:tc>
          <w:tcPr>
            <w:tcW w:w="2220" w:type="dxa"/>
            <w:vAlign w:val="bottom"/>
            <w:gridSpan w:val="3"/>
            <w:shd w:val="clear" w:color="auto" w:fill="C0C0C0"/>
          </w:tcPr>
          <w:p>
            <w:pPr>
              <w:jc w:val="center"/>
              <w:ind w:right="200"/>
              <w:spacing w:after="0"/>
              <w:rPr>
                <w:sz w:val="20"/>
                <w:szCs w:val="20"/>
                <w:color w:val="auto"/>
              </w:rPr>
            </w:pPr>
            <w:r>
              <w:rPr>
                <w:rFonts w:ascii="Arial" w:cs="Arial" w:eastAsia="Arial" w:hAnsi="Arial"/>
                <w:sz w:val="17"/>
                <w:szCs w:val="17"/>
                <w:b w:val="1"/>
                <w:bCs w:val="1"/>
                <w:color w:val="auto"/>
                <w:w w:val="88"/>
              </w:rPr>
              <w:t>Charged to Costs,</w:t>
            </w:r>
          </w:p>
        </w:tc>
        <w:tc>
          <w:tcPr>
            <w:tcW w:w="126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240" w:type="dxa"/>
            <w:vAlign w:val="bottom"/>
            <w:gridSpan w:val="3"/>
            <w:shd w:val="clear" w:color="auto" w:fill="C0C0C0"/>
          </w:tcPr>
          <w:p>
            <w:pPr>
              <w:jc w:val="center"/>
              <w:ind w:right="40"/>
              <w:spacing w:after="0"/>
              <w:rPr>
                <w:sz w:val="20"/>
                <w:szCs w:val="20"/>
                <w:color w:val="auto"/>
              </w:rPr>
            </w:pPr>
            <w:r>
              <w:rPr>
                <w:rFonts w:ascii="Arial" w:cs="Arial" w:eastAsia="Arial" w:hAnsi="Arial"/>
                <w:sz w:val="17"/>
                <w:szCs w:val="17"/>
                <w:b w:val="1"/>
                <w:bCs w:val="1"/>
                <w:color w:val="auto"/>
                <w:w w:val="89"/>
              </w:rPr>
              <w:t>Balance at</w:t>
            </w:r>
          </w:p>
        </w:tc>
      </w:tr>
      <w:tr>
        <w:trPr>
          <w:trHeight w:val="209"/>
        </w:trPr>
        <w:tc>
          <w:tcPr>
            <w:tcW w:w="40" w:type="dxa"/>
            <w:vAlign w:val="bottom"/>
            <w:shd w:val="clear" w:color="auto" w:fill="C0C0C0"/>
          </w:tcPr>
          <w:p>
            <w:pPr>
              <w:spacing w:after="0"/>
              <w:rPr>
                <w:sz w:val="18"/>
                <w:szCs w:val="18"/>
                <w:color w:val="auto"/>
              </w:rPr>
            </w:pPr>
          </w:p>
        </w:tc>
        <w:tc>
          <w:tcPr>
            <w:tcW w:w="3400" w:type="dxa"/>
            <w:vAlign w:val="bottom"/>
            <w:gridSpan w:val="2"/>
            <w:shd w:val="clear" w:color="auto" w:fill="C0C0C0"/>
          </w:tcPr>
          <w:p>
            <w:pPr>
              <w:spacing w:after="0"/>
              <w:rPr>
                <w:sz w:val="20"/>
                <w:szCs w:val="20"/>
                <w:color w:val="auto"/>
              </w:rPr>
            </w:pPr>
            <w:r>
              <w:rPr>
                <w:rFonts w:ascii="Arial" w:cs="Arial" w:eastAsia="Arial" w:hAnsi="Arial"/>
                <w:sz w:val="17"/>
                <w:szCs w:val="17"/>
                <w:b w:val="1"/>
                <w:bCs w:val="1"/>
                <w:color w:val="auto"/>
              </w:rPr>
              <w:t>Description</w:t>
            </w:r>
          </w:p>
        </w:tc>
        <w:tc>
          <w:tcPr>
            <w:tcW w:w="2560" w:type="dxa"/>
            <w:vAlign w:val="bottom"/>
            <w:gridSpan w:val="3"/>
            <w:shd w:val="clear" w:color="auto" w:fill="C0C0C0"/>
          </w:tcPr>
          <w:p>
            <w:pPr>
              <w:jc w:val="center"/>
              <w:ind w:left="1015"/>
              <w:spacing w:after="0"/>
              <w:rPr>
                <w:sz w:val="20"/>
                <w:szCs w:val="20"/>
                <w:color w:val="auto"/>
              </w:rPr>
            </w:pPr>
            <w:r>
              <w:rPr>
                <w:rFonts w:ascii="Arial" w:cs="Arial" w:eastAsia="Arial" w:hAnsi="Arial"/>
                <w:sz w:val="17"/>
                <w:szCs w:val="17"/>
                <w:b w:val="1"/>
                <w:bCs w:val="1"/>
                <w:color w:val="auto"/>
                <w:w w:val="88"/>
              </w:rPr>
              <w:t>Beginning</w:t>
            </w:r>
          </w:p>
        </w:tc>
        <w:tc>
          <w:tcPr>
            <w:tcW w:w="2220" w:type="dxa"/>
            <w:vAlign w:val="bottom"/>
            <w:gridSpan w:val="3"/>
            <w:shd w:val="clear" w:color="auto" w:fill="C0C0C0"/>
          </w:tcPr>
          <w:p>
            <w:pPr>
              <w:jc w:val="center"/>
              <w:ind w:right="200"/>
              <w:spacing w:after="0"/>
              <w:rPr>
                <w:sz w:val="20"/>
                <w:szCs w:val="20"/>
                <w:color w:val="auto"/>
              </w:rPr>
            </w:pPr>
            <w:r>
              <w:rPr>
                <w:rFonts w:ascii="Arial" w:cs="Arial" w:eastAsia="Arial" w:hAnsi="Arial"/>
                <w:sz w:val="17"/>
                <w:szCs w:val="17"/>
                <w:b w:val="1"/>
                <w:bCs w:val="1"/>
                <w:color w:val="auto"/>
                <w:w w:val="86"/>
              </w:rPr>
              <w:t>Provisions and</w:t>
            </w:r>
          </w:p>
        </w:tc>
        <w:tc>
          <w:tcPr>
            <w:tcW w:w="126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240" w:type="dxa"/>
            <w:vAlign w:val="bottom"/>
            <w:gridSpan w:val="3"/>
            <w:shd w:val="clear" w:color="auto" w:fill="C0C0C0"/>
          </w:tcPr>
          <w:p>
            <w:pPr>
              <w:jc w:val="center"/>
              <w:ind w:right="60"/>
              <w:spacing w:after="0"/>
              <w:rPr>
                <w:sz w:val="20"/>
                <w:szCs w:val="20"/>
                <w:color w:val="auto"/>
              </w:rPr>
            </w:pPr>
            <w:r>
              <w:rPr>
                <w:rFonts w:ascii="Arial" w:cs="Arial" w:eastAsia="Arial" w:hAnsi="Arial"/>
                <w:sz w:val="17"/>
                <w:szCs w:val="17"/>
                <w:b w:val="1"/>
                <w:bCs w:val="1"/>
                <w:color w:val="auto"/>
                <w:w w:val="94"/>
              </w:rPr>
              <w:t>End of</w:t>
            </w:r>
          </w:p>
        </w:tc>
      </w:tr>
      <w:tr>
        <w:trPr>
          <w:trHeight w:val="183"/>
        </w:trPr>
        <w:tc>
          <w:tcPr>
            <w:tcW w:w="40" w:type="dxa"/>
            <w:vAlign w:val="bottom"/>
            <w:tcBorders>
              <w:top w:val="single" w:sz="8" w:color="C0C0C0"/>
            </w:tcBorders>
            <w:shd w:val="clear" w:color="auto" w:fill="C0C0C0"/>
          </w:tcPr>
          <w:p>
            <w:pPr>
              <w:spacing w:after="0"/>
              <w:rPr>
                <w:sz w:val="15"/>
                <w:szCs w:val="15"/>
                <w:color w:val="auto"/>
              </w:rPr>
            </w:pPr>
          </w:p>
        </w:tc>
        <w:tc>
          <w:tcPr>
            <w:tcW w:w="840" w:type="dxa"/>
            <w:vAlign w:val="bottom"/>
            <w:tcBorders>
              <w:top w:val="single" w:sz="8" w:color="auto"/>
            </w:tcBorders>
            <w:shd w:val="clear" w:color="auto" w:fill="C0C0C0"/>
          </w:tcPr>
          <w:p>
            <w:pPr>
              <w:spacing w:after="0"/>
              <w:rPr>
                <w:sz w:val="15"/>
                <w:szCs w:val="15"/>
                <w:color w:val="auto"/>
              </w:rPr>
            </w:pPr>
          </w:p>
        </w:tc>
        <w:tc>
          <w:tcPr>
            <w:tcW w:w="2560" w:type="dxa"/>
            <w:vAlign w:val="bottom"/>
            <w:tcBorders>
              <w:top w:val="single" w:sz="8" w:color="C0C0C0"/>
            </w:tcBorders>
            <w:shd w:val="clear" w:color="auto" w:fill="C0C0C0"/>
          </w:tcPr>
          <w:p>
            <w:pPr>
              <w:spacing w:after="0"/>
              <w:rPr>
                <w:sz w:val="15"/>
                <w:szCs w:val="15"/>
                <w:color w:val="auto"/>
              </w:rPr>
            </w:pPr>
          </w:p>
        </w:tc>
        <w:tc>
          <w:tcPr>
            <w:tcW w:w="1480" w:type="dxa"/>
            <w:vAlign w:val="bottom"/>
            <w:tcBorders>
              <w:top w:val="single" w:sz="8" w:color="C0C0C0"/>
            </w:tcBorders>
            <w:shd w:val="clear" w:color="auto" w:fill="C0C0C0"/>
          </w:tcPr>
          <w:p>
            <w:pPr>
              <w:spacing w:after="0"/>
              <w:rPr>
                <w:sz w:val="15"/>
                <w:szCs w:val="15"/>
                <w:color w:val="auto"/>
              </w:rPr>
            </w:pPr>
          </w:p>
        </w:tc>
        <w:tc>
          <w:tcPr>
            <w:tcW w:w="1080" w:type="dxa"/>
            <w:vAlign w:val="bottom"/>
            <w:tcBorders>
              <w:top w:val="single" w:sz="8" w:color="C0C0C0"/>
            </w:tcBorders>
            <w:gridSpan w:val="2"/>
            <w:shd w:val="clear" w:color="auto" w:fill="C0C0C0"/>
          </w:tcPr>
          <w:p>
            <w:pPr>
              <w:jc w:val="center"/>
              <w:ind w:right="400"/>
              <w:spacing w:after="0" w:line="163" w:lineRule="exact"/>
              <w:rPr>
                <w:sz w:val="20"/>
                <w:szCs w:val="20"/>
                <w:color w:val="auto"/>
              </w:rPr>
            </w:pPr>
            <w:r>
              <w:rPr>
                <w:rFonts w:ascii="Arial" w:cs="Arial" w:eastAsia="Arial" w:hAnsi="Arial"/>
                <w:sz w:val="17"/>
                <w:szCs w:val="17"/>
                <w:b w:val="1"/>
                <w:bCs w:val="1"/>
                <w:color w:val="auto"/>
                <w:w w:val="92"/>
              </w:rPr>
              <w:t>of Period</w:t>
            </w:r>
          </w:p>
        </w:tc>
        <w:tc>
          <w:tcPr>
            <w:tcW w:w="2220" w:type="dxa"/>
            <w:vAlign w:val="bottom"/>
            <w:tcBorders>
              <w:top w:val="single" w:sz="8" w:color="C0C0C0"/>
            </w:tcBorders>
            <w:gridSpan w:val="3"/>
            <w:shd w:val="clear" w:color="auto" w:fill="C0C0C0"/>
          </w:tcPr>
          <w:p>
            <w:pPr>
              <w:jc w:val="center"/>
              <w:ind w:right="200"/>
              <w:spacing w:after="0" w:line="163" w:lineRule="exact"/>
              <w:rPr>
                <w:sz w:val="20"/>
                <w:szCs w:val="20"/>
                <w:color w:val="auto"/>
              </w:rPr>
            </w:pPr>
            <w:r>
              <w:rPr>
                <w:rFonts w:ascii="Arial" w:cs="Arial" w:eastAsia="Arial" w:hAnsi="Arial"/>
                <w:sz w:val="17"/>
                <w:szCs w:val="17"/>
                <w:b w:val="1"/>
                <w:bCs w:val="1"/>
                <w:color w:val="auto"/>
                <w:w w:val="83"/>
              </w:rPr>
              <w:t>Expenses</w:t>
            </w:r>
          </w:p>
        </w:tc>
        <w:tc>
          <w:tcPr>
            <w:tcW w:w="1460" w:type="dxa"/>
            <w:vAlign w:val="bottom"/>
            <w:tcBorders>
              <w:top w:val="single" w:sz="8" w:color="C0C0C0"/>
            </w:tcBorders>
            <w:gridSpan w:val="2"/>
            <w:shd w:val="clear" w:color="auto" w:fill="C0C0C0"/>
          </w:tcPr>
          <w:p>
            <w:pPr>
              <w:spacing w:after="0" w:line="163" w:lineRule="exact"/>
              <w:rPr>
                <w:sz w:val="20"/>
                <w:szCs w:val="20"/>
                <w:color w:val="auto"/>
              </w:rPr>
            </w:pPr>
            <w:r>
              <w:rPr>
                <w:rFonts w:ascii="Arial" w:cs="Arial" w:eastAsia="Arial" w:hAnsi="Arial"/>
                <w:sz w:val="17"/>
                <w:szCs w:val="17"/>
                <w:b w:val="1"/>
                <w:bCs w:val="1"/>
                <w:color w:val="auto"/>
              </w:rPr>
              <w:t>Deductions (a)(b)</w:t>
            </w:r>
          </w:p>
        </w:tc>
        <w:tc>
          <w:tcPr>
            <w:tcW w:w="1240" w:type="dxa"/>
            <w:vAlign w:val="bottom"/>
            <w:tcBorders>
              <w:top w:val="single" w:sz="8" w:color="C0C0C0"/>
            </w:tcBorders>
            <w:gridSpan w:val="3"/>
            <w:shd w:val="clear" w:color="auto" w:fill="C0C0C0"/>
          </w:tcPr>
          <w:p>
            <w:pPr>
              <w:jc w:val="center"/>
              <w:ind w:right="60"/>
              <w:spacing w:after="0" w:line="163" w:lineRule="exact"/>
              <w:rPr>
                <w:sz w:val="20"/>
                <w:szCs w:val="20"/>
                <w:color w:val="auto"/>
              </w:rPr>
            </w:pPr>
            <w:r>
              <w:rPr>
                <w:rFonts w:ascii="Arial" w:cs="Arial" w:eastAsia="Arial" w:hAnsi="Arial"/>
                <w:sz w:val="17"/>
                <w:szCs w:val="17"/>
                <w:b w:val="1"/>
                <w:bCs w:val="1"/>
                <w:color w:val="auto"/>
                <w:w w:val="94"/>
              </w:rPr>
              <w:t>Period</w:t>
            </w:r>
          </w:p>
        </w:tc>
      </w:tr>
      <w:tr>
        <w:trPr>
          <w:trHeight w:val="550"/>
        </w:trPr>
        <w:tc>
          <w:tcPr>
            <w:tcW w:w="40" w:type="dxa"/>
            <w:vAlign w:val="bottom"/>
            <w:tcBorders>
              <w:top w:val="single" w:sz="8" w:color="C0C0C0"/>
            </w:tcBorders>
          </w:tcPr>
          <w:p>
            <w:pPr>
              <w:spacing w:after="0"/>
              <w:rPr>
                <w:sz w:val="24"/>
                <w:szCs w:val="24"/>
                <w:color w:val="auto"/>
              </w:rPr>
            </w:pPr>
          </w:p>
        </w:tc>
        <w:tc>
          <w:tcPr>
            <w:tcW w:w="840" w:type="dxa"/>
            <w:vAlign w:val="bottom"/>
            <w:tcBorders>
              <w:top w:val="single" w:sz="8" w:color="C0C0C0"/>
            </w:tcBorders>
          </w:tcPr>
          <w:p>
            <w:pPr>
              <w:spacing w:after="0"/>
              <w:rPr>
                <w:sz w:val="24"/>
                <w:szCs w:val="24"/>
                <w:color w:val="auto"/>
              </w:rPr>
            </w:pPr>
          </w:p>
        </w:tc>
        <w:tc>
          <w:tcPr>
            <w:tcW w:w="2560" w:type="dxa"/>
            <w:vAlign w:val="bottom"/>
            <w:tcBorders>
              <w:top w:val="single" w:sz="8" w:color="C0C0C0"/>
            </w:tcBorders>
          </w:tcPr>
          <w:p>
            <w:pPr>
              <w:spacing w:after="0"/>
              <w:rPr>
                <w:sz w:val="24"/>
                <w:szCs w:val="24"/>
                <w:color w:val="auto"/>
              </w:rPr>
            </w:pPr>
          </w:p>
        </w:tc>
        <w:tc>
          <w:tcPr>
            <w:tcW w:w="1480" w:type="dxa"/>
            <w:vAlign w:val="bottom"/>
            <w:tcBorders>
              <w:top w:val="single" w:sz="8" w:color="C0C0C0"/>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80" w:type="dxa"/>
            <w:vAlign w:val="bottom"/>
            <w:tcBorders>
              <w:top w:val="single" w:sz="8" w:color="C0C0C0"/>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340" w:type="dxa"/>
            <w:vAlign w:val="bottom"/>
            <w:tcBorders>
              <w:top w:val="single" w:sz="8" w:color="C0C0C0"/>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Borders>
              <w:top w:val="single" w:sz="8" w:color="C0C0C0"/>
            </w:tcBorders>
          </w:tcPr>
          <w:p>
            <w:pPr>
              <w:spacing w:after="0"/>
              <w:rPr>
                <w:sz w:val="24"/>
                <w:szCs w:val="24"/>
                <w:color w:val="auto"/>
              </w:rPr>
            </w:pPr>
          </w:p>
        </w:tc>
      </w:tr>
      <w:tr>
        <w:trPr>
          <w:trHeight w:val="255"/>
        </w:trPr>
        <w:tc>
          <w:tcPr>
            <w:tcW w:w="3440" w:type="dxa"/>
            <w:vAlign w:val="bottom"/>
            <w:tcBorders>
              <w:bottom w:val="single" w:sz="8" w:color="C0C0C0"/>
            </w:tcBorders>
            <w:gridSpan w:val="3"/>
            <w:shd w:val="clear" w:color="auto" w:fill="C0C0C0"/>
          </w:tcPr>
          <w:p>
            <w:pPr>
              <w:spacing w:after="0"/>
              <w:rPr>
                <w:sz w:val="20"/>
                <w:szCs w:val="20"/>
                <w:color w:val="auto"/>
              </w:rPr>
            </w:pPr>
            <w:r>
              <w:rPr>
                <w:rFonts w:ascii="Arial" w:cs="Arial" w:eastAsia="Arial" w:hAnsi="Arial"/>
                <w:sz w:val="17"/>
                <w:szCs w:val="17"/>
                <w:b w:val="1"/>
                <w:bCs w:val="1"/>
                <w:color w:val="auto"/>
              </w:rPr>
              <w:t>Year ended December 31, 2000</w:t>
            </w:r>
          </w:p>
        </w:tc>
        <w:tc>
          <w:tcPr>
            <w:tcW w:w="148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shd w:val="clear" w:color="auto" w:fill="C0C0C0"/>
          </w:tcPr>
          <w:p>
            <w:pPr>
              <w:spacing w:after="0"/>
              <w:rPr>
                <w:sz w:val="22"/>
                <w:szCs w:val="22"/>
                <w:color w:val="auto"/>
              </w:rPr>
            </w:pPr>
          </w:p>
        </w:tc>
        <w:tc>
          <w:tcPr>
            <w:tcW w:w="880" w:type="dxa"/>
            <w:vAlign w:val="bottom"/>
            <w:tcBorders>
              <w:bottom w:val="single" w:sz="8" w:color="C0C0C0"/>
            </w:tcBorders>
            <w:shd w:val="clear" w:color="auto" w:fill="C0C0C0"/>
          </w:tcPr>
          <w:p>
            <w:pPr>
              <w:spacing w:after="0"/>
              <w:rPr>
                <w:sz w:val="22"/>
                <w:szCs w:val="22"/>
                <w:color w:val="auto"/>
              </w:rPr>
            </w:pPr>
          </w:p>
        </w:tc>
        <w:tc>
          <w:tcPr>
            <w:tcW w:w="1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r>
      <w:tr>
        <w:trPr>
          <w:trHeight w:val="201"/>
        </w:trPr>
        <w:tc>
          <w:tcPr>
            <w:tcW w:w="3440" w:type="dxa"/>
            <w:vAlign w:val="bottom"/>
            <w:gridSpan w:val="3"/>
          </w:tcPr>
          <w:p>
            <w:pPr>
              <w:spacing w:after="0"/>
              <w:rPr>
                <w:sz w:val="20"/>
                <w:szCs w:val="20"/>
                <w:color w:val="auto"/>
              </w:rPr>
            </w:pPr>
            <w:r>
              <w:rPr>
                <w:rFonts w:ascii="Arial" w:cs="Arial" w:eastAsia="Arial" w:hAnsi="Arial"/>
                <w:sz w:val="17"/>
                <w:szCs w:val="17"/>
                <w:color w:val="auto"/>
              </w:rPr>
              <w:t>Valuation and qualifying accounts</w:t>
            </w: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Arial" w:cs="Arial" w:eastAsia="Arial" w:hAnsi="Arial"/>
                <w:sz w:val="17"/>
                <w:szCs w:val="17"/>
                <w:color w:val="auto"/>
              </w:rPr>
              <w:t>deducted from assets to which they apply:</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13"/>
        </w:trPr>
        <w:tc>
          <w:tcPr>
            <w:tcW w:w="3440" w:type="dxa"/>
            <w:vAlign w:val="bottom"/>
            <w:gridSpan w:val="3"/>
          </w:tcPr>
          <w:p>
            <w:pPr>
              <w:spacing w:after="0"/>
              <w:rPr>
                <w:sz w:val="20"/>
                <w:szCs w:val="20"/>
                <w:color w:val="auto"/>
              </w:rPr>
            </w:pPr>
            <w:r>
              <w:rPr>
                <w:rFonts w:ascii="Arial" w:cs="Arial" w:eastAsia="Arial" w:hAnsi="Arial"/>
                <w:sz w:val="17"/>
                <w:szCs w:val="17"/>
                <w:color w:val="auto"/>
              </w:rPr>
              <w:t>Allowance for doubtful accounts</w:t>
            </w:r>
          </w:p>
        </w:tc>
        <w:tc>
          <w:tcPr>
            <w:tcW w:w="2160" w:type="dxa"/>
            <w:vAlign w:val="bottom"/>
            <w:gridSpan w:val="2"/>
          </w:tcPr>
          <w:p>
            <w:pPr>
              <w:jc w:val="center"/>
              <w:ind w:left="1395"/>
              <w:spacing w:after="0"/>
              <w:rPr>
                <w:sz w:val="20"/>
                <w:szCs w:val="20"/>
                <w:color w:val="auto"/>
              </w:rPr>
            </w:pPr>
            <w:r>
              <w:rPr>
                <w:rFonts w:ascii="Arial" w:cs="Arial" w:eastAsia="Arial" w:hAnsi="Arial"/>
                <w:sz w:val="17"/>
                <w:szCs w:val="17"/>
                <w:color w:val="auto"/>
                <w:w w:val="92"/>
              </w:rPr>
              <w:t>$3,100</w:t>
            </w:r>
          </w:p>
        </w:tc>
        <w:tc>
          <w:tcPr>
            <w:tcW w:w="400" w:type="dxa"/>
            <w:vAlign w:val="bottom"/>
          </w:tcPr>
          <w:p>
            <w:pPr>
              <w:spacing w:after="0"/>
              <w:rPr>
                <w:sz w:val="24"/>
                <w:szCs w:val="24"/>
                <w:color w:val="auto"/>
              </w:rPr>
            </w:pPr>
          </w:p>
        </w:tc>
        <w:tc>
          <w:tcPr>
            <w:tcW w:w="1340" w:type="dxa"/>
            <w:vAlign w:val="bottom"/>
            <w:gridSpan w:val="2"/>
          </w:tcPr>
          <w:p>
            <w:pPr>
              <w:jc w:val="center"/>
              <w:ind w:left="595"/>
              <w:spacing w:after="0"/>
              <w:rPr>
                <w:sz w:val="20"/>
                <w:szCs w:val="20"/>
                <w:color w:val="auto"/>
              </w:rPr>
            </w:pPr>
            <w:r>
              <w:rPr>
                <w:rFonts w:ascii="Arial" w:cs="Arial" w:eastAsia="Arial" w:hAnsi="Arial"/>
                <w:sz w:val="17"/>
                <w:szCs w:val="17"/>
                <w:color w:val="auto"/>
                <w:w w:val="88"/>
              </w:rPr>
              <w:t>$5,964</w:t>
            </w:r>
          </w:p>
        </w:tc>
        <w:tc>
          <w:tcPr>
            <w:tcW w:w="8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2"/>
              </w:rPr>
              <w:t>$6,166</w:t>
            </w:r>
          </w:p>
        </w:tc>
        <w:tc>
          <w:tcPr>
            <w:tcW w:w="200" w:type="dxa"/>
            <w:vAlign w:val="bottom"/>
          </w:tcPr>
          <w:p>
            <w:pPr>
              <w:spacing w:after="0"/>
              <w:rPr>
                <w:sz w:val="24"/>
                <w:szCs w:val="24"/>
                <w:color w:val="auto"/>
              </w:rPr>
            </w:pPr>
          </w:p>
        </w:tc>
        <w:tc>
          <w:tcPr>
            <w:tcW w:w="840" w:type="dxa"/>
            <w:vAlign w:val="bottom"/>
            <w:gridSpan w:val="2"/>
          </w:tcPr>
          <w:p>
            <w:pPr>
              <w:jc w:val="center"/>
              <w:ind w:left="255"/>
              <w:spacing w:after="0"/>
              <w:rPr>
                <w:sz w:val="20"/>
                <w:szCs w:val="20"/>
                <w:color w:val="auto"/>
              </w:rPr>
            </w:pPr>
            <w:r>
              <w:rPr>
                <w:rFonts w:ascii="Arial" w:cs="Arial" w:eastAsia="Arial" w:hAnsi="Arial"/>
                <w:sz w:val="17"/>
                <w:szCs w:val="17"/>
                <w:color w:val="auto"/>
                <w:w w:val="88"/>
              </w:rPr>
              <w:t>$2,898</w:t>
            </w:r>
          </w:p>
        </w:tc>
        <w:tc>
          <w:tcPr>
            <w:tcW w:w="4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60" w:type="dxa"/>
            <w:vAlign w:val="bottom"/>
            <w:gridSpan w:val="2"/>
          </w:tcPr>
          <w:p>
            <w:pPr>
              <w:jc w:val="center"/>
              <w:ind w:left="1415"/>
              <w:spacing w:after="0"/>
              <w:rPr>
                <w:sz w:val="20"/>
                <w:szCs w:val="20"/>
                <w:color w:val="auto"/>
              </w:rPr>
            </w:pPr>
            <w:r>
              <w:rPr>
                <w:rFonts w:ascii="Arial" w:cs="Arial" w:eastAsia="Arial" w:hAnsi="Arial"/>
                <w:sz w:val="17"/>
                <w:szCs w:val="17"/>
                <w:color w:val="auto"/>
                <w:w w:val="95"/>
              </w:rPr>
              <w:t>====</w:t>
            </w:r>
          </w:p>
        </w:tc>
        <w:tc>
          <w:tcPr>
            <w:tcW w:w="400" w:type="dxa"/>
            <w:vAlign w:val="bottom"/>
          </w:tcPr>
          <w:p>
            <w:pPr>
              <w:spacing w:after="0"/>
              <w:rPr>
                <w:sz w:val="18"/>
                <w:szCs w:val="18"/>
                <w:color w:val="auto"/>
              </w:rPr>
            </w:pPr>
          </w:p>
        </w:tc>
        <w:tc>
          <w:tcPr>
            <w:tcW w:w="1340" w:type="dxa"/>
            <w:vAlign w:val="bottom"/>
            <w:gridSpan w:val="2"/>
          </w:tcPr>
          <w:p>
            <w:pPr>
              <w:jc w:val="center"/>
              <w:ind w:left="595"/>
              <w:spacing w:after="0"/>
              <w:rPr>
                <w:sz w:val="20"/>
                <w:szCs w:val="20"/>
                <w:color w:val="auto"/>
              </w:rPr>
            </w:pPr>
            <w:r>
              <w:rPr>
                <w:rFonts w:ascii="Arial" w:cs="Arial" w:eastAsia="Arial" w:hAnsi="Arial"/>
                <w:sz w:val="17"/>
                <w:szCs w:val="17"/>
                <w:color w:val="auto"/>
                <w:w w:val="95"/>
              </w:rPr>
              <w:t>====</w:t>
            </w:r>
          </w:p>
        </w:tc>
        <w:tc>
          <w:tcPr>
            <w:tcW w:w="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w:t>
            </w:r>
          </w:p>
        </w:tc>
        <w:tc>
          <w:tcPr>
            <w:tcW w:w="200" w:type="dxa"/>
            <w:vAlign w:val="bottom"/>
          </w:tcPr>
          <w:p>
            <w:pPr>
              <w:spacing w:after="0"/>
              <w:rPr>
                <w:sz w:val="18"/>
                <w:szCs w:val="18"/>
                <w:color w:val="auto"/>
              </w:rPr>
            </w:pPr>
          </w:p>
        </w:tc>
        <w:tc>
          <w:tcPr>
            <w:tcW w:w="840" w:type="dxa"/>
            <w:vAlign w:val="bottom"/>
            <w:gridSpan w:val="2"/>
          </w:tcPr>
          <w:p>
            <w:pPr>
              <w:jc w:val="center"/>
              <w:ind w:left="255"/>
              <w:spacing w:after="0"/>
              <w:rPr>
                <w:sz w:val="20"/>
                <w:szCs w:val="20"/>
                <w:color w:val="auto"/>
              </w:rPr>
            </w:pPr>
            <w:r>
              <w:rPr>
                <w:rFonts w:ascii="Arial" w:cs="Arial" w:eastAsia="Arial" w:hAnsi="Arial"/>
                <w:sz w:val="17"/>
                <w:szCs w:val="17"/>
                <w:color w:val="auto"/>
                <w:w w:val="95"/>
              </w:rPr>
              <w:t>====</w:t>
            </w:r>
          </w:p>
        </w:tc>
        <w:tc>
          <w:tcPr>
            <w:tcW w:w="400" w:type="dxa"/>
            <w:vAlign w:val="bottom"/>
          </w:tcPr>
          <w:p>
            <w:pPr>
              <w:spacing w:after="0"/>
              <w:rPr>
                <w:sz w:val="18"/>
                <w:szCs w:val="18"/>
                <w:color w:val="auto"/>
              </w:rPr>
            </w:pPr>
          </w:p>
        </w:tc>
      </w:tr>
      <w:tr>
        <w:trPr>
          <w:trHeight w:val="277"/>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5"/>
        </w:trPr>
        <w:tc>
          <w:tcPr>
            <w:tcW w:w="3440" w:type="dxa"/>
            <w:vAlign w:val="bottom"/>
            <w:tcBorders>
              <w:bottom w:val="single" w:sz="8" w:color="C0C0C0"/>
            </w:tcBorders>
            <w:gridSpan w:val="3"/>
            <w:shd w:val="clear" w:color="auto" w:fill="C0C0C0"/>
          </w:tcPr>
          <w:p>
            <w:pPr>
              <w:spacing w:after="0"/>
              <w:rPr>
                <w:sz w:val="20"/>
                <w:szCs w:val="20"/>
                <w:color w:val="auto"/>
              </w:rPr>
            </w:pPr>
            <w:r>
              <w:rPr>
                <w:rFonts w:ascii="Arial" w:cs="Arial" w:eastAsia="Arial" w:hAnsi="Arial"/>
                <w:sz w:val="17"/>
                <w:szCs w:val="17"/>
                <w:b w:val="1"/>
                <w:bCs w:val="1"/>
                <w:color w:val="auto"/>
              </w:rPr>
              <w:t>Year ended December 31, 1999</w:t>
            </w:r>
          </w:p>
        </w:tc>
        <w:tc>
          <w:tcPr>
            <w:tcW w:w="148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shd w:val="clear" w:color="auto" w:fill="C0C0C0"/>
          </w:tcPr>
          <w:p>
            <w:pPr>
              <w:spacing w:after="0"/>
              <w:rPr>
                <w:sz w:val="22"/>
                <w:szCs w:val="22"/>
                <w:color w:val="auto"/>
              </w:rPr>
            </w:pPr>
          </w:p>
        </w:tc>
        <w:tc>
          <w:tcPr>
            <w:tcW w:w="880" w:type="dxa"/>
            <w:vAlign w:val="bottom"/>
            <w:tcBorders>
              <w:bottom w:val="single" w:sz="8" w:color="C0C0C0"/>
            </w:tcBorders>
            <w:shd w:val="clear" w:color="auto" w:fill="C0C0C0"/>
          </w:tcPr>
          <w:p>
            <w:pPr>
              <w:spacing w:after="0"/>
              <w:rPr>
                <w:sz w:val="22"/>
                <w:szCs w:val="22"/>
                <w:color w:val="auto"/>
              </w:rPr>
            </w:pPr>
          </w:p>
        </w:tc>
        <w:tc>
          <w:tcPr>
            <w:tcW w:w="1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r>
      <w:tr>
        <w:trPr>
          <w:trHeight w:val="201"/>
        </w:trPr>
        <w:tc>
          <w:tcPr>
            <w:tcW w:w="3440" w:type="dxa"/>
            <w:vAlign w:val="bottom"/>
            <w:gridSpan w:val="3"/>
          </w:tcPr>
          <w:p>
            <w:pPr>
              <w:spacing w:after="0"/>
              <w:rPr>
                <w:sz w:val="20"/>
                <w:szCs w:val="20"/>
                <w:color w:val="auto"/>
              </w:rPr>
            </w:pPr>
            <w:r>
              <w:rPr>
                <w:rFonts w:ascii="Arial" w:cs="Arial" w:eastAsia="Arial" w:hAnsi="Arial"/>
                <w:sz w:val="17"/>
                <w:szCs w:val="17"/>
                <w:color w:val="auto"/>
                <w:w w:val="93"/>
              </w:rPr>
              <w:t>Valuation and qualifying accounts deducted from</w:t>
            </w:r>
          </w:p>
        </w:tc>
        <w:tc>
          <w:tcPr>
            <w:tcW w:w="2560" w:type="dxa"/>
            <w:vAlign w:val="bottom"/>
            <w:gridSpan w:val="3"/>
          </w:tcPr>
          <w:p>
            <w:pPr>
              <w:ind w:left="80"/>
              <w:spacing w:after="0"/>
              <w:rPr>
                <w:sz w:val="20"/>
                <w:szCs w:val="20"/>
                <w:color w:val="auto"/>
              </w:rPr>
            </w:pPr>
            <w:r>
              <w:rPr>
                <w:rFonts w:ascii="Arial" w:cs="Arial" w:eastAsia="Arial" w:hAnsi="Arial"/>
                <w:sz w:val="17"/>
                <w:szCs w:val="17"/>
                <w:color w:val="auto"/>
              </w:rPr>
              <w:t>assets to which</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7"/>
                <w:szCs w:val="17"/>
                <w:color w:val="auto"/>
              </w:rPr>
              <w:t>they apply:</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56"/>
        </w:trPr>
        <w:tc>
          <w:tcPr>
            <w:tcW w:w="3440" w:type="dxa"/>
            <w:vAlign w:val="bottom"/>
            <w:gridSpan w:val="3"/>
          </w:tcPr>
          <w:p>
            <w:pPr>
              <w:spacing w:after="0"/>
              <w:rPr>
                <w:sz w:val="20"/>
                <w:szCs w:val="20"/>
                <w:color w:val="auto"/>
              </w:rPr>
            </w:pPr>
            <w:r>
              <w:rPr>
                <w:rFonts w:ascii="Arial" w:cs="Arial" w:eastAsia="Arial" w:hAnsi="Arial"/>
                <w:sz w:val="17"/>
                <w:szCs w:val="17"/>
                <w:color w:val="auto"/>
              </w:rPr>
              <w:t>Allowance for doubtful accounts</w:t>
            </w:r>
          </w:p>
        </w:tc>
        <w:tc>
          <w:tcPr>
            <w:tcW w:w="2160" w:type="dxa"/>
            <w:vAlign w:val="bottom"/>
            <w:gridSpan w:val="2"/>
          </w:tcPr>
          <w:p>
            <w:pPr>
              <w:jc w:val="center"/>
              <w:ind w:left="1395"/>
              <w:spacing w:after="0"/>
              <w:rPr>
                <w:sz w:val="20"/>
                <w:szCs w:val="20"/>
                <w:color w:val="auto"/>
              </w:rPr>
            </w:pPr>
            <w:r>
              <w:rPr>
                <w:rFonts w:ascii="Arial" w:cs="Arial" w:eastAsia="Arial" w:hAnsi="Arial"/>
                <w:sz w:val="17"/>
                <w:szCs w:val="17"/>
                <w:color w:val="auto"/>
                <w:w w:val="92"/>
              </w:rPr>
              <w:t>$3,720</w:t>
            </w:r>
          </w:p>
        </w:tc>
        <w:tc>
          <w:tcPr>
            <w:tcW w:w="400" w:type="dxa"/>
            <w:vAlign w:val="bottom"/>
          </w:tcPr>
          <w:p>
            <w:pPr>
              <w:spacing w:after="0"/>
              <w:rPr>
                <w:sz w:val="22"/>
                <w:szCs w:val="22"/>
                <w:color w:val="auto"/>
              </w:rPr>
            </w:pPr>
          </w:p>
        </w:tc>
        <w:tc>
          <w:tcPr>
            <w:tcW w:w="1340" w:type="dxa"/>
            <w:vAlign w:val="bottom"/>
            <w:gridSpan w:val="2"/>
          </w:tcPr>
          <w:p>
            <w:pPr>
              <w:jc w:val="center"/>
              <w:ind w:left="595"/>
              <w:spacing w:after="0"/>
              <w:rPr>
                <w:sz w:val="20"/>
                <w:szCs w:val="20"/>
                <w:color w:val="auto"/>
              </w:rPr>
            </w:pPr>
            <w:r>
              <w:rPr>
                <w:rFonts w:ascii="Arial" w:cs="Arial" w:eastAsia="Arial" w:hAnsi="Arial"/>
                <w:sz w:val="17"/>
                <w:szCs w:val="17"/>
                <w:color w:val="auto"/>
                <w:w w:val="88"/>
              </w:rPr>
              <w:t>$1,234</w:t>
            </w:r>
          </w:p>
        </w:tc>
        <w:tc>
          <w:tcPr>
            <w:tcW w:w="8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2"/>
              </w:rPr>
              <w:t>$1,854</w:t>
            </w:r>
          </w:p>
        </w:tc>
        <w:tc>
          <w:tcPr>
            <w:tcW w:w="200" w:type="dxa"/>
            <w:vAlign w:val="bottom"/>
          </w:tcPr>
          <w:p>
            <w:pPr>
              <w:spacing w:after="0"/>
              <w:rPr>
                <w:sz w:val="22"/>
                <w:szCs w:val="22"/>
                <w:color w:val="auto"/>
              </w:rPr>
            </w:pPr>
          </w:p>
        </w:tc>
        <w:tc>
          <w:tcPr>
            <w:tcW w:w="840" w:type="dxa"/>
            <w:vAlign w:val="bottom"/>
            <w:gridSpan w:val="2"/>
          </w:tcPr>
          <w:p>
            <w:pPr>
              <w:jc w:val="center"/>
              <w:ind w:left="255"/>
              <w:spacing w:after="0"/>
              <w:rPr>
                <w:sz w:val="20"/>
                <w:szCs w:val="20"/>
                <w:color w:val="auto"/>
              </w:rPr>
            </w:pPr>
            <w:r>
              <w:rPr>
                <w:rFonts w:ascii="Arial" w:cs="Arial" w:eastAsia="Arial" w:hAnsi="Arial"/>
                <w:sz w:val="17"/>
                <w:szCs w:val="17"/>
                <w:color w:val="auto"/>
                <w:w w:val="88"/>
              </w:rPr>
              <w:t>$3,100</w:t>
            </w:r>
          </w:p>
        </w:tc>
        <w:tc>
          <w:tcPr>
            <w:tcW w:w="400" w:type="dxa"/>
            <w:vAlign w:val="bottom"/>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60" w:type="dxa"/>
            <w:vAlign w:val="bottom"/>
            <w:gridSpan w:val="2"/>
          </w:tcPr>
          <w:p>
            <w:pPr>
              <w:jc w:val="center"/>
              <w:ind w:left="1415"/>
              <w:spacing w:after="0"/>
              <w:rPr>
                <w:sz w:val="20"/>
                <w:szCs w:val="20"/>
                <w:color w:val="auto"/>
              </w:rPr>
            </w:pPr>
            <w:r>
              <w:rPr>
                <w:rFonts w:ascii="Arial" w:cs="Arial" w:eastAsia="Arial" w:hAnsi="Arial"/>
                <w:sz w:val="17"/>
                <w:szCs w:val="17"/>
                <w:color w:val="auto"/>
                <w:w w:val="95"/>
              </w:rPr>
              <w:t>====</w:t>
            </w:r>
          </w:p>
        </w:tc>
        <w:tc>
          <w:tcPr>
            <w:tcW w:w="400" w:type="dxa"/>
            <w:vAlign w:val="bottom"/>
          </w:tcPr>
          <w:p>
            <w:pPr>
              <w:spacing w:after="0"/>
              <w:rPr>
                <w:sz w:val="18"/>
                <w:szCs w:val="18"/>
                <w:color w:val="auto"/>
              </w:rPr>
            </w:pPr>
          </w:p>
        </w:tc>
        <w:tc>
          <w:tcPr>
            <w:tcW w:w="1340" w:type="dxa"/>
            <w:vAlign w:val="bottom"/>
            <w:gridSpan w:val="2"/>
          </w:tcPr>
          <w:p>
            <w:pPr>
              <w:jc w:val="center"/>
              <w:ind w:left="595"/>
              <w:spacing w:after="0"/>
              <w:rPr>
                <w:sz w:val="20"/>
                <w:szCs w:val="20"/>
                <w:color w:val="auto"/>
              </w:rPr>
            </w:pPr>
            <w:r>
              <w:rPr>
                <w:rFonts w:ascii="Arial" w:cs="Arial" w:eastAsia="Arial" w:hAnsi="Arial"/>
                <w:sz w:val="17"/>
                <w:szCs w:val="17"/>
                <w:color w:val="auto"/>
                <w:w w:val="95"/>
              </w:rPr>
              <w:t>====</w:t>
            </w:r>
          </w:p>
        </w:tc>
        <w:tc>
          <w:tcPr>
            <w:tcW w:w="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w:t>
            </w:r>
          </w:p>
        </w:tc>
        <w:tc>
          <w:tcPr>
            <w:tcW w:w="200" w:type="dxa"/>
            <w:vAlign w:val="bottom"/>
          </w:tcPr>
          <w:p>
            <w:pPr>
              <w:spacing w:after="0"/>
              <w:rPr>
                <w:sz w:val="18"/>
                <w:szCs w:val="18"/>
                <w:color w:val="auto"/>
              </w:rPr>
            </w:pPr>
          </w:p>
        </w:tc>
        <w:tc>
          <w:tcPr>
            <w:tcW w:w="840" w:type="dxa"/>
            <w:vAlign w:val="bottom"/>
            <w:gridSpan w:val="2"/>
          </w:tcPr>
          <w:p>
            <w:pPr>
              <w:jc w:val="center"/>
              <w:ind w:left="255"/>
              <w:spacing w:after="0"/>
              <w:rPr>
                <w:sz w:val="20"/>
                <w:szCs w:val="20"/>
                <w:color w:val="auto"/>
              </w:rPr>
            </w:pPr>
            <w:r>
              <w:rPr>
                <w:rFonts w:ascii="Arial" w:cs="Arial" w:eastAsia="Arial" w:hAnsi="Arial"/>
                <w:sz w:val="17"/>
                <w:szCs w:val="17"/>
                <w:color w:val="auto"/>
                <w:w w:val="95"/>
              </w:rPr>
              <w:t>====</w:t>
            </w:r>
          </w:p>
        </w:tc>
        <w:tc>
          <w:tcPr>
            <w:tcW w:w="400" w:type="dxa"/>
            <w:vAlign w:val="bottom"/>
          </w:tcPr>
          <w:p>
            <w:pPr>
              <w:spacing w:after="0"/>
              <w:rPr>
                <w:sz w:val="18"/>
                <w:szCs w:val="18"/>
                <w:color w:val="auto"/>
              </w:rPr>
            </w:pPr>
          </w:p>
        </w:tc>
      </w:tr>
      <w:tr>
        <w:trPr>
          <w:trHeight w:val="277"/>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5"/>
        </w:trPr>
        <w:tc>
          <w:tcPr>
            <w:tcW w:w="3440" w:type="dxa"/>
            <w:vAlign w:val="bottom"/>
            <w:tcBorders>
              <w:bottom w:val="single" w:sz="8" w:color="C0C0C0"/>
            </w:tcBorders>
            <w:gridSpan w:val="3"/>
            <w:shd w:val="clear" w:color="auto" w:fill="C0C0C0"/>
          </w:tcPr>
          <w:p>
            <w:pPr>
              <w:spacing w:after="0"/>
              <w:rPr>
                <w:sz w:val="20"/>
                <w:szCs w:val="20"/>
                <w:color w:val="auto"/>
              </w:rPr>
            </w:pPr>
            <w:r>
              <w:rPr>
                <w:rFonts w:ascii="Arial" w:cs="Arial" w:eastAsia="Arial" w:hAnsi="Arial"/>
                <w:sz w:val="17"/>
                <w:szCs w:val="17"/>
                <w:b w:val="1"/>
                <w:bCs w:val="1"/>
                <w:color w:val="auto"/>
              </w:rPr>
              <w:t>Year ended December 31, 1998</w:t>
            </w:r>
          </w:p>
        </w:tc>
        <w:tc>
          <w:tcPr>
            <w:tcW w:w="148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shd w:val="clear" w:color="auto" w:fill="C0C0C0"/>
          </w:tcPr>
          <w:p>
            <w:pPr>
              <w:spacing w:after="0"/>
              <w:rPr>
                <w:sz w:val="22"/>
                <w:szCs w:val="22"/>
                <w:color w:val="auto"/>
              </w:rPr>
            </w:pPr>
          </w:p>
        </w:tc>
        <w:tc>
          <w:tcPr>
            <w:tcW w:w="880" w:type="dxa"/>
            <w:vAlign w:val="bottom"/>
            <w:tcBorders>
              <w:bottom w:val="single" w:sz="8" w:color="C0C0C0"/>
            </w:tcBorders>
            <w:shd w:val="clear" w:color="auto" w:fill="C0C0C0"/>
          </w:tcPr>
          <w:p>
            <w:pPr>
              <w:spacing w:after="0"/>
              <w:rPr>
                <w:sz w:val="22"/>
                <w:szCs w:val="22"/>
                <w:color w:val="auto"/>
              </w:rPr>
            </w:pPr>
          </w:p>
        </w:tc>
        <w:tc>
          <w:tcPr>
            <w:tcW w:w="1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r>
      <w:tr>
        <w:trPr>
          <w:trHeight w:val="201"/>
        </w:trPr>
        <w:tc>
          <w:tcPr>
            <w:tcW w:w="3440" w:type="dxa"/>
            <w:vAlign w:val="bottom"/>
            <w:gridSpan w:val="3"/>
          </w:tcPr>
          <w:p>
            <w:pPr>
              <w:spacing w:after="0"/>
              <w:rPr>
                <w:sz w:val="20"/>
                <w:szCs w:val="20"/>
                <w:color w:val="auto"/>
              </w:rPr>
            </w:pPr>
            <w:r>
              <w:rPr>
                <w:rFonts w:ascii="Arial" w:cs="Arial" w:eastAsia="Arial" w:hAnsi="Arial"/>
                <w:sz w:val="17"/>
                <w:szCs w:val="17"/>
                <w:color w:val="auto"/>
                <w:w w:val="93"/>
              </w:rPr>
              <w:t>Valuation and qualifying accounts deducted from</w:t>
            </w:r>
          </w:p>
        </w:tc>
        <w:tc>
          <w:tcPr>
            <w:tcW w:w="2560" w:type="dxa"/>
            <w:vAlign w:val="bottom"/>
            <w:gridSpan w:val="3"/>
          </w:tcPr>
          <w:p>
            <w:pPr>
              <w:ind w:left="80"/>
              <w:spacing w:after="0"/>
              <w:rPr>
                <w:sz w:val="20"/>
                <w:szCs w:val="20"/>
                <w:color w:val="auto"/>
              </w:rPr>
            </w:pPr>
            <w:r>
              <w:rPr>
                <w:rFonts w:ascii="Arial" w:cs="Arial" w:eastAsia="Arial" w:hAnsi="Arial"/>
                <w:sz w:val="17"/>
                <w:szCs w:val="17"/>
                <w:color w:val="auto"/>
              </w:rPr>
              <w:t>assets to which</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0"/>
        </w:trPr>
        <w:tc>
          <w:tcPr>
            <w:tcW w:w="3440" w:type="dxa"/>
            <w:vAlign w:val="bottom"/>
            <w:gridSpan w:val="3"/>
          </w:tcPr>
          <w:p>
            <w:pPr>
              <w:spacing w:after="0"/>
              <w:rPr>
                <w:sz w:val="20"/>
                <w:szCs w:val="20"/>
                <w:color w:val="auto"/>
              </w:rPr>
            </w:pPr>
            <w:r>
              <w:rPr>
                <w:rFonts w:ascii="Arial" w:cs="Arial" w:eastAsia="Arial" w:hAnsi="Arial"/>
                <w:sz w:val="17"/>
                <w:szCs w:val="17"/>
                <w:color w:val="auto"/>
              </w:rPr>
              <w:t>they apply:</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440" w:type="dxa"/>
            <w:vAlign w:val="bottom"/>
            <w:gridSpan w:val="3"/>
          </w:tcPr>
          <w:p>
            <w:pPr>
              <w:spacing w:after="0"/>
              <w:rPr>
                <w:sz w:val="20"/>
                <w:szCs w:val="20"/>
                <w:color w:val="auto"/>
              </w:rPr>
            </w:pPr>
            <w:r>
              <w:rPr>
                <w:rFonts w:ascii="Arial" w:cs="Arial" w:eastAsia="Arial" w:hAnsi="Arial"/>
                <w:sz w:val="17"/>
                <w:szCs w:val="17"/>
                <w:color w:val="auto"/>
              </w:rPr>
              <w:t>Allowance for doubtful accounts</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r>
    </w:tbl>
    <w:p>
      <w:pPr>
        <w:sectPr>
          <w:pgSz w:w="11900" w:h="16863" w:orient="portrait"/>
          <w:cols w:equalWidth="0" w:num="1">
            <w:col w:w="11380"/>
          </w:cols>
          <w:pgMar w:left="240" w:top="131" w:right="279" w:bottom="0" w:gutter="0" w:footer="0" w:header="0"/>
        </w:sectPr>
      </w:pPr>
    </w:p>
    <w:bookmarkStart w:id="39" w:name="page40"/>
    <w:bookmarkEnd w:id="39"/>
    <w:p>
      <w:pPr>
        <w:ind w:left="5015"/>
        <w:spacing w:after="0"/>
        <w:rPr>
          <w:sz w:val="20"/>
          <w:szCs w:val="20"/>
          <w:color w:val="auto"/>
        </w:rPr>
      </w:pPr>
      <w:r>
        <w:rPr>
          <w:rFonts w:ascii="Arial" w:cs="Arial" w:eastAsia="Arial" w:hAnsi="Arial"/>
          <w:sz w:val="15"/>
          <w:szCs w:val="15"/>
          <w:color w:val="auto"/>
        </w:rPr>
        <w:t>$3,266</w:t>
      </w:r>
    </w:p>
    <w:p>
      <w:pPr>
        <w:spacing w:after="0" w:line="43" w:lineRule="exact"/>
        <w:rPr>
          <w:sz w:val="20"/>
          <w:szCs w:val="20"/>
          <w:color w:val="auto"/>
        </w:rPr>
      </w:pPr>
    </w:p>
    <w:p>
      <w:pPr>
        <w:ind w:left="5075"/>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$ 507</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Arial" w:cs="Arial" w:eastAsia="Arial" w:hAnsi="Arial"/>
          <w:sz w:val="16"/>
          <w:szCs w:val="16"/>
          <w:color w:val="auto"/>
        </w:rPr>
        <w:t>$</w:t>
        <w:tab/>
        <w:t>53</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$3,720</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4">
            <w:col w:w="6075" w:space="720"/>
            <w:col w:w="1100" w:space="720"/>
            <w:col w:w="700" w:space="720"/>
            <w:col w:w="460"/>
          </w:cols>
          <w:pgMar w:left="245" w:top="131" w:right="1159" w:bottom="1440" w:gutter="0" w:footer="0" w:header="0"/>
        </w:sectPr>
      </w:pPr>
    </w:p>
    <w:p>
      <w:pPr>
        <w:spacing w:after="0" w:line="358" w:lineRule="exact"/>
        <w:rPr>
          <w:sz w:val="20"/>
          <w:szCs w:val="20"/>
          <w:color w:val="auto"/>
        </w:rPr>
      </w:pPr>
    </w:p>
    <w:p>
      <w:pPr>
        <w:ind w:left="275" w:hanging="275"/>
        <w:spacing w:after="0"/>
        <w:tabs>
          <w:tab w:leader="none" w:pos="2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impact of translation of foreign currencies.</w:t>
      </w:r>
    </w:p>
    <w:p>
      <w:pPr>
        <w:spacing w:after="0" w:line="20" w:lineRule="exact"/>
        <w:rPr>
          <w:rFonts w:ascii="Arial" w:cs="Arial" w:eastAsia="Arial" w:hAnsi="Arial"/>
          <w:sz w:val="17"/>
          <w:szCs w:val="17"/>
          <w:color w:val="auto"/>
        </w:rPr>
      </w:pPr>
    </w:p>
    <w:p>
      <w:pPr>
        <w:ind w:left="275" w:hanging="275"/>
        <w:spacing w:after="0"/>
        <w:tabs>
          <w:tab w:leader="none" w:pos="275" w:val="left"/>
        </w:tabs>
        <w:numPr>
          <w:ilvl w:val="0"/>
          <w:numId w:val="11"/>
        </w:numPr>
        <w:rPr>
          <w:rFonts w:ascii="Arial" w:cs="Arial" w:eastAsia="Arial" w:hAnsi="Arial"/>
          <w:sz w:val="15"/>
          <w:szCs w:val="15"/>
          <w:color w:val="auto"/>
        </w:rPr>
      </w:pPr>
      <w:r>
        <w:rPr>
          <w:rFonts w:ascii="Arial" w:cs="Arial" w:eastAsia="Arial" w:hAnsi="Arial"/>
          <w:sz w:val="15"/>
          <w:szCs w:val="15"/>
          <w:color w:val="auto"/>
        </w:rPr>
        <w:t>Uncollectible accounts charged against allowance for doubtful accounts,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95"/>
        <w:spacing w:after="0"/>
        <w:rPr>
          <w:sz w:val="20"/>
          <w:szCs w:val="20"/>
          <w:color w:val="auto"/>
        </w:rPr>
      </w:pPr>
      <w:r>
        <w:rPr>
          <w:rFonts w:ascii="Arial" w:cs="Arial" w:eastAsia="Arial" w:hAnsi="Arial"/>
          <w:sz w:val="17"/>
          <w:szCs w:val="17"/>
          <w:color w:val="auto"/>
        </w:rPr>
        <w:t>S-1</w:t>
      </w:r>
    </w:p>
    <w:p>
      <w:pPr>
        <w:sectPr>
          <w:pgSz w:w="11900" w:h="16838" w:orient="portrait"/>
          <w:cols w:equalWidth="0" w:num="1">
            <w:col w:w="10495"/>
          </w:cols>
          <w:pgMar w:left="245" w:top="131" w:right="1159" w:bottom="1440" w:gutter="0" w:footer="0" w:header="0"/>
          <w:type w:val="continuous"/>
        </w:sectPr>
      </w:pPr>
    </w:p>
    <w:bookmarkStart w:id="40" w:name="page41"/>
    <w:bookmarkEnd w:id="40"/>
    <w:p>
      <w:pPr>
        <w:ind w:left="9640"/>
        <w:spacing w:after="0"/>
        <w:rPr>
          <w:sz w:val="20"/>
          <w:szCs w:val="20"/>
          <w:color w:val="auto"/>
        </w:rPr>
      </w:pPr>
      <w:r>
        <w:rPr>
          <w:rFonts w:ascii="Arial" w:cs="Arial" w:eastAsia="Arial" w:hAnsi="Arial"/>
          <w:sz w:val="17"/>
          <w:szCs w:val="17"/>
          <w:b w:val="1"/>
          <w:bCs w:val="1"/>
          <w:color w:val="auto"/>
        </w:rPr>
        <w:t>EXHIBIT 10.5</w:t>
      </w:r>
    </w:p>
    <w:p>
      <w:pPr>
        <w:spacing w:after="0" w:line="188" w:lineRule="exact"/>
        <w:rPr>
          <w:sz w:val="20"/>
          <w:szCs w:val="20"/>
          <w:color w:val="auto"/>
        </w:rPr>
      </w:pPr>
    </w:p>
    <w:p>
      <w:pPr>
        <w:jc w:val="both"/>
        <w:ind w:right="260" w:firstLine="213"/>
        <w:spacing w:after="0" w:line="269" w:lineRule="auto"/>
        <w:rPr>
          <w:sz w:val="20"/>
          <w:szCs w:val="20"/>
          <w:color w:val="auto"/>
        </w:rPr>
      </w:pPr>
      <w:r>
        <w:rPr>
          <w:rFonts w:ascii="Arial" w:cs="Arial" w:eastAsia="Arial" w:hAnsi="Arial"/>
          <w:sz w:val="17"/>
          <w:szCs w:val="17"/>
          <w:color w:val="auto"/>
        </w:rPr>
        <w:t>Employment Agreements have been executed by the Company and the indicated employees, each substantially identical in all material respects to the following form of employment agreement except as noted below. Each Employment Agreement was executed by Mr. Saueracker for the Company, except the agreement with Mr. Saueracker, which was executed by Mr. John Curcio for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Pr>
          <w:p>
            <w:pPr>
              <w:spacing w:after="0"/>
              <w:rPr>
                <w:sz w:val="18"/>
                <w:szCs w:val="18"/>
                <w:color w:val="auto"/>
              </w:rPr>
            </w:pPr>
          </w:p>
        </w:tc>
        <w:tc>
          <w:tcPr>
            <w:tcW w:w="3300" w:type="dxa"/>
            <w:vAlign w:val="bottom"/>
          </w:tcPr>
          <w:p>
            <w:pPr>
              <w:ind w:left="520"/>
              <w:spacing w:after="0"/>
              <w:rPr>
                <w:sz w:val="20"/>
                <w:szCs w:val="20"/>
                <w:color w:val="auto"/>
              </w:rPr>
            </w:pPr>
            <w:r>
              <w:rPr>
                <w:rFonts w:ascii="Arial" w:cs="Arial" w:eastAsia="Arial" w:hAnsi="Arial"/>
                <w:sz w:val="17"/>
                <w:szCs w:val="17"/>
                <w:b w:val="1"/>
                <w:bCs w:val="1"/>
                <w:color w:val="auto"/>
              </w:rPr>
              <w:t>EMPLOYEE AND POSITION</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b w:val="1"/>
                <w:bCs w:val="1"/>
                <w:color w:val="auto"/>
                <w:w w:val="98"/>
              </w:rPr>
              <w:t>BASE SALARY</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9"/>
              </w:rPr>
              <w:t>DATE OF</w:t>
            </w:r>
          </w:p>
        </w:tc>
        <w:tc>
          <w:tcPr>
            <w:tcW w:w="1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TERMINATION DATE OF</w:t>
            </w:r>
          </w:p>
        </w:tc>
        <w:tc>
          <w:tcPr>
            <w:tcW w:w="100" w:type="dxa"/>
            <w:vAlign w:val="bottom"/>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AGREEMENT</w:t>
            </w:r>
          </w:p>
        </w:tc>
        <w:tc>
          <w:tcPr>
            <w:tcW w:w="1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AGREEMENT [IF NOT</w:t>
            </w:r>
          </w:p>
        </w:tc>
        <w:tc>
          <w:tcPr>
            <w:tcW w:w="100" w:type="dxa"/>
            <w:vAlign w:val="bottom"/>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99"/>
              </w:rPr>
              <w:t>EXTENDED PURSUANT TO</w:t>
            </w:r>
          </w:p>
        </w:tc>
        <w:tc>
          <w:tcPr>
            <w:tcW w:w="100" w:type="dxa"/>
            <w:vAlign w:val="bottom"/>
          </w:tcPr>
          <w:p>
            <w:pPr>
              <w:spacing w:after="0"/>
              <w:rPr>
                <w:sz w:val="18"/>
                <w:szCs w:val="18"/>
                <w:color w:val="auto"/>
              </w:rPr>
            </w:pPr>
          </w:p>
        </w:tc>
      </w:tr>
      <w:tr>
        <w:trPr>
          <w:trHeight w:val="220"/>
        </w:trPr>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99"/>
              </w:rPr>
              <w:t>SECTION 1(a)]</w:t>
            </w:r>
          </w:p>
        </w:tc>
        <w:tc>
          <w:tcPr>
            <w:tcW w:w="100" w:type="dxa"/>
            <w:vAlign w:val="bottom"/>
          </w:tcPr>
          <w:p>
            <w:pPr>
              <w:spacing w:after="0"/>
              <w:rPr>
                <w:sz w:val="19"/>
                <w:szCs w:val="19"/>
                <w:color w:val="auto"/>
              </w:rPr>
            </w:pPr>
          </w:p>
        </w:tc>
      </w:tr>
      <w:tr>
        <w:trPr>
          <w:trHeight w:val="218"/>
        </w:trPr>
        <w:tc>
          <w:tcPr>
            <w:tcW w:w="100" w:type="dxa"/>
            <w:vAlign w:val="bottom"/>
          </w:tcPr>
          <w:p>
            <w:pPr>
              <w:spacing w:after="0"/>
              <w:rPr>
                <w:sz w:val="18"/>
                <w:szCs w:val="18"/>
                <w:color w:val="auto"/>
              </w:rPr>
            </w:pPr>
          </w:p>
        </w:tc>
        <w:tc>
          <w:tcPr>
            <w:tcW w:w="3300" w:type="dxa"/>
            <w:vAlign w:val="bottom"/>
            <w:tcBorders>
              <w:bottom w:val="single" w:sz="8" w:color="9A9A9A"/>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3"/>
        </w:trPr>
        <w:tc>
          <w:tcPr>
            <w:tcW w:w="100" w:type="dxa"/>
            <w:vAlign w:val="bottom"/>
            <w:shd w:val="clear" w:color="auto" w:fill="C0C0C0"/>
          </w:tcPr>
          <w:p>
            <w:pPr>
              <w:spacing w:after="0"/>
              <w:rPr>
                <w:sz w:val="24"/>
                <w:szCs w:val="24"/>
                <w:color w:val="auto"/>
              </w:rPr>
            </w:pPr>
          </w:p>
        </w:tc>
        <w:tc>
          <w:tcPr>
            <w:tcW w:w="3300" w:type="dxa"/>
            <w:vAlign w:val="bottom"/>
            <w:shd w:val="clear" w:color="auto" w:fill="C0C0C0"/>
          </w:tcPr>
          <w:p>
            <w:pPr>
              <w:ind w:left="120"/>
              <w:spacing w:after="0"/>
              <w:rPr>
                <w:sz w:val="20"/>
                <w:szCs w:val="20"/>
                <w:color w:val="auto"/>
              </w:rPr>
            </w:pPr>
            <w:r>
              <w:rPr>
                <w:rFonts w:ascii="Arial" w:cs="Arial" w:eastAsia="Arial" w:hAnsi="Arial"/>
                <w:sz w:val="17"/>
                <w:szCs w:val="17"/>
                <w:color w:val="auto"/>
              </w:rPr>
              <w:t>Allen Cheng</w:t>
            </w:r>
          </w:p>
        </w:tc>
        <w:tc>
          <w:tcPr>
            <w:tcW w:w="480" w:type="dxa"/>
            <w:vAlign w:val="bottom"/>
            <w:gridSpan w:val="2"/>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210,000</w:t>
            </w:r>
          </w:p>
        </w:tc>
        <w:tc>
          <w:tcPr>
            <w:tcW w:w="180" w:type="dxa"/>
            <w:vAlign w:val="bottom"/>
            <w:shd w:val="clear" w:color="auto" w:fill="C0C0C0"/>
          </w:tcPr>
          <w:p>
            <w:pPr>
              <w:spacing w:after="0"/>
              <w:rPr>
                <w:sz w:val="24"/>
                <w:szCs w:val="24"/>
                <w:color w:val="auto"/>
              </w:rPr>
            </w:pPr>
          </w:p>
        </w:tc>
        <w:tc>
          <w:tcPr>
            <w:tcW w:w="1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shd w:val="clear" w:color="auto" w:fill="C0C0C0"/>
          </w:tcPr>
          <w:p>
            <w:pPr>
              <w:spacing w:after="0"/>
              <w:rPr>
                <w:sz w:val="24"/>
                <w:szCs w:val="24"/>
                <w:color w:val="auto"/>
              </w:rPr>
            </w:pPr>
          </w:p>
        </w:tc>
        <w:tc>
          <w:tcPr>
            <w:tcW w:w="2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July 31, 2002</w:t>
            </w:r>
          </w:p>
        </w:tc>
        <w:tc>
          <w:tcPr>
            <w:tcW w:w="100" w:type="dxa"/>
            <w:vAlign w:val="bottom"/>
            <w:shd w:val="clear" w:color="auto" w:fill="C0C0C0"/>
          </w:tcPr>
          <w:p>
            <w:pPr>
              <w:spacing w:after="0"/>
              <w:rPr>
                <w:sz w:val="24"/>
                <w:szCs w:val="24"/>
                <w:color w:val="auto"/>
              </w:rPr>
            </w:pPr>
          </w:p>
        </w:tc>
      </w:tr>
      <w:tr>
        <w:trPr>
          <w:trHeight w:val="216"/>
        </w:trPr>
        <w:tc>
          <w:tcPr>
            <w:tcW w:w="100" w:type="dxa"/>
            <w:vAlign w:val="bottom"/>
            <w:shd w:val="clear" w:color="auto" w:fill="C0C0C0"/>
          </w:tcPr>
          <w:p>
            <w:pPr>
              <w:spacing w:after="0"/>
              <w:rPr>
                <w:sz w:val="18"/>
                <w:szCs w:val="18"/>
                <w:color w:val="auto"/>
              </w:rPr>
            </w:pPr>
          </w:p>
        </w:tc>
        <w:tc>
          <w:tcPr>
            <w:tcW w:w="3300" w:type="dxa"/>
            <w:vAlign w:val="bottom"/>
            <w:shd w:val="clear" w:color="auto" w:fill="C0C0C0"/>
          </w:tcPr>
          <w:p>
            <w:pPr>
              <w:ind w:left="260"/>
              <w:spacing w:after="0"/>
              <w:rPr>
                <w:sz w:val="20"/>
                <w:szCs w:val="20"/>
                <w:color w:val="auto"/>
              </w:rPr>
            </w:pPr>
            <w:r>
              <w:rPr>
                <w:rFonts w:ascii="Arial" w:cs="Arial" w:eastAsia="Arial" w:hAnsi="Arial"/>
                <w:sz w:val="17"/>
                <w:szCs w:val="17"/>
                <w:color w:val="auto"/>
              </w:rPr>
              <w:t>Vice President</w:t>
            </w:r>
          </w:p>
        </w:tc>
        <w:tc>
          <w:tcPr>
            <w:tcW w:w="18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4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2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r>
      <w:tr>
        <w:trPr>
          <w:trHeight w:val="264"/>
        </w:trPr>
        <w:tc>
          <w:tcPr>
            <w:tcW w:w="100" w:type="dxa"/>
            <w:vAlign w:val="bottom"/>
            <w:shd w:val="clear" w:color="auto" w:fill="C0C0C0"/>
          </w:tcPr>
          <w:p>
            <w:pPr>
              <w:spacing w:after="0"/>
              <w:rPr>
                <w:sz w:val="22"/>
                <w:szCs w:val="22"/>
                <w:color w:val="auto"/>
              </w:rPr>
            </w:pPr>
          </w:p>
        </w:tc>
        <w:tc>
          <w:tcPr>
            <w:tcW w:w="3300" w:type="dxa"/>
            <w:vAlign w:val="bottom"/>
            <w:shd w:val="clear" w:color="auto" w:fill="C0C0C0"/>
          </w:tcPr>
          <w:p>
            <w:pPr>
              <w:spacing w:after="0"/>
              <w:rPr>
                <w:sz w:val="22"/>
                <w:szCs w:val="22"/>
                <w:color w:val="auto"/>
              </w:rPr>
            </w:pPr>
          </w:p>
        </w:tc>
        <w:tc>
          <w:tcPr>
            <w:tcW w:w="480" w:type="dxa"/>
            <w:vAlign w:val="bottom"/>
            <w:gridSpan w:val="2"/>
            <w:shd w:val="clear" w:color="auto" w:fill="C0C0C0"/>
          </w:tcPr>
          <w:p>
            <w:pPr>
              <w:spacing w:after="0"/>
              <w:rPr>
                <w:sz w:val="22"/>
                <w:szCs w:val="22"/>
                <w:color w:val="auto"/>
              </w:rPr>
            </w:pPr>
          </w:p>
        </w:tc>
        <w:tc>
          <w:tcPr>
            <w:tcW w:w="94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4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r>
      <w:tr>
        <w:trPr>
          <w:trHeight w:val="293"/>
        </w:trPr>
        <w:tc>
          <w:tcPr>
            <w:tcW w:w="100" w:type="dxa"/>
            <w:vAlign w:val="bottom"/>
          </w:tcPr>
          <w:p>
            <w:pPr>
              <w:spacing w:after="0"/>
              <w:rPr>
                <w:sz w:val="24"/>
                <w:szCs w:val="24"/>
                <w:color w:val="auto"/>
              </w:rPr>
            </w:pPr>
          </w:p>
        </w:tc>
        <w:tc>
          <w:tcPr>
            <w:tcW w:w="3300" w:type="dxa"/>
            <w:vAlign w:val="bottom"/>
          </w:tcPr>
          <w:p>
            <w:pPr>
              <w:ind w:left="120"/>
              <w:spacing w:after="0"/>
              <w:rPr>
                <w:sz w:val="20"/>
                <w:szCs w:val="20"/>
                <w:color w:val="auto"/>
              </w:rPr>
            </w:pPr>
            <w:r>
              <w:rPr>
                <w:rFonts w:ascii="Arial" w:cs="Arial" w:eastAsia="Arial" w:hAnsi="Arial"/>
                <w:sz w:val="17"/>
                <w:szCs w:val="17"/>
                <w:color w:val="auto"/>
              </w:rPr>
              <w:t>Michael A. Cipolla</w:t>
            </w:r>
          </w:p>
        </w:tc>
        <w:tc>
          <w:tcPr>
            <w:tcW w:w="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160,000</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February 28, 2002</w:t>
            </w:r>
          </w:p>
        </w:tc>
        <w:tc>
          <w:tcPr>
            <w:tcW w:w="100" w:type="dxa"/>
            <w:vAlign w:val="bottom"/>
          </w:tcPr>
          <w:p>
            <w:pPr>
              <w:spacing w:after="0"/>
              <w:rPr>
                <w:sz w:val="24"/>
                <w:szCs w:val="24"/>
                <w:color w:val="auto"/>
              </w:rPr>
            </w:pPr>
          </w:p>
        </w:tc>
      </w:tr>
      <w:tr>
        <w:trPr>
          <w:trHeight w:val="210"/>
        </w:trPr>
        <w:tc>
          <w:tcPr>
            <w:tcW w:w="10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7"/>
                <w:szCs w:val="17"/>
                <w:color w:val="auto"/>
              </w:rPr>
              <w:t>Controller and Chief</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300" w:type="dxa"/>
            <w:vAlign w:val="bottom"/>
          </w:tcPr>
          <w:p>
            <w:pPr>
              <w:jc w:val="center"/>
              <w:ind w:right="1135"/>
              <w:spacing w:after="0"/>
              <w:rPr>
                <w:sz w:val="20"/>
                <w:szCs w:val="20"/>
                <w:color w:val="auto"/>
              </w:rPr>
            </w:pPr>
            <w:r>
              <w:rPr>
                <w:rFonts w:ascii="Arial" w:cs="Arial" w:eastAsia="Arial" w:hAnsi="Arial"/>
                <w:sz w:val="17"/>
                <w:szCs w:val="17"/>
                <w:color w:val="auto"/>
                <w:w w:val="95"/>
              </w:rPr>
              <w:t>Accounting Officer</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20"/>
        </w:trPr>
        <w:tc>
          <w:tcPr>
            <w:tcW w:w="1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93"/>
        </w:trPr>
        <w:tc>
          <w:tcPr>
            <w:tcW w:w="100" w:type="dxa"/>
            <w:vAlign w:val="bottom"/>
            <w:shd w:val="clear" w:color="auto" w:fill="C0C0C0"/>
          </w:tcPr>
          <w:p>
            <w:pPr>
              <w:spacing w:after="0"/>
              <w:rPr>
                <w:sz w:val="24"/>
                <w:szCs w:val="24"/>
                <w:color w:val="auto"/>
              </w:rPr>
            </w:pPr>
          </w:p>
        </w:tc>
        <w:tc>
          <w:tcPr>
            <w:tcW w:w="3300" w:type="dxa"/>
            <w:vAlign w:val="bottom"/>
            <w:shd w:val="clear" w:color="auto" w:fill="C0C0C0"/>
          </w:tcPr>
          <w:p>
            <w:pPr>
              <w:ind w:left="120"/>
              <w:spacing w:after="0"/>
              <w:rPr>
                <w:sz w:val="20"/>
                <w:szCs w:val="20"/>
                <w:color w:val="auto"/>
              </w:rPr>
            </w:pPr>
            <w:r>
              <w:rPr>
                <w:rFonts w:ascii="Arial" w:cs="Arial" w:eastAsia="Arial" w:hAnsi="Arial"/>
                <w:sz w:val="17"/>
                <w:szCs w:val="17"/>
                <w:color w:val="auto"/>
              </w:rPr>
              <w:t>Howard R. Crabtree</w:t>
            </w:r>
          </w:p>
        </w:tc>
        <w:tc>
          <w:tcPr>
            <w:tcW w:w="480" w:type="dxa"/>
            <w:vAlign w:val="bottom"/>
            <w:gridSpan w:val="2"/>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250,000</w:t>
            </w:r>
          </w:p>
        </w:tc>
        <w:tc>
          <w:tcPr>
            <w:tcW w:w="180" w:type="dxa"/>
            <w:vAlign w:val="bottom"/>
            <w:shd w:val="clear" w:color="auto" w:fill="C0C0C0"/>
          </w:tcPr>
          <w:p>
            <w:pPr>
              <w:spacing w:after="0"/>
              <w:rPr>
                <w:sz w:val="24"/>
                <w:szCs w:val="24"/>
                <w:color w:val="auto"/>
              </w:rPr>
            </w:pPr>
          </w:p>
        </w:tc>
        <w:tc>
          <w:tcPr>
            <w:tcW w:w="1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shd w:val="clear" w:color="auto" w:fill="C0C0C0"/>
          </w:tcPr>
          <w:p>
            <w:pPr>
              <w:spacing w:after="0"/>
              <w:rPr>
                <w:sz w:val="24"/>
                <w:szCs w:val="24"/>
                <w:color w:val="auto"/>
              </w:rPr>
            </w:pPr>
          </w:p>
        </w:tc>
        <w:tc>
          <w:tcPr>
            <w:tcW w:w="2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July 31, 2002</w:t>
            </w:r>
          </w:p>
        </w:tc>
        <w:tc>
          <w:tcPr>
            <w:tcW w:w="100" w:type="dxa"/>
            <w:vAlign w:val="bottom"/>
            <w:shd w:val="clear" w:color="auto" w:fill="C0C0C0"/>
          </w:tcPr>
          <w:p>
            <w:pPr>
              <w:spacing w:after="0"/>
              <w:rPr>
                <w:sz w:val="24"/>
                <w:szCs w:val="24"/>
                <w:color w:val="auto"/>
              </w:rPr>
            </w:pPr>
          </w:p>
        </w:tc>
      </w:tr>
      <w:tr>
        <w:trPr>
          <w:trHeight w:val="210"/>
        </w:trPr>
        <w:tc>
          <w:tcPr>
            <w:tcW w:w="100" w:type="dxa"/>
            <w:vAlign w:val="bottom"/>
            <w:shd w:val="clear" w:color="auto" w:fill="C0C0C0"/>
          </w:tcPr>
          <w:p>
            <w:pPr>
              <w:spacing w:after="0"/>
              <w:rPr>
                <w:sz w:val="18"/>
                <w:szCs w:val="18"/>
                <w:color w:val="auto"/>
              </w:rPr>
            </w:pPr>
          </w:p>
        </w:tc>
        <w:tc>
          <w:tcPr>
            <w:tcW w:w="3300" w:type="dxa"/>
            <w:vAlign w:val="bottom"/>
            <w:shd w:val="clear" w:color="auto" w:fill="C0C0C0"/>
          </w:tcPr>
          <w:p>
            <w:pPr>
              <w:ind w:left="260"/>
              <w:spacing w:after="0"/>
              <w:rPr>
                <w:sz w:val="20"/>
                <w:szCs w:val="20"/>
                <w:color w:val="auto"/>
              </w:rPr>
            </w:pPr>
            <w:r>
              <w:rPr>
                <w:rFonts w:ascii="Arial" w:cs="Arial" w:eastAsia="Arial" w:hAnsi="Arial"/>
                <w:sz w:val="17"/>
                <w:szCs w:val="17"/>
                <w:color w:val="auto"/>
              </w:rPr>
              <w:t>Vice President, Organization</w:t>
            </w:r>
          </w:p>
        </w:tc>
        <w:tc>
          <w:tcPr>
            <w:tcW w:w="18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4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2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r>
      <w:tr>
        <w:trPr>
          <w:trHeight w:val="216"/>
        </w:trPr>
        <w:tc>
          <w:tcPr>
            <w:tcW w:w="100" w:type="dxa"/>
            <w:vAlign w:val="bottom"/>
            <w:shd w:val="clear" w:color="auto" w:fill="C0C0C0"/>
          </w:tcPr>
          <w:p>
            <w:pPr>
              <w:spacing w:after="0"/>
              <w:rPr>
                <w:sz w:val="18"/>
                <w:szCs w:val="18"/>
                <w:color w:val="auto"/>
              </w:rPr>
            </w:pPr>
          </w:p>
        </w:tc>
        <w:tc>
          <w:tcPr>
            <w:tcW w:w="3300" w:type="dxa"/>
            <w:vAlign w:val="bottom"/>
            <w:shd w:val="clear" w:color="auto" w:fill="C0C0C0"/>
          </w:tcPr>
          <w:p>
            <w:pPr>
              <w:jc w:val="center"/>
              <w:ind w:right="1095"/>
              <w:spacing w:after="0"/>
              <w:rPr>
                <w:sz w:val="20"/>
                <w:szCs w:val="20"/>
                <w:color w:val="auto"/>
              </w:rPr>
            </w:pPr>
            <w:r>
              <w:rPr>
                <w:rFonts w:ascii="Arial" w:cs="Arial" w:eastAsia="Arial" w:hAnsi="Arial"/>
                <w:sz w:val="17"/>
                <w:szCs w:val="17"/>
                <w:color w:val="auto"/>
                <w:w w:val="87"/>
              </w:rPr>
              <w:t>and Human Resources</w:t>
            </w:r>
          </w:p>
        </w:tc>
        <w:tc>
          <w:tcPr>
            <w:tcW w:w="18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4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2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r>
      <w:tr>
        <w:trPr>
          <w:trHeight w:val="94"/>
        </w:trPr>
        <w:tc>
          <w:tcPr>
            <w:tcW w:w="100" w:type="dxa"/>
            <w:vAlign w:val="bottom"/>
            <w:shd w:val="clear" w:color="auto" w:fill="C0C0C0"/>
          </w:tcPr>
          <w:p>
            <w:pPr>
              <w:spacing w:after="0"/>
              <w:rPr>
                <w:sz w:val="8"/>
                <w:szCs w:val="8"/>
                <w:color w:val="auto"/>
              </w:rPr>
            </w:pPr>
          </w:p>
        </w:tc>
        <w:tc>
          <w:tcPr>
            <w:tcW w:w="3300" w:type="dxa"/>
            <w:vAlign w:val="bottom"/>
            <w:shd w:val="clear" w:color="auto" w:fill="C0C0C0"/>
          </w:tcPr>
          <w:p>
            <w:pPr>
              <w:spacing w:after="0"/>
              <w:rPr>
                <w:sz w:val="8"/>
                <w:szCs w:val="8"/>
                <w:color w:val="auto"/>
              </w:rPr>
            </w:pPr>
          </w:p>
        </w:tc>
        <w:tc>
          <w:tcPr>
            <w:tcW w:w="480" w:type="dxa"/>
            <w:vAlign w:val="bottom"/>
            <w:gridSpan w:val="2"/>
            <w:shd w:val="clear" w:color="auto" w:fill="C0C0C0"/>
          </w:tcPr>
          <w:p>
            <w:pPr>
              <w:spacing w:after="0"/>
              <w:rPr>
                <w:sz w:val="8"/>
                <w:szCs w:val="8"/>
                <w:color w:val="auto"/>
              </w:rPr>
            </w:pPr>
          </w:p>
        </w:tc>
        <w:tc>
          <w:tcPr>
            <w:tcW w:w="940" w:type="dxa"/>
            <w:vAlign w:val="bottom"/>
            <w:shd w:val="clear" w:color="auto" w:fill="C0C0C0"/>
          </w:tcPr>
          <w:p>
            <w:pPr>
              <w:spacing w:after="0"/>
              <w:rPr>
                <w:sz w:val="8"/>
                <w:szCs w:val="8"/>
                <w:color w:val="auto"/>
              </w:rPr>
            </w:pPr>
          </w:p>
        </w:tc>
        <w:tc>
          <w:tcPr>
            <w:tcW w:w="180" w:type="dxa"/>
            <w:vAlign w:val="bottom"/>
            <w:shd w:val="clear" w:color="auto" w:fill="C0C0C0"/>
          </w:tcPr>
          <w:p>
            <w:pPr>
              <w:spacing w:after="0"/>
              <w:rPr>
                <w:sz w:val="8"/>
                <w:szCs w:val="8"/>
                <w:color w:val="auto"/>
              </w:rPr>
            </w:pPr>
          </w:p>
        </w:tc>
        <w:tc>
          <w:tcPr>
            <w:tcW w:w="1480" w:type="dxa"/>
            <w:vAlign w:val="bottom"/>
            <w:shd w:val="clear" w:color="auto" w:fill="C0C0C0"/>
          </w:tcPr>
          <w:p>
            <w:pPr>
              <w:spacing w:after="0"/>
              <w:rPr>
                <w:sz w:val="8"/>
                <w:szCs w:val="8"/>
                <w:color w:val="auto"/>
              </w:rPr>
            </w:pPr>
          </w:p>
        </w:tc>
        <w:tc>
          <w:tcPr>
            <w:tcW w:w="180" w:type="dxa"/>
            <w:vAlign w:val="bottom"/>
            <w:shd w:val="clear" w:color="auto" w:fill="C0C0C0"/>
          </w:tcPr>
          <w:p>
            <w:pPr>
              <w:spacing w:after="0"/>
              <w:rPr>
                <w:sz w:val="8"/>
                <w:szCs w:val="8"/>
                <w:color w:val="auto"/>
              </w:rPr>
            </w:pPr>
          </w:p>
        </w:tc>
        <w:tc>
          <w:tcPr>
            <w:tcW w:w="2260" w:type="dxa"/>
            <w:vAlign w:val="bottom"/>
            <w:shd w:val="clear" w:color="auto" w:fill="C0C0C0"/>
          </w:tcPr>
          <w:p>
            <w:pPr>
              <w:spacing w:after="0"/>
              <w:rPr>
                <w:sz w:val="8"/>
                <w:szCs w:val="8"/>
                <w:color w:val="auto"/>
              </w:rPr>
            </w:pPr>
          </w:p>
        </w:tc>
        <w:tc>
          <w:tcPr>
            <w:tcW w:w="100" w:type="dxa"/>
            <w:vAlign w:val="bottom"/>
            <w:shd w:val="clear" w:color="auto" w:fill="C0C0C0"/>
          </w:tcPr>
          <w:p>
            <w:pPr>
              <w:spacing w:after="0"/>
              <w:rPr>
                <w:sz w:val="8"/>
                <w:szCs w:val="8"/>
                <w:color w:val="auto"/>
              </w:rPr>
            </w:pPr>
          </w:p>
        </w:tc>
      </w:tr>
      <w:tr>
        <w:trPr>
          <w:trHeight w:val="293"/>
        </w:trPr>
        <w:tc>
          <w:tcPr>
            <w:tcW w:w="100" w:type="dxa"/>
            <w:vAlign w:val="bottom"/>
          </w:tcPr>
          <w:p>
            <w:pPr>
              <w:spacing w:after="0"/>
              <w:rPr>
                <w:sz w:val="24"/>
                <w:szCs w:val="24"/>
                <w:color w:val="auto"/>
              </w:rPr>
            </w:pPr>
          </w:p>
        </w:tc>
        <w:tc>
          <w:tcPr>
            <w:tcW w:w="3300" w:type="dxa"/>
            <w:vAlign w:val="bottom"/>
          </w:tcPr>
          <w:p>
            <w:pPr>
              <w:ind w:left="120"/>
              <w:spacing w:after="0"/>
              <w:rPr>
                <w:sz w:val="20"/>
                <w:szCs w:val="20"/>
                <w:color w:val="auto"/>
              </w:rPr>
            </w:pPr>
            <w:r>
              <w:rPr>
                <w:rFonts w:ascii="Arial" w:cs="Arial" w:eastAsia="Arial" w:hAnsi="Arial"/>
                <w:sz w:val="17"/>
                <w:szCs w:val="17"/>
                <w:color w:val="auto"/>
              </w:rPr>
              <w:t>Anton Dulski</w:t>
            </w:r>
          </w:p>
        </w:tc>
        <w:tc>
          <w:tcPr>
            <w:tcW w:w="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385,000</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February 28, 2003</w:t>
            </w:r>
          </w:p>
        </w:tc>
        <w:tc>
          <w:tcPr>
            <w:tcW w:w="10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7"/>
                <w:szCs w:val="17"/>
                <w:color w:val="auto"/>
              </w:rPr>
              <w:t>Chief Operating Officer</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0"/>
        </w:trPr>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100" w:type="dxa"/>
            <w:vAlign w:val="bottom"/>
            <w:shd w:val="clear" w:color="auto" w:fill="C0C0C0"/>
          </w:tcPr>
          <w:p>
            <w:pPr>
              <w:spacing w:after="0"/>
              <w:rPr>
                <w:sz w:val="24"/>
                <w:szCs w:val="24"/>
                <w:color w:val="auto"/>
              </w:rPr>
            </w:pPr>
          </w:p>
        </w:tc>
        <w:tc>
          <w:tcPr>
            <w:tcW w:w="3300" w:type="dxa"/>
            <w:vAlign w:val="bottom"/>
            <w:shd w:val="clear" w:color="auto" w:fill="C0C0C0"/>
          </w:tcPr>
          <w:p>
            <w:pPr>
              <w:ind w:left="120"/>
              <w:spacing w:after="0"/>
              <w:rPr>
                <w:sz w:val="20"/>
                <w:szCs w:val="20"/>
                <w:color w:val="auto"/>
              </w:rPr>
            </w:pPr>
            <w:r>
              <w:rPr>
                <w:rFonts w:ascii="Arial" w:cs="Arial" w:eastAsia="Arial" w:hAnsi="Arial"/>
                <w:sz w:val="17"/>
                <w:szCs w:val="17"/>
                <w:color w:val="auto"/>
              </w:rPr>
              <w:t>S. Garrett Gray</w:t>
            </w:r>
          </w:p>
        </w:tc>
        <w:tc>
          <w:tcPr>
            <w:tcW w:w="480" w:type="dxa"/>
            <w:vAlign w:val="bottom"/>
            <w:gridSpan w:val="2"/>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250,000</w:t>
            </w:r>
          </w:p>
        </w:tc>
        <w:tc>
          <w:tcPr>
            <w:tcW w:w="180" w:type="dxa"/>
            <w:vAlign w:val="bottom"/>
            <w:shd w:val="clear" w:color="auto" w:fill="C0C0C0"/>
          </w:tcPr>
          <w:p>
            <w:pPr>
              <w:spacing w:after="0"/>
              <w:rPr>
                <w:sz w:val="24"/>
                <w:szCs w:val="24"/>
                <w:color w:val="auto"/>
              </w:rPr>
            </w:pPr>
          </w:p>
        </w:tc>
        <w:tc>
          <w:tcPr>
            <w:tcW w:w="1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shd w:val="clear" w:color="auto" w:fill="C0C0C0"/>
          </w:tcPr>
          <w:p>
            <w:pPr>
              <w:spacing w:after="0"/>
              <w:rPr>
                <w:sz w:val="24"/>
                <w:szCs w:val="24"/>
                <w:color w:val="auto"/>
              </w:rPr>
            </w:pPr>
          </w:p>
        </w:tc>
        <w:tc>
          <w:tcPr>
            <w:tcW w:w="2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July 31, 2002</w:t>
            </w:r>
          </w:p>
        </w:tc>
        <w:tc>
          <w:tcPr>
            <w:tcW w:w="100" w:type="dxa"/>
            <w:vAlign w:val="bottom"/>
            <w:shd w:val="clear" w:color="auto" w:fill="C0C0C0"/>
          </w:tcPr>
          <w:p>
            <w:pPr>
              <w:spacing w:after="0"/>
              <w:rPr>
                <w:sz w:val="24"/>
                <w:szCs w:val="24"/>
                <w:color w:val="auto"/>
              </w:rPr>
            </w:pPr>
          </w:p>
        </w:tc>
      </w:tr>
      <w:tr>
        <w:trPr>
          <w:trHeight w:val="210"/>
        </w:trPr>
        <w:tc>
          <w:tcPr>
            <w:tcW w:w="100" w:type="dxa"/>
            <w:vAlign w:val="bottom"/>
            <w:shd w:val="clear" w:color="auto" w:fill="C0C0C0"/>
          </w:tcPr>
          <w:p>
            <w:pPr>
              <w:spacing w:after="0"/>
              <w:rPr>
                <w:sz w:val="18"/>
                <w:szCs w:val="18"/>
                <w:color w:val="auto"/>
              </w:rPr>
            </w:pPr>
          </w:p>
        </w:tc>
        <w:tc>
          <w:tcPr>
            <w:tcW w:w="3300" w:type="dxa"/>
            <w:vAlign w:val="bottom"/>
            <w:shd w:val="clear" w:color="auto" w:fill="C0C0C0"/>
          </w:tcPr>
          <w:p>
            <w:pPr>
              <w:ind w:left="260"/>
              <w:spacing w:after="0"/>
              <w:rPr>
                <w:sz w:val="20"/>
                <w:szCs w:val="20"/>
                <w:color w:val="auto"/>
              </w:rPr>
            </w:pPr>
            <w:r>
              <w:rPr>
                <w:rFonts w:ascii="Arial" w:cs="Arial" w:eastAsia="Arial" w:hAnsi="Arial"/>
                <w:sz w:val="17"/>
                <w:szCs w:val="17"/>
                <w:color w:val="auto"/>
              </w:rPr>
              <w:t>Vice President, General</w:t>
            </w:r>
          </w:p>
        </w:tc>
        <w:tc>
          <w:tcPr>
            <w:tcW w:w="18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4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2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r>
      <w:tr>
        <w:trPr>
          <w:trHeight w:val="216"/>
        </w:trPr>
        <w:tc>
          <w:tcPr>
            <w:tcW w:w="100" w:type="dxa"/>
            <w:vAlign w:val="bottom"/>
            <w:shd w:val="clear" w:color="auto" w:fill="C0C0C0"/>
          </w:tcPr>
          <w:p>
            <w:pPr>
              <w:spacing w:after="0"/>
              <w:rPr>
                <w:sz w:val="18"/>
                <w:szCs w:val="18"/>
                <w:color w:val="auto"/>
              </w:rPr>
            </w:pPr>
          </w:p>
        </w:tc>
        <w:tc>
          <w:tcPr>
            <w:tcW w:w="3300" w:type="dxa"/>
            <w:vAlign w:val="bottom"/>
            <w:shd w:val="clear" w:color="auto" w:fill="C0C0C0"/>
          </w:tcPr>
          <w:p>
            <w:pPr>
              <w:ind w:left="260"/>
              <w:spacing w:after="0"/>
              <w:rPr>
                <w:sz w:val="20"/>
                <w:szCs w:val="20"/>
                <w:color w:val="auto"/>
              </w:rPr>
            </w:pPr>
            <w:r>
              <w:rPr>
                <w:rFonts w:ascii="Arial" w:cs="Arial" w:eastAsia="Arial" w:hAnsi="Arial"/>
                <w:sz w:val="17"/>
                <w:szCs w:val="17"/>
                <w:color w:val="auto"/>
              </w:rPr>
              <w:t>Counsel and Secretary</w:t>
            </w:r>
          </w:p>
        </w:tc>
        <w:tc>
          <w:tcPr>
            <w:tcW w:w="18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4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2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r>
      <w:tr>
        <w:trPr>
          <w:trHeight w:val="94"/>
        </w:trPr>
        <w:tc>
          <w:tcPr>
            <w:tcW w:w="100" w:type="dxa"/>
            <w:vAlign w:val="bottom"/>
            <w:shd w:val="clear" w:color="auto" w:fill="C0C0C0"/>
          </w:tcPr>
          <w:p>
            <w:pPr>
              <w:spacing w:after="0"/>
              <w:rPr>
                <w:sz w:val="8"/>
                <w:szCs w:val="8"/>
                <w:color w:val="auto"/>
              </w:rPr>
            </w:pPr>
          </w:p>
        </w:tc>
        <w:tc>
          <w:tcPr>
            <w:tcW w:w="3300" w:type="dxa"/>
            <w:vAlign w:val="bottom"/>
            <w:shd w:val="clear" w:color="auto" w:fill="C0C0C0"/>
          </w:tcPr>
          <w:p>
            <w:pPr>
              <w:spacing w:after="0"/>
              <w:rPr>
                <w:sz w:val="8"/>
                <w:szCs w:val="8"/>
                <w:color w:val="auto"/>
              </w:rPr>
            </w:pPr>
          </w:p>
        </w:tc>
        <w:tc>
          <w:tcPr>
            <w:tcW w:w="480" w:type="dxa"/>
            <w:vAlign w:val="bottom"/>
            <w:gridSpan w:val="2"/>
            <w:shd w:val="clear" w:color="auto" w:fill="C0C0C0"/>
          </w:tcPr>
          <w:p>
            <w:pPr>
              <w:spacing w:after="0"/>
              <w:rPr>
                <w:sz w:val="8"/>
                <w:szCs w:val="8"/>
                <w:color w:val="auto"/>
              </w:rPr>
            </w:pPr>
          </w:p>
        </w:tc>
        <w:tc>
          <w:tcPr>
            <w:tcW w:w="940" w:type="dxa"/>
            <w:vAlign w:val="bottom"/>
            <w:shd w:val="clear" w:color="auto" w:fill="C0C0C0"/>
          </w:tcPr>
          <w:p>
            <w:pPr>
              <w:spacing w:after="0"/>
              <w:rPr>
                <w:sz w:val="8"/>
                <w:szCs w:val="8"/>
                <w:color w:val="auto"/>
              </w:rPr>
            </w:pPr>
          </w:p>
        </w:tc>
        <w:tc>
          <w:tcPr>
            <w:tcW w:w="180" w:type="dxa"/>
            <w:vAlign w:val="bottom"/>
            <w:shd w:val="clear" w:color="auto" w:fill="C0C0C0"/>
          </w:tcPr>
          <w:p>
            <w:pPr>
              <w:spacing w:after="0"/>
              <w:rPr>
                <w:sz w:val="8"/>
                <w:szCs w:val="8"/>
                <w:color w:val="auto"/>
              </w:rPr>
            </w:pPr>
          </w:p>
        </w:tc>
        <w:tc>
          <w:tcPr>
            <w:tcW w:w="1480" w:type="dxa"/>
            <w:vAlign w:val="bottom"/>
            <w:shd w:val="clear" w:color="auto" w:fill="C0C0C0"/>
          </w:tcPr>
          <w:p>
            <w:pPr>
              <w:spacing w:after="0"/>
              <w:rPr>
                <w:sz w:val="8"/>
                <w:szCs w:val="8"/>
                <w:color w:val="auto"/>
              </w:rPr>
            </w:pPr>
          </w:p>
        </w:tc>
        <w:tc>
          <w:tcPr>
            <w:tcW w:w="180" w:type="dxa"/>
            <w:vAlign w:val="bottom"/>
            <w:shd w:val="clear" w:color="auto" w:fill="C0C0C0"/>
          </w:tcPr>
          <w:p>
            <w:pPr>
              <w:spacing w:after="0"/>
              <w:rPr>
                <w:sz w:val="8"/>
                <w:szCs w:val="8"/>
                <w:color w:val="auto"/>
              </w:rPr>
            </w:pPr>
          </w:p>
        </w:tc>
        <w:tc>
          <w:tcPr>
            <w:tcW w:w="2260" w:type="dxa"/>
            <w:vAlign w:val="bottom"/>
            <w:shd w:val="clear" w:color="auto" w:fill="C0C0C0"/>
          </w:tcPr>
          <w:p>
            <w:pPr>
              <w:spacing w:after="0"/>
              <w:rPr>
                <w:sz w:val="8"/>
                <w:szCs w:val="8"/>
                <w:color w:val="auto"/>
              </w:rPr>
            </w:pPr>
          </w:p>
        </w:tc>
        <w:tc>
          <w:tcPr>
            <w:tcW w:w="100" w:type="dxa"/>
            <w:vAlign w:val="bottom"/>
            <w:shd w:val="clear" w:color="auto" w:fill="C0C0C0"/>
          </w:tcPr>
          <w:p>
            <w:pPr>
              <w:spacing w:after="0"/>
              <w:rPr>
                <w:sz w:val="8"/>
                <w:szCs w:val="8"/>
                <w:color w:val="auto"/>
              </w:rPr>
            </w:pPr>
          </w:p>
        </w:tc>
      </w:tr>
      <w:tr>
        <w:trPr>
          <w:trHeight w:val="293"/>
        </w:trPr>
        <w:tc>
          <w:tcPr>
            <w:tcW w:w="100" w:type="dxa"/>
            <w:vAlign w:val="bottom"/>
          </w:tcPr>
          <w:p>
            <w:pPr>
              <w:spacing w:after="0"/>
              <w:rPr>
                <w:sz w:val="24"/>
                <w:szCs w:val="24"/>
                <w:color w:val="auto"/>
              </w:rPr>
            </w:pPr>
          </w:p>
        </w:tc>
        <w:tc>
          <w:tcPr>
            <w:tcW w:w="3300" w:type="dxa"/>
            <w:vAlign w:val="bottom"/>
          </w:tcPr>
          <w:p>
            <w:pPr>
              <w:ind w:left="120"/>
              <w:spacing w:after="0"/>
              <w:rPr>
                <w:sz w:val="20"/>
                <w:szCs w:val="20"/>
                <w:color w:val="auto"/>
              </w:rPr>
            </w:pPr>
            <w:r>
              <w:rPr>
                <w:rFonts w:ascii="Arial" w:cs="Arial" w:eastAsia="Arial" w:hAnsi="Arial"/>
                <w:sz w:val="17"/>
                <w:szCs w:val="17"/>
                <w:color w:val="auto"/>
              </w:rPr>
              <w:t>William Kromberg</w:t>
            </w:r>
          </w:p>
        </w:tc>
        <w:tc>
          <w:tcPr>
            <w:tcW w:w="48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200,000</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February 28, 2002</w:t>
            </w:r>
          </w:p>
        </w:tc>
        <w:tc>
          <w:tcPr>
            <w:tcW w:w="10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7"/>
                <w:szCs w:val="17"/>
                <w:color w:val="auto"/>
              </w:rPr>
              <w:t>Vice President - Taxes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0"/>
        </w:trPr>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100" w:type="dxa"/>
            <w:vAlign w:val="bottom"/>
            <w:shd w:val="clear" w:color="auto" w:fill="C0C0C0"/>
          </w:tcPr>
          <w:p>
            <w:pPr>
              <w:spacing w:after="0"/>
              <w:rPr>
                <w:sz w:val="24"/>
                <w:szCs w:val="24"/>
                <w:color w:val="auto"/>
              </w:rPr>
            </w:pPr>
          </w:p>
        </w:tc>
        <w:tc>
          <w:tcPr>
            <w:tcW w:w="3300" w:type="dxa"/>
            <w:vAlign w:val="bottom"/>
            <w:shd w:val="clear" w:color="auto" w:fill="C0C0C0"/>
          </w:tcPr>
          <w:p>
            <w:pPr>
              <w:ind w:left="120"/>
              <w:spacing w:after="0"/>
              <w:rPr>
                <w:sz w:val="20"/>
                <w:szCs w:val="20"/>
                <w:color w:val="auto"/>
              </w:rPr>
            </w:pPr>
            <w:r>
              <w:rPr>
                <w:rFonts w:ascii="Arial" w:cs="Arial" w:eastAsia="Arial" w:hAnsi="Arial"/>
                <w:sz w:val="17"/>
                <w:szCs w:val="17"/>
                <w:color w:val="auto"/>
              </w:rPr>
              <w:t>Kenneth Massimine</w:t>
            </w:r>
          </w:p>
        </w:tc>
        <w:tc>
          <w:tcPr>
            <w:tcW w:w="480" w:type="dxa"/>
            <w:vAlign w:val="bottom"/>
            <w:gridSpan w:val="2"/>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200,000</w:t>
            </w:r>
          </w:p>
        </w:tc>
        <w:tc>
          <w:tcPr>
            <w:tcW w:w="180" w:type="dxa"/>
            <w:vAlign w:val="bottom"/>
            <w:shd w:val="clear" w:color="auto" w:fill="C0C0C0"/>
          </w:tcPr>
          <w:p>
            <w:pPr>
              <w:spacing w:after="0"/>
              <w:rPr>
                <w:sz w:val="24"/>
                <w:szCs w:val="24"/>
                <w:color w:val="auto"/>
              </w:rPr>
            </w:pPr>
          </w:p>
        </w:tc>
        <w:tc>
          <w:tcPr>
            <w:tcW w:w="1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shd w:val="clear" w:color="auto" w:fill="C0C0C0"/>
          </w:tcPr>
          <w:p>
            <w:pPr>
              <w:spacing w:after="0"/>
              <w:rPr>
                <w:sz w:val="24"/>
                <w:szCs w:val="24"/>
                <w:color w:val="auto"/>
              </w:rPr>
            </w:pPr>
          </w:p>
        </w:tc>
        <w:tc>
          <w:tcPr>
            <w:tcW w:w="2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July 31, 2002</w:t>
            </w:r>
          </w:p>
        </w:tc>
        <w:tc>
          <w:tcPr>
            <w:tcW w:w="100" w:type="dxa"/>
            <w:vAlign w:val="bottom"/>
            <w:shd w:val="clear" w:color="auto" w:fill="C0C0C0"/>
          </w:tcPr>
          <w:p>
            <w:pPr>
              <w:spacing w:after="0"/>
              <w:rPr>
                <w:sz w:val="24"/>
                <w:szCs w:val="24"/>
                <w:color w:val="auto"/>
              </w:rPr>
            </w:pPr>
          </w:p>
        </w:tc>
      </w:tr>
      <w:tr>
        <w:trPr>
          <w:trHeight w:val="216"/>
        </w:trPr>
        <w:tc>
          <w:tcPr>
            <w:tcW w:w="100" w:type="dxa"/>
            <w:vAlign w:val="bottom"/>
            <w:shd w:val="clear" w:color="auto" w:fill="C0C0C0"/>
          </w:tcPr>
          <w:p>
            <w:pPr>
              <w:spacing w:after="0"/>
              <w:rPr>
                <w:sz w:val="18"/>
                <w:szCs w:val="18"/>
                <w:color w:val="auto"/>
              </w:rPr>
            </w:pPr>
          </w:p>
        </w:tc>
        <w:tc>
          <w:tcPr>
            <w:tcW w:w="3300" w:type="dxa"/>
            <w:vAlign w:val="bottom"/>
            <w:shd w:val="clear" w:color="auto" w:fill="C0C0C0"/>
          </w:tcPr>
          <w:p>
            <w:pPr>
              <w:ind w:left="260"/>
              <w:spacing w:after="0"/>
              <w:rPr>
                <w:sz w:val="20"/>
                <w:szCs w:val="20"/>
                <w:color w:val="auto"/>
              </w:rPr>
            </w:pPr>
            <w:r>
              <w:rPr>
                <w:rFonts w:ascii="Arial" w:cs="Arial" w:eastAsia="Arial" w:hAnsi="Arial"/>
                <w:sz w:val="17"/>
                <w:szCs w:val="17"/>
                <w:color w:val="auto"/>
              </w:rPr>
              <w:t>Vice President</w:t>
            </w:r>
          </w:p>
        </w:tc>
        <w:tc>
          <w:tcPr>
            <w:tcW w:w="18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4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2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r>
      <w:tr>
        <w:trPr>
          <w:trHeight w:val="264"/>
        </w:trPr>
        <w:tc>
          <w:tcPr>
            <w:tcW w:w="100" w:type="dxa"/>
            <w:vAlign w:val="bottom"/>
            <w:shd w:val="clear" w:color="auto" w:fill="C0C0C0"/>
          </w:tcPr>
          <w:p>
            <w:pPr>
              <w:spacing w:after="0"/>
              <w:rPr>
                <w:sz w:val="22"/>
                <w:szCs w:val="22"/>
                <w:color w:val="auto"/>
              </w:rPr>
            </w:pPr>
          </w:p>
        </w:tc>
        <w:tc>
          <w:tcPr>
            <w:tcW w:w="3300" w:type="dxa"/>
            <w:vAlign w:val="bottom"/>
            <w:shd w:val="clear" w:color="auto" w:fill="C0C0C0"/>
          </w:tcPr>
          <w:p>
            <w:pPr>
              <w:spacing w:after="0"/>
              <w:rPr>
                <w:sz w:val="22"/>
                <w:szCs w:val="22"/>
                <w:color w:val="auto"/>
              </w:rPr>
            </w:pPr>
          </w:p>
        </w:tc>
        <w:tc>
          <w:tcPr>
            <w:tcW w:w="480" w:type="dxa"/>
            <w:vAlign w:val="bottom"/>
            <w:gridSpan w:val="2"/>
            <w:shd w:val="clear" w:color="auto" w:fill="C0C0C0"/>
          </w:tcPr>
          <w:p>
            <w:pPr>
              <w:spacing w:after="0"/>
              <w:rPr>
                <w:sz w:val="22"/>
                <w:szCs w:val="22"/>
                <w:color w:val="auto"/>
              </w:rPr>
            </w:pPr>
          </w:p>
        </w:tc>
        <w:tc>
          <w:tcPr>
            <w:tcW w:w="94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4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r>
      <w:tr>
        <w:trPr>
          <w:trHeight w:val="293"/>
        </w:trPr>
        <w:tc>
          <w:tcPr>
            <w:tcW w:w="100" w:type="dxa"/>
            <w:vAlign w:val="bottom"/>
          </w:tcPr>
          <w:p>
            <w:pPr>
              <w:spacing w:after="0"/>
              <w:rPr>
                <w:sz w:val="24"/>
                <w:szCs w:val="24"/>
                <w:color w:val="auto"/>
              </w:rPr>
            </w:pPr>
          </w:p>
        </w:tc>
        <w:tc>
          <w:tcPr>
            <w:tcW w:w="3300" w:type="dxa"/>
            <w:vAlign w:val="bottom"/>
          </w:tcPr>
          <w:p>
            <w:pPr>
              <w:ind w:left="120"/>
              <w:spacing w:after="0"/>
              <w:rPr>
                <w:sz w:val="20"/>
                <w:szCs w:val="20"/>
                <w:color w:val="auto"/>
              </w:rPr>
            </w:pPr>
            <w:r>
              <w:rPr>
                <w:rFonts w:ascii="Arial" w:cs="Arial" w:eastAsia="Arial" w:hAnsi="Arial"/>
                <w:sz w:val="17"/>
                <w:szCs w:val="17"/>
                <w:color w:val="auto"/>
              </w:rPr>
              <w:t>Paul R. Saueracker</w:t>
            </w:r>
          </w:p>
        </w:tc>
        <w:tc>
          <w:tcPr>
            <w:tcW w:w="4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500,000</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February 28, 2003</w:t>
            </w:r>
          </w:p>
        </w:tc>
        <w:tc>
          <w:tcPr>
            <w:tcW w:w="100" w:type="dxa"/>
            <w:vAlign w:val="bottom"/>
          </w:tcPr>
          <w:p>
            <w:pPr>
              <w:spacing w:after="0"/>
              <w:rPr>
                <w:sz w:val="24"/>
                <w:szCs w:val="24"/>
                <w:color w:val="auto"/>
              </w:rPr>
            </w:pPr>
          </w:p>
        </w:tc>
      </w:tr>
      <w:tr>
        <w:trPr>
          <w:trHeight w:val="210"/>
        </w:trPr>
        <w:tc>
          <w:tcPr>
            <w:tcW w:w="10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7"/>
                <w:szCs w:val="17"/>
                <w:color w:val="auto"/>
              </w:rPr>
              <w:t>President and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300" w:type="dxa"/>
            <w:vAlign w:val="bottom"/>
          </w:tcPr>
          <w:p>
            <w:pPr>
              <w:jc w:val="center"/>
              <w:ind w:right="1175"/>
              <w:spacing w:after="0"/>
              <w:rPr>
                <w:sz w:val="20"/>
                <w:szCs w:val="20"/>
                <w:color w:val="auto"/>
              </w:rPr>
            </w:pPr>
            <w:r>
              <w:rPr>
                <w:rFonts w:ascii="Arial" w:cs="Arial" w:eastAsia="Arial" w:hAnsi="Arial"/>
                <w:sz w:val="17"/>
                <w:szCs w:val="17"/>
                <w:color w:val="auto"/>
                <w:w w:val="94"/>
              </w:rPr>
              <w:t>Chief Executive Officer</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20"/>
        </w:trPr>
        <w:tc>
          <w:tcPr>
            <w:tcW w:w="1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93"/>
        </w:trPr>
        <w:tc>
          <w:tcPr>
            <w:tcW w:w="100" w:type="dxa"/>
            <w:vAlign w:val="bottom"/>
            <w:shd w:val="clear" w:color="auto" w:fill="C0C0C0"/>
          </w:tcPr>
          <w:p>
            <w:pPr>
              <w:spacing w:after="0"/>
              <w:rPr>
                <w:sz w:val="24"/>
                <w:szCs w:val="24"/>
                <w:color w:val="auto"/>
              </w:rPr>
            </w:pPr>
          </w:p>
        </w:tc>
        <w:tc>
          <w:tcPr>
            <w:tcW w:w="3300" w:type="dxa"/>
            <w:vAlign w:val="bottom"/>
            <w:shd w:val="clear" w:color="auto" w:fill="C0C0C0"/>
          </w:tcPr>
          <w:p>
            <w:pPr>
              <w:ind w:left="120"/>
              <w:spacing w:after="0"/>
              <w:rPr>
                <w:sz w:val="20"/>
                <w:szCs w:val="20"/>
                <w:color w:val="auto"/>
              </w:rPr>
            </w:pPr>
            <w:r>
              <w:rPr>
                <w:rFonts w:ascii="Arial" w:cs="Arial" w:eastAsia="Arial" w:hAnsi="Arial"/>
                <w:sz w:val="17"/>
                <w:szCs w:val="17"/>
                <w:color w:val="auto"/>
              </w:rPr>
              <w:t>John A. Sorel</w:t>
            </w:r>
          </w:p>
        </w:tc>
        <w:tc>
          <w:tcPr>
            <w:tcW w:w="480" w:type="dxa"/>
            <w:vAlign w:val="bottom"/>
            <w:gridSpan w:val="2"/>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235,000</w:t>
            </w:r>
          </w:p>
        </w:tc>
        <w:tc>
          <w:tcPr>
            <w:tcW w:w="180" w:type="dxa"/>
            <w:vAlign w:val="bottom"/>
            <w:shd w:val="clear" w:color="auto" w:fill="C0C0C0"/>
          </w:tcPr>
          <w:p>
            <w:pPr>
              <w:spacing w:after="0"/>
              <w:rPr>
                <w:sz w:val="24"/>
                <w:szCs w:val="24"/>
                <w:color w:val="auto"/>
              </w:rPr>
            </w:pPr>
          </w:p>
        </w:tc>
        <w:tc>
          <w:tcPr>
            <w:tcW w:w="14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shd w:val="clear" w:color="auto" w:fill="C0C0C0"/>
          </w:tcPr>
          <w:p>
            <w:pPr>
              <w:spacing w:after="0"/>
              <w:rPr>
                <w:sz w:val="24"/>
                <w:szCs w:val="24"/>
                <w:color w:val="auto"/>
              </w:rPr>
            </w:pPr>
          </w:p>
        </w:tc>
        <w:tc>
          <w:tcPr>
            <w:tcW w:w="22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July 31, 2002</w:t>
            </w:r>
          </w:p>
        </w:tc>
        <w:tc>
          <w:tcPr>
            <w:tcW w:w="100" w:type="dxa"/>
            <w:vAlign w:val="bottom"/>
            <w:shd w:val="clear" w:color="auto" w:fill="C0C0C0"/>
          </w:tcPr>
          <w:p>
            <w:pPr>
              <w:spacing w:after="0"/>
              <w:rPr>
                <w:sz w:val="24"/>
                <w:szCs w:val="24"/>
                <w:color w:val="auto"/>
              </w:rPr>
            </w:pPr>
          </w:p>
        </w:tc>
      </w:tr>
      <w:tr>
        <w:trPr>
          <w:trHeight w:val="216"/>
        </w:trPr>
        <w:tc>
          <w:tcPr>
            <w:tcW w:w="100" w:type="dxa"/>
            <w:vAlign w:val="bottom"/>
            <w:shd w:val="clear" w:color="auto" w:fill="C0C0C0"/>
          </w:tcPr>
          <w:p>
            <w:pPr>
              <w:spacing w:after="0"/>
              <w:rPr>
                <w:sz w:val="18"/>
                <w:szCs w:val="18"/>
                <w:color w:val="auto"/>
              </w:rPr>
            </w:pPr>
          </w:p>
        </w:tc>
        <w:tc>
          <w:tcPr>
            <w:tcW w:w="3300" w:type="dxa"/>
            <w:vAlign w:val="bottom"/>
            <w:shd w:val="clear" w:color="auto" w:fill="C0C0C0"/>
          </w:tcPr>
          <w:p>
            <w:pPr>
              <w:ind w:left="260"/>
              <w:spacing w:after="0"/>
              <w:rPr>
                <w:sz w:val="20"/>
                <w:szCs w:val="20"/>
                <w:color w:val="auto"/>
              </w:rPr>
            </w:pPr>
            <w:r>
              <w:rPr>
                <w:rFonts w:ascii="Arial" w:cs="Arial" w:eastAsia="Arial" w:hAnsi="Arial"/>
                <w:sz w:val="17"/>
                <w:szCs w:val="17"/>
                <w:color w:val="auto"/>
              </w:rPr>
              <w:t>Vice President</w:t>
            </w:r>
          </w:p>
        </w:tc>
        <w:tc>
          <w:tcPr>
            <w:tcW w:w="18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4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2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r>
      <w:tr>
        <w:trPr>
          <w:trHeight w:val="264"/>
        </w:trPr>
        <w:tc>
          <w:tcPr>
            <w:tcW w:w="100" w:type="dxa"/>
            <w:vAlign w:val="bottom"/>
            <w:shd w:val="clear" w:color="auto" w:fill="C0C0C0"/>
          </w:tcPr>
          <w:p>
            <w:pPr>
              <w:spacing w:after="0"/>
              <w:rPr>
                <w:sz w:val="22"/>
                <w:szCs w:val="22"/>
                <w:color w:val="auto"/>
              </w:rPr>
            </w:pPr>
          </w:p>
        </w:tc>
        <w:tc>
          <w:tcPr>
            <w:tcW w:w="33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94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4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-4784725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-4784725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-4784725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-4784725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-4784725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-4784725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-4784725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-4784725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EMPLOYMENT AGREEMENT</w:t>
      </w:r>
    </w:p>
    <w:p>
      <w:pPr>
        <w:spacing w:after="0" w:line="200" w:lineRule="exact"/>
        <w:rPr>
          <w:sz w:val="20"/>
          <w:szCs w:val="20"/>
          <w:color w:val="auto"/>
        </w:rPr>
      </w:pPr>
    </w:p>
    <w:p>
      <w:pPr>
        <w:spacing w:after="0" w:line="35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This Employment Agreement ("Agreement"), made as of the ____ day of __________, 200___, by and between Minerals Technologies Inc., 405 Lexington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Avenue, New York, New York 10174-1901, a Delaware Corporation (hereinafter referred to as "Employer"), and ________________ (hereinafter referred to 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"Executive").</w:t>
      </w:r>
    </w:p>
    <w:p>
      <w:pPr>
        <w:spacing w:after="0" w:line="191" w:lineRule="exact"/>
        <w:rPr>
          <w:sz w:val="20"/>
          <w:szCs w:val="20"/>
          <w:color w:val="auto"/>
        </w:rPr>
      </w:pPr>
    </w:p>
    <w:p>
      <w:pPr>
        <w:jc w:val="center"/>
        <w:spacing w:after="0" w:line="295" w:lineRule="auto"/>
        <w:rPr>
          <w:sz w:val="20"/>
          <w:szCs w:val="20"/>
          <w:color w:val="auto"/>
        </w:rPr>
      </w:pPr>
      <w:r>
        <w:rPr>
          <w:rFonts w:ascii="Arial" w:cs="Arial" w:eastAsia="Arial" w:hAnsi="Arial"/>
          <w:sz w:val="15"/>
          <w:szCs w:val="15"/>
          <w:color w:val="auto"/>
        </w:rPr>
        <w:t>WHEREAS, in furtherance of Employer's commitment to the continued success of its businesses, and in recognition of the valuable contributions to be made by Executive, Employer has agreed to employ Executive for a period commencing on the _____ day of _________ 2001, ("Commencement Date") and terminating on the</w:t>
      </w:r>
    </w:p>
    <w:p>
      <w:pPr>
        <w:spacing w:after="0" w:line="1"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expiration of the "Term" as hereinafter defined, subject to certain terms and conditions as hereinafter set forth, and Executive has indicated his willingness to accept such employment;</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NOW, THEREFORE, in consideration of the mutual promises and covenants hereinafter set forth, the parties agree as follows:</w:t>
      </w:r>
    </w:p>
    <w:p>
      <w:pPr>
        <w:spacing w:after="0" w:line="184" w:lineRule="exact"/>
        <w:rPr>
          <w:sz w:val="20"/>
          <w:szCs w:val="20"/>
          <w:color w:val="auto"/>
        </w:rPr>
      </w:pPr>
    </w:p>
    <w:p>
      <w:pPr>
        <w:ind w:left="680" w:hanging="420"/>
        <w:spacing w:after="0"/>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The employment of Executive by Employer will commence on the Commencement Date and, unless terminated on an earlier date in the manner</w:t>
      </w:r>
    </w:p>
    <w:p>
      <w:pPr>
        <w:spacing w:after="0" w:line="31" w:lineRule="exact"/>
        <w:rPr>
          <w:rFonts w:ascii="Arial" w:cs="Arial" w:eastAsia="Arial" w:hAnsi="Arial"/>
          <w:sz w:val="16"/>
          <w:szCs w:val="16"/>
          <w:color w:val="auto"/>
        </w:rPr>
      </w:pPr>
    </w:p>
    <w:p>
      <w:pPr>
        <w:spacing w:after="0" w:line="278" w:lineRule="auto"/>
        <w:rPr>
          <w:rFonts w:ascii="Arial" w:cs="Arial" w:eastAsia="Arial" w:hAnsi="Arial"/>
          <w:sz w:val="16"/>
          <w:szCs w:val="16"/>
          <w:color w:val="auto"/>
        </w:rPr>
      </w:pPr>
      <w:r>
        <w:rPr>
          <w:rFonts w:ascii="Arial" w:cs="Arial" w:eastAsia="Arial" w:hAnsi="Arial"/>
          <w:sz w:val="16"/>
          <w:szCs w:val="16"/>
          <w:color w:val="auto"/>
        </w:rPr>
        <w:t>hereinafter provided, shall terminate on the expiration of the Term. For purposes of this Agreement, "Term" shall mean a period beginning on the Commencement Date and ending on the ______ day of_________________, subject to any extensions thereof as provided herein. On the first day of each month occurring after the Commencement Date, the Term shall automatically be extended for an additional month, unless, prior to any such first day of a month, the Employer or Executive shall have given written notice to the other party not to extend the Term or Executive shall have reached his sixty-fifth birthday. Nothing in this Section shall limit the right of the Employer or Executive to terminate Executive's employment hereunder pursuant to the terms and conditions set forth in Section 7. The Employer and Executive agree that neither such notice not to extend the Term by the Employer nor failure of this Agreement to be extended because Executive has reached his sixty-fifth birthday shall be considered as a termination of Executive other than for Cause (as defined below) pursuant to Section 7(a) and shall not constitute Good Reason for Executive to terminate his employment hereunder pursuant to Section 7(c)(ii).</w:t>
      </w:r>
    </w:p>
    <w:p>
      <w:pPr>
        <w:spacing w:after="0" w:line="148" w:lineRule="exact"/>
        <w:rPr>
          <w:rFonts w:ascii="Arial" w:cs="Arial" w:eastAsia="Arial" w:hAnsi="Arial"/>
          <w:sz w:val="16"/>
          <w:szCs w:val="16"/>
          <w:color w:val="auto"/>
        </w:rPr>
      </w:pPr>
    </w:p>
    <w:p>
      <w:pPr>
        <w:ind w:right="260" w:firstLine="515"/>
        <w:spacing w:after="0" w:line="321" w:lineRule="auto"/>
        <w:tabs>
          <w:tab w:leader="none" w:pos="752" w:val="left"/>
        </w:tabs>
        <w:numPr>
          <w:ilvl w:val="1"/>
          <w:numId w:val="12"/>
        </w:numPr>
        <w:rPr>
          <w:rFonts w:ascii="Arial" w:cs="Arial" w:eastAsia="Arial" w:hAnsi="Arial"/>
          <w:sz w:val="15"/>
          <w:szCs w:val="15"/>
          <w:color w:val="auto"/>
        </w:rPr>
      </w:pPr>
      <w:r>
        <w:rPr>
          <w:rFonts w:ascii="Arial" w:cs="Arial" w:eastAsia="Arial" w:hAnsi="Arial"/>
          <w:sz w:val="15"/>
          <w:szCs w:val="15"/>
          <w:color w:val="auto"/>
        </w:rPr>
        <w:t>During the Term, Executive will be employed by Employer as _____________ of Employer at an annual salary of not less than $_____________ ("Base Salary") and will participate in all benefit plans and other fringe benefits available to similarly situated executives in accordance with their respective terms. By December 31_______, and thereafter, Employer will review Executive's salary on an annual basis in accordance with Employer's policies, to determine appropriate</w:t>
      </w:r>
    </w:p>
    <w:p>
      <w:pPr>
        <w:sectPr>
          <w:pgSz w:w="11900" w:h="16838" w:orient="portrait"/>
          <w:cols w:equalWidth="0" w:num="1">
            <w:col w:w="11420"/>
          </w:cols>
          <w:pgMar w:left="240" w:top="127" w:right="239" w:bottom="0" w:gutter="0" w:footer="0" w:header="0"/>
        </w:sectPr>
      </w:pPr>
    </w:p>
    <w:bookmarkStart w:id="41" w:name="page42"/>
    <w:bookmarkEnd w:id="41"/>
    <w:p>
      <w:pPr>
        <w:spacing w:after="0" w:line="106" w:lineRule="exact"/>
        <w:rPr>
          <w:sz w:val="20"/>
          <w:szCs w:val="20"/>
          <w:color w:val="auto"/>
        </w:rPr>
      </w:pPr>
    </w:p>
    <w:p>
      <w:pPr>
        <w:ind w:right="80"/>
        <w:spacing w:after="0" w:line="321" w:lineRule="auto"/>
        <w:rPr>
          <w:sz w:val="20"/>
          <w:szCs w:val="20"/>
          <w:color w:val="auto"/>
        </w:rPr>
      </w:pPr>
      <w:r>
        <w:rPr>
          <w:rFonts w:ascii="Arial" w:cs="Arial" w:eastAsia="Arial" w:hAnsi="Arial"/>
          <w:sz w:val="15"/>
          <w:szCs w:val="15"/>
          <w:color w:val="auto"/>
        </w:rPr>
        <w:t>increases, if any. In addition to salary, Executive will receive bonus payments as determined from time to time by Employer's Board of Directors or the Compensation and Nominating Committee thereof. Any such payment with respect to a calendar year will be made in the first quarter of the following year but shall be deemed earned and due and owing if Executive is employed on December 31st of the applicable calendar year, regardless of his status as of the payment date.</w:t>
      </w:r>
    </w:p>
    <w:p>
      <w:pPr>
        <w:spacing w:after="0" w:line="107" w:lineRule="exact"/>
        <w:rPr>
          <w:sz w:val="20"/>
          <w:szCs w:val="20"/>
          <w:color w:val="auto"/>
        </w:rPr>
      </w:pPr>
    </w:p>
    <w:p>
      <w:pPr>
        <w:ind w:right="20" w:firstLine="260"/>
        <w:spacing w:after="0" w:line="265" w:lineRule="auto"/>
        <w:tabs>
          <w:tab w:leader="none" w:pos="681" w:val="left"/>
        </w:tabs>
        <w:numPr>
          <w:ilvl w:val="1"/>
          <w:numId w:val="13"/>
        </w:numPr>
        <w:rPr>
          <w:rFonts w:ascii="Arial" w:cs="Arial" w:eastAsia="Arial" w:hAnsi="Arial"/>
          <w:sz w:val="17"/>
          <w:szCs w:val="17"/>
          <w:color w:val="auto"/>
        </w:rPr>
      </w:pPr>
      <w:r>
        <w:rPr>
          <w:rFonts w:ascii="Arial" w:cs="Arial" w:eastAsia="Arial" w:hAnsi="Arial"/>
          <w:sz w:val="17"/>
          <w:szCs w:val="17"/>
          <w:color w:val="auto"/>
        </w:rPr>
        <w:t>It is contemplated that, in connection with his employment hereunder, Executive may be required to incur reasonable and necessary travel, business entertainment and other business expenses. Employer agrees to reimburse Executive for all reasonable and necessary travel, business entertainment, and other business expenses incurred or expended by him incident to the performance of his duties hereunder, upon submission by Executive to Employer of vouchers or expense statements satisfactorily evidencing such expenses.</w:t>
      </w:r>
    </w:p>
    <w:p>
      <w:pPr>
        <w:spacing w:after="0" w:line="158" w:lineRule="exact"/>
        <w:rPr>
          <w:rFonts w:ascii="Arial" w:cs="Arial" w:eastAsia="Arial" w:hAnsi="Arial"/>
          <w:sz w:val="17"/>
          <w:szCs w:val="17"/>
          <w:color w:val="auto"/>
        </w:rPr>
      </w:pPr>
    </w:p>
    <w:p>
      <w:pPr>
        <w:ind w:firstLine="260"/>
        <w:spacing w:after="0" w:line="265" w:lineRule="auto"/>
        <w:tabs>
          <w:tab w:leader="none" w:pos="681" w:val="left"/>
        </w:tabs>
        <w:numPr>
          <w:ilvl w:val="1"/>
          <w:numId w:val="13"/>
        </w:numPr>
        <w:rPr>
          <w:rFonts w:ascii="Arial" w:cs="Arial" w:eastAsia="Arial" w:hAnsi="Arial"/>
          <w:sz w:val="17"/>
          <w:szCs w:val="17"/>
          <w:color w:val="auto"/>
        </w:rPr>
      </w:pPr>
      <w:r>
        <w:rPr>
          <w:rFonts w:ascii="Arial" w:cs="Arial" w:eastAsia="Arial" w:hAnsi="Arial"/>
          <w:sz w:val="17"/>
          <w:szCs w:val="17"/>
          <w:color w:val="auto"/>
        </w:rPr>
        <w:t>During the Term, Employer will provide retirement, employee benefits (pre- and post-retirement) and fringe benefit plans to Executive no less favorable than those made available to Employer's executive employees generally, to the extent that Executive qualifies under the eligibility provisions of such plans. Executive shall be entitled to a period of paid vacation each year as provided in Employer's established vacation policy, but in no event shall such period be shorter than that agreed to between Employer and Executive under any prior agreement.</w:t>
      </w:r>
    </w:p>
    <w:p>
      <w:pPr>
        <w:spacing w:after="0" w:line="144" w:lineRule="exact"/>
        <w:rPr>
          <w:rFonts w:ascii="Arial" w:cs="Arial" w:eastAsia="Arial" w:hAnsi="Arial"/>
          <w:sz w:val="17"/>
          <w:szCs w:val="17"/>
          <w:color w:val="auto"/>
        </w:rPr>
      </w:pPr>
    </w:p>
    <w:p>
      <w:pPr>
        <w:ind w:right="80" w:firstLine="260"/>
        <w:spacing w:after="0" w:line="282" w:lineRule="auto"/>
        <w:tabs>
          <w:tab w:leader="none" w:pos="681" w:val="left"/>
        </w:tabs>
        <w:numPr>
          <w:ilvl w:val="1"/>
          <w:numId w:val="13"/>
        </w:numPr>
        <w:rPr>
          <w:rFonts w:ascii="Arial" w:cs="Arial" w:eastAsia="Arial" w:hAnsi="Arial"/>
          <w:sz w:val="17"/>
          <w:szCs w:val="17"/>
          <w:color w:val="auto"/>
        </w:rPr>
      </w:pPr>
      <w:r>
        <w:rPr>
          <w:rFonts w:ascii="Arial" w:cs="Arial" w:eastAsia="Arial" w:hAnsi="Arial"/>
          <w:sz w:val="17"/>
          <w:szCs w:val="17"/>
          <w:color w:val="auto"/>
        </w:rPr>
        <w:t>Executive agrees that he shall use his best efforts to promote and protect the interest of Employer, its subsidiaries and related corporations, and to devote his full working time, attention and energy to performing the duties of his position.</w:t>
      </w:r>
    </w:p>
    <w:p>
      <w:pPr>
        <w:spacing w:after="0" w:line="129" w:lineRule="exact"/>
        <w:rPr>
          <w:rFonts w:ascii="Arial" w:cs="Arial" w:eastAsia="Arial" w:hAnsi="Arial"/>
          <w:sz w:val="17"/>
          <w:szCs w:val="17"/>
          <w:color w:val="auto"/>
        </w:rPr>
      </w:pPr>
    </w:p>
    <w:p>
      <w:pPr>
        <w:ind w:right="40" w:firstLine="260"/>
        <w:spacing w:after="0" w:line="262" w:lineRule="auto"/>
        <w:tabs>
          <w:tab w:leader="none" w:pos="681"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the event of the "Permanent Disability" (as defined below) of Executive during the Term, Employer shall have the right, upon written notice to Executive, to terminate his employment hereunder, effective upon the giving of such notice. Upon such termination, Employer and Executive shall be discharged and released from any further obligations under this Agreement, except that the obligations provided for in Section 9 hereof shall survive any such termination. Disability benefits, if any, due under applicable plans and programs of the Employer shall be determined under the provisions of such plans and programs. For purposes of this Section 5, "Permanent Disability" means any physical or mental disability or incapacity which permanently renders Executive incapable of performing the services required of him by Employer.</w:t>
      </w:r>
    </w:p>
    <w:p>
      <w:pPr>
        <w:spacing w:after="0" w:line="160" w:lineRule="exact"/>
        <w:rPr>
          <w:rFonts w:ascii="Arial" w:cs="Arial" w:eastAsia="Arial" w:hAnsi="Arial"/>
          <w:sz w:val="17"/>
          <w:szCs w:val="17"/>
          <w:color w:val="auto"/>
        </w:rPr>
      </w:pPr>
    </w:p>
    <w:p>
      <w:pPr>
        <w:ind w:firstLine="260"/>
        <w:spacing w:after="0" w:line="263" w:lineRule="auto"/>
        <w:tabs>
          <w:tab w:leader="none" w:pos="681"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the event of the death of Executive during the Term, the salary to which Executive is entitled hereunder shall continue to be paid through the end of the month in which death occurs, to the last beneficiary designated by Executive by written notice to Employer, or, failing such designation, to his estate. Executive's designated beneficiary or personal representative, as the case may be, shall accept the payments provided for in this Section 6 in full discharge and release of Employer of and from any further obligations under this Agreement. Any other benefits due under applicable plans and programs of Employer shall be determined under the provisions of such plans and programs.</w:t>
      </w:r>
    </w:p>
    <w:p>
      <w:pPr>
        <w:spacing w:after="0" w:line="146" w:lineRule="exact"/>
        <w:rPr>
          <w:rFonts w:ascii="Arial" w:cs="Arial" w:eastAsia="Arial" w:hAnsi="Arial"/>
          <w:sz w:val="17"/>
          <w:szCs w:val="17"/>
          <w:color w:val="auto"/>
        </w:rPr>
      </w:pPr>
    </w:p>
    <w:p>
      <w:pPr>
        <w:ind w:left="680" w:hanging="420"/>
        <w:spacing w:after="0"/>
        <w:tabs>
          <w:tab w:leader="none" w:pos="6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 Employer or Executive may terminate Executive's employment with Employer under this Agreement at any time by providing the other party with ninety</w:t>
      </w:r>
    </w:p>
    <w:p>
      <w:pPr>
        <w:spacing w:after="0" w:line="43" w:lineRule="exact"/>
        <w:rPr>
          <w:rFonts w:ascii="Arial" w:cs="Arial" w:eastAsia="Arial" w:hAnsi="Arial"/>
          <w:sz w:val="15"/>
          <w:szCs w:val="15"/>
          <w:color w:val="auto"/>
        </w:rPr>
      </w:pPr>
    </w:p>
    <w:p>
      <w:pPr>
        <w:ind w:right="40" w:firstLine="5"/>
        <w:spacing w:after="0" w:line="297" w:lineRule="auto"/>
        <w:tabs>
          <w:tab w:leader="none" w:pos="326" w:val="left"/>
        </w:tabs>
        <w:numPr>
          <w:ilvl w:val="0"/>
          <w:numId w:val="14"/>
        </w:numPr>
        <w:rPr>
          <w:rFonts w:ascii="Arial" w:cs="Arial" w:eastAsia="Arial" w:hAnsi="Arial"/>
          <w:sz w:val="15"/>
          <w:szCs w:val="15"/>
          <w:color w:val="auto"/>
        </w:rPr>
      </w:pPr>
      <w:r>
        <w:rPr>
          <w:rFonts w:ascii="Arial" w:cs="Arial" w:eastAsia="Arial" w:hAnsi="Arial"/>
          <w:sz w:val="15"/>
          <w:szCs w:val="15"/>
          <w:color w:val="auto"/>
        </w:rPr>
        <w:t>days advance written notice, in which case Executive's employment shall terminate at the end of said ninety-day period. In the event during the Term Employer terminates the employment of Executive for reasons other than for Cause or the Permanent Disability or death of Executive or Executive resigns for Good Reason (as defined below), Employer will pay Executive his Base Salary through the end of the Term (but in no event shall Executive be paid his Base Salary for more than fifteen (15) months following his date of termination) plus any "Termination Bonuses", as defined herein, less any severance payments paid Executive pursuant to Employer policies. For purposes of this Agreement, "Termination Bonuses" shall mean amounts which would otherwise be payable to Executive during the Term pursuant to Section 1(b) were Executive an employee of Employer, provided that in no event will any such bonus be greater in amount than the average amount of any such bonuses received by Executive in the two years immediately preceding the termination of his employment with Employer, or the amount of such bonus received by Executive in the prior year if Executive has received only one such bonus payment. In addition to the foregoing payments, Executive shall be entitled to coverage under Employer's Group Benefit Plan for medical and dental expense coverage and prescription drugs until the end of the Term.</w:t>
      </w:r>
    </w:p>
    <w:p>
      <w:pPr>
        <w:spacing w:after="0" w:line="128" w:lineRule="exact"/>
        <w:rPr>
          <w:rFonts w:ascii="Arial" w:cs="Arial" w:eastAsia="Arial" w:hAnsi="Arial"/>
          <w:sz w:val="15"/>
          <w:szCs w:val="15"/>
          <w:color w:val="auto"/>
        </w:rPr>
      </w:pPr>
    </w:p>
    <w:p>
      <w:pPr>
        <w:ind w:right="40" w:firstLine="515"/>
        <w:spacing w:after="0" w:line="262" w:lineRule="auto"/>
        <w:tabs>
          <w:tab w:leader="none" w:pos="752" w:val="left"/>
        </w:tabs>
        <w:numPr>
          <w:ilvl w:val="2"/>
          <w:numId w:val="14"/>
        </w:numPr>
        <w:rPr>
          <w:rFonts w:ascii="Arial" w:cs="Arial" w:eastAsia="Arial" w:hAnsi="Arial"/>
          <w:sz w:val="17"/>
          <w:szCs w:val="17"/>
          <w:color w:val="auto"/>
        </w:rPr>
      </w:pPr>
      <w:r>
        <w:rPr>
          <w:rFonts w:ascii="Arial" w:cs="Arial" w:eastAsia="Arial" w:hAnsi="Arial"/>
          <w:sz w:val="17"/>
          <w:szCs w:val="17"/>
          <w:color w:val="auto"/>
        </w:rPr>
        <w:t>Executive shall be required to mitigate the amount of any payment provided for pursuant to Section 7(a) by seeking other comparable employment within a reasonable commuting distance of his home, taking into account the provisions of Section 9 of this Agreement. Anything in this Agreement to the contrary notwithstanding, in the event that Executive provides services for pay to anyone other than Employer or any of its affiliates or subsidiaries from the date Executive's employment hereunder is terminated and during such period as Executive is receiving salary continuation payments pursuant to Section 7(a), the amounts to be paid to Executive during such period pursuant to this Agreement shall be reduced by the amounts of salary, bonus or other cash compensation earned by Executive during such period as a result of Executive's performing such services.</w:t>
      </w:r>
    </w:p>
    <w:p>
      <w:pPr>
        <w:spacing w:after="0" w:line="160" w:lineRule="exact"/>
        <w:rPr>
          <w:rFonts w:ascii="Arial" w:cs="Arial" w:eastAsia="Arial" w:hAnsi="Arial"/>
          <w:sz w:val="17"/>
          <w:szCs w:val="17"/>
          <w:color w:val="auto"/>
        </w:rPr>
      </w:pPr>
    </w:p>
    <w:p>
      <w:pPr>
        <w:ind w:left="740" w:hanging="225"/>
        <w:spacing w:after="0"/>
        <w:tabs>
          <w:tab w:leader="none" w:pos="740" w:val="left"/>
        </w:tabs>
        <w:numPr>
          <w:ilvl w:val="2"/>
          <w:numId w:val="14"/>
        </w:numPr>
        <w:rPr>
          <w:rFonts w:ascii="Arial" w:cs="Arial" w:eastAsia="Arial" w:hAnsi="Arial"/>
          <w:sz w:val="17"/>
          <w:szCs w:val="17"/>
          <w:color w:val="auto"/>
        </w:rPr>
      </w:pPr>
      <w:r>
        <w:rPr>
          <w:rFonts w:ascii="Arial" w:cs="Arial" w:eastAsia="Arial" w:hAnsi="Arial"/>
          <w:sz w:val="17"/>
          <w:szCs w:val="17"/>
          <w:color w:val="auto"/>
        </w:rPr>
        <w:t>For purposes of this Agreement:</w:t>
      </w:r>
    </w:p>
    <w:p>
      <w:pPr>
        <w:spacing w:after="0" w:line="184" w:lineRule="exact"/>
        <w:rPr>
          <w:sz w:val="20"/>
          <w:szCs w:val="20"/>
          <w:color w:val="auto"/>
        </w:rPr>
      </w:pPr>
    </w:p>
    <w:p>
      <w:pPr>
        <w:ind w:left="720" w:hanging="205"/>
        <w:spacing w:after="0"/>
        <w:tabs>
          <w:tab w:leader="none" w:pos="720" w:val="left"/>
        </w:tabs>
        <w:numPr>
          <w:ilvl w:val="2"/>
          <w:numId w:val="15"/>
        </w:numPr>
        <w:rPr>
          <w:rFonts w:ascii="Arial" w:cs="Arial" w:eastAsia="Arial" w:hAnsi="Arial"/>
          <w:sz w:val="17"/>
          <w:szCs w:val="17"/>
          <w:color w:val="auto"/>
        </w:rPr>
      </w:pPr>
      <w:r>
        <w:rPr>
          <w:rFonts w:ascii="Arial" w:cs="Arial" w:eastAsia="Arial" w:hAnsi="Arial"/>
          <w:sz w:val="17"/>
          <w:szCs w:val="17"/>
          <w:color w:val="auto"/>
        </w:rPr>
        <w:t>"Cause" shall be limited to the following:</w:t>
      </w:r>
    </w:p>
    <w:p>
      <w:pPr>
        <w:spacing w:after="0" w:line="184" w:lineRule="exact"/>
        <w:rPr>
          <w:rFonts w:ascii="Arial" w:cs="Arial" w:eastAsia="Arial" w:hAnsi="Arial"/>
          <w:sz w:val="17"/>
          <w:szCs w:val="17"/>
          <w:color w:val="auto"/>
        </w:rPr>
      </w:pPr>
    </w:p>
    <w:p>
      <w:pPr>
        <w:ind w:left="520" w:right="560" w:firstLine="264"/>
        <w:spacing w:after="0" w:line="282" w:lineRule="auto"/>
        <w:tabs>
          <w:tab w:leader="none" w:pos="1054" w:val="left"/>
        </w:tabs>
        <w:numPr>
          <w:ilvl w:val="3"/>
          <w:numId w:val="15"/>
        </w:numPr>
        <w:rPr>
          <w:rFonts w:ascii="Arial" w:cs="Arial" w:eastAsia="Arial" w:hAnsi="Arial"/>
          <w:sz w:val="17"/>
          <w:szCs w:val="17"/>
          <w:color w:val="auto"/>
        </w:rPr>
      </w:pPr>
      <w:r>
        <w:rPr>
          <w:rFonts w:ascii="Arial" w:cs="Arial" w:eastAsia="Arial" w:hAnsi="Arial"/>
          <w:sz w:val="17"/>
          <w:szCs w:val="17"/>
          <w:color w:val="auto"/>
        </w:rPr>
        <w:t>Executive shall have failed to perform any of his material obligations as set forth herein, provided that Employer has advised Executive of such failure and given Executive a reasonable period of time to cure such failure and Executive has failed to do so; or</w:t>
      </w:r>
    </w:p>
    <w:p>
      <w:pPr>
        <w:spacing w:after="0" w:line="142" w:lineRule="exact"/>
        <w:rPr>
          <w:rFonts w:ascii="Arial" w:cs="Arial" w:eastAsia="Arial" w:hAnsi="Arial"/>
          <w:sz w:val="17"/>
          <w:szCs w:val="17"/>
          <w:color w:val="auto"/>
        </w:rPr>
      </w:pPr>
    </w:p>
    <w:p>
      <w:pPr>
        <w:ind w:left="520" w:right="680" w:firstLine="264"/>
        <w:spacing w:after="0" w:line="282" w:lineRule="auto"/>
        <w:tabs>
          <w:tab w:leader="none" w:pos="1045" w:val="left"/>
        </w:tabs>
        <w:numPr>
          <w:ilvl w:val="3"/>
          <w:numId w:val="15"/>
        </w:numPr>
        <w:rPr>
          <w:rFonts w:ascii="Arial" w:cs="Arial" w:eastAsia="Arial" w:hAnsi="Arial"/>
          <w:sz w:val="17"/>
          <w:szCs w:val="17"/>
          <w:color w:val="auto"/>
        </w:rPr>
      </w:pPr>
      <w:r>
        <w:rPr>
          <w:rFonts w:ascii="Arial" w:cs="Arial" w:eastAsia="Arial" w:hAnsi="Arial"/>
          <w:sz w:val="17"/>
          <w:szCs w:val="17"/>
          <w:color w:val="auto"/>
        </w:rPr>
        <w:t>Executive shall commit acts constituting (i) a felony involving moral turpitude materially adversely reflecting on the Employer or (ii) fraud or theft against Employer.</w:t>
      </w:r>
    </w:p>
    <w:p>
      <w:pPr>
        <w:spacing w:after="0" w:line="129" w:lineRule="exact"/>
        <w:rPr>
          <w:rFonts w:ascii="Arial" w:cs="Arial" w:eastAsia="Arial" w:hAnsi="Arial"/>
          <w:sz w:val="17"/>
          <w:szCs w:val="17"/>
          <w:color w:val="auto"/>
        </w:rPr>
      </w:pPr>
    </w:p>
    <w:p>
      <w:pPr>
        <w:ind w:left="760" w:hanging="245"/>
        <w:spacing w:after="0"/>
        <w:tabs>
          <w:tab w:leader="none" w:pos="760" w:val="left"/>
        </w:tabs>
        <w:numPr>
          <w:ilvl w:val="2"/>
          <w:numId w:val="15"/>
        </w:numPr>
        <w:rPr>
          <w:rFonts w:ascii="Arial" w:cs="Arial" w:eastAsia="Arial" w:hAnsi="Arial"/>
          <w:sz w:val="17"/>
          <w:szCs w:val="17"/>
          <w:color w:val="auto"/>
        </w:rPr>
      </w:pPr>
      <w:r>
        <w:rPr>
          <w:rFonts w:ascii="Arial" w:cs="Arial" w:eastAsia="Arial" w:hAnsi="Arial"/>
          <w:sz w:val="17"/>
          <w:szCs w:val="17"/>
          <w:color w:val="auto"/>
        </w:rPr>
        <w:t>"Good Reason" shall mean termination at the election of Executive based on any of the following:</w:t>
      </w:r>
    </w:p>
    <w:p>
      <w:pPr>
        <w:spacing w:after="0" w:line="184" w:lineRule="exact"/>
        <w:rPr>
          <w:rFonts w:ascii="Arial" w:cs="Arial" w:eastAsia="Arial" w:hAnsi="Arial"/>
          <w:sz w:val="17"/>
          <w:szCs w:val="17"/>
          <w:color w:val="auto"/>
        </w:rPr>
      </w:pPr>
    </w:p>
    <w:p>
      <w:pPr>
        <w:jc w:val="both"/>
        <w:ind w:left="520" w:right="800" w:firstLine="264"/>
        <w:spacing w:after="0" w:line="269" w:lineRule="auto"/>
        <w:tabs>
          <w:tab w:leader="none" w:pos="1054" w:val="left"/>
        </w:tabs>
        <w:numPr>
          <w:ilvl w:val="3"/>
          <w:numId w:val="15"/>
        </w:numPr>
        <w:rPr>
          <w:rFonts w:ascii="Arial" w:cs="Arial" w:eastAsia="Arial" w:hAnsi="Arial"/>
          <w:sz w:val="17"/>
          <w:szCs w:val="17"/>
          <w:color w:val="auto"/>
        </w:rPr>
      </w:pPr>
      <w:r>
        <w:rPr>
          <w:rFonts w:ascii="Arial" w:cs="Arial" w:eastAsia="Arial" w:hAnsi="Arial"/>
          <w:sz w:val="17"/>
          <w:szCs w:val="17"/>
          <w:color w:val="auto"/>
        </w:rPr>
        <w:t>The assignment to Executive of any duties substantially inconsistent with his status as _____________ of Employer or a substantial adverse alteration in the nature or status of his responsibilities pursuant to this Agreement, except in connection with the termination of his employment for Cause, or normal retirement, death, or by Executive other than for Good Reason;</w:t>
      </w:r>
    </w:p>
    <w:p>
      <w:pPr>
        <w:spacing w:after="0" w:line="154" w:lineRule="exact"/>
        <w:rPr>
          <w:rFonts w:ascii="Arial" w:cs="Arial" w:eastAsia="Arial" w:hAnsi="Arial"/>
          <w:sz w:val="17"/>
          <w:szCs w:val="17"/>
          <w:color w:val="auto"/>
        </w:rPr>
      </w:pPr>
    </w:p>
    <w:p>
      <w:pPr>
        <w:ind w:left="520" w:right="700" w:firstLine="264"/>
        <w:spacing w:after="0" w:line="282" w:lineRule="auto"/>
        <w:tabs>
          <w:tab w:leader="none" w:pos="1045" w:val="left"/>
        </w:tabs>
        <w:numPr>
          <w:ilvl w:val="3"/>
          <w:numId w:val="15"/>
        </w:numPr>
        <w:rPr>
          <w:rFonts w:ascii="Arial" w:cs="Arial" w:eastAsia="Arial" w:hAnsi="Arial"/>
          <w:sz w:val="17"/>
          <w:szCs w:val="17"/>
          <w:color w:val="auto"/>
        </w:rPr>
      </w:pPr>
      <w:r>
        <w:rPr>
          <w:rFonts w:ascii="Arial" w:cs="Arial" w:eastAsia="Arial" w:hAnsi="Arial"/>
          <w:sz w:val="17"/>
          <w:szCs w:val="17"/>
          <w:color w:val="auto"/>
        </w:rPr>
        <w:t>A reduction of Executive's fringe or retirement benefits that is not applied by Employer to executives generally or a reduction by Employer in Executive's Base Salary;</w:t>
      </w:r>
    </w:p>
    <w:p>
      <w:pPr>
        <w:spacing w:after="0" w:line="129" w:lineRule="exact"/>
        <w:rPr>
          <w:rFonts w:ascii="Arial" w:cs="Arial" w:eastAsia="Arial" w:hAnsi="Arial"/>
          <w:sz w:val="17"/>
          <w:szCs w:val="17"/>
          <w:color w:val="auto"/>
        </w:rPr>
      </w:pPr>
    </w:p>
    <w:p>
      <w:pPr>
        <w:ind w:left="520" w:right="940" w:firstLine="264"/>
        <w:spacing w:after="0" w:line="269" w:lineRule="auto"/>
        <w:tabs>
          <w:tab w:leader="none" w:pos="1045" w:val="left"/>
        </w:tabs>
        <w:numPr>
          <w:ilvl w:val="3"/>
          <w:numId w:val="15"/>
        </w:numPr>
        <w:rPr>
          <w:rFonts w:ascii="Arial" w:cs="Arial" w:eastAsia="Arial" w:hAnsi="Arial"/>
          <w:sz w:val="17"/>
          <w:szCs w:val="17"/>
          <w:color w:val="auto"/>
        </w:rPr>
      </w:pPr>
      <w:r>
        <w:rPr>
          <w:rFonts w:ascii="Arial" w:cs="Arial" w:eastAsia="Arial" w:hAnsi="Arial"/>
          <w:sz w:val="17"/>
          <w:szCs w:val="17"/>
          <w:color w:val="auto"/>
        </w:rPr>
        <w:t>The merger or consolidation of Employer into or with any other entity, or the sale of all or substantially all of the assets of Employer to an unaffiliated entity unless the entity which survives such merger or to whom such assets are transferred shall assume and agree to perform the obligations of Employer hereunder pursuant to an instrument reasonably acceptable to Executive; or</w:t>
      </w:r>
    </w:p>
    <w:p>
      <w:pPr>
        <w:spacing w:after="0" w:line="141" w:lineRule="exact"/>
        <w:rPr>
          <w:rFonts w:ascii="Arial" w:cs="Arial" w:eastAsia="Arial" w:hAnsi="Arial"/>
          <w:sz w:val="17"/>
          <w:szCs w:val="17"/>
          <w:color w:val="auto"/>
        </w:rPr>
      </w:pPr>
    </w:p>
    <w:p>
      <w:pPr>
        <w:ind w:left="1060" w:hanging="276"/>
        <w:spacing w:after="0"/>
        <w:tabs>
          <w:tab w:leader="none" w:pos="1060" w:val="left"/>
        </w:tabs>
        <w:numPr>
          <w:ilvl w:val="3"/>
          <w:numId w:val="15"/>
        </w:numPr>
        <w:rPr>
          <w:rFonts w:ascii="Arial" w:cs="Arial" w:eastAsia="Arial" w:hAnsi="Arial"/>
          <w:sz w:val="16"/>
          <w:szCs w:val="16"/>
          <w:color w:val="auto"/>
        </w:rPr>
      </w:pPr>
      <w:r>
        <w:rPr>
          <w:rFonts w:ascii="Arial" w:cs="Arial" w:eastAsia="Arial" w:hAnsi="Arial"/>
          <w:sz w:val="16"/>
          <w:szCs w:val="16"/>
          <w:color w:val="auto"/>
        </w:rPr>
        <w:t>Separation of Executive's office location from the principal corporate office of Employer or relocation outside the contiguous United States.</w:t>
      </w:r>
    </w:p>
    <w:p>
      <w:pPr>
        <w:spacing w:after="0" w:line="208" w:lineRule="exact"/>
        <w:rPr>
          <w:rFonts w:ascii="Arial" w:cs="Arial" w:eastAsia="Arial" w:hAnsi="Arial"/>
          <w:sz w:val="16"/>
          <w:szCs w:val="16"/>
          <w:color w:val="auto"/>
        </w:rPr>
      </w:pPr>
    </w:p>
    <w:p>
      <w:pPr>
        <w:ind w:right="160" w:firstLine="260"/>
        <w:spacing w:after="0" w:line="265" w:lineRule="auto"/>
        <w:tabs>
          <w:tab w:leader="none" w:pos="681" w:val="left"/>
        </w:tabs>
        <w:numPr>
          <w:ilvl w:val="1"/>
          <w:numId w:val="16"/>
        </w:numPr>
        <w:rPr>
          <w:rFonts w:ascii="Arial" w:cs="Arial" w:eastAsia="Arial" w:hAnsi="Arial"/>
          <w:sz w:val="17"/>
          <w:szCs w:val="17"/>
          <w:color w:val="auto"/>
        </w:rPr>
      </w:pPr>
      <w:r>
        <w:rPr>
          <w:rFonts w:ascii="Arial" w:cs="Arial" w:eastAsia="Arial" w:hAnsi="Arial"/>
          <w:sz w:val="17"/>
          <w:szCs w:val="17"/>
          <w:color w:val="auto"/>
        </w:rPr>
        <w:t>Employer shall have the right to terminate this Agreement immediately with no further liability under its terms if Executive terminates his employment without Good Reason, or if Executive is discharged by Employer for Cause. In such event, Executive shall be entitled only to receive his earned Base Salary through the date of termination and to receive any bonus payment to which he may be entitled pursuant to Section 1(a). It is agreed that the provisions of Section 9 shall survive any such termination of this Agreement.</w:t>
      </w:r>
    </w:p>
    <w:p>
      <w:pPr>
        <w:spacing w:after="0" w:line="144" w:lineRule="exact"/>
        <w:rPr>
          <w:rFonts w:ascii="Arial" w:cs="Arial" w:eastAsia="Arial" w:hAnsi="Arial"/>
          <w:sz w:val="17"/>
          <w:szCs w:val="17"/>
          <w:color w:val="auto"/>
        </w:rPr>
      </w:pPr>
    </w:p>
    <w:p>
      <w:pPr>
        <w:ind w:left="680" w:hanging="420"/>
        <w:spacing w:after="0"/>
        <w:tabs>
          <w:tab w:leader="none" w:pos="6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 Executive agrees that during the term of his employment hereunder and, subject to the last sentence of this Section 9(a), during the further period of two</w:t>
      </w:r>
    </w:p>
    <w:p>
      <w:pPr>
        <w:spacing w:after="0" w:line="43" w:lineRule="exact"/>
        <w:rPr>
          <w:rFonts w:ascii="Arial" w:cs="Arial" w:eastAsia="Arial" w:hAnsi="Arial"/>
          <w:sz w:val="15"/>
          <w:szCs w:val="15"/>
          <w:color w:val="auto"/>
        </w:rPr>
      </w:pPr>
    </w:p>
    <w:p>
      <w:pPr>
        <w:ind w:right="40" w:firstLine="5"/>
        <w:spacing w:after="0" w:line="317" w:lineRule="auto"/>
        <w:tabs>
          <w:tab w:leader="none" w:pos="241" w:val="left"/>
        </w:tabs>
        <w:numPr>
          <w:ilvl w:val="0"/>
          <w:numId w:val="17"/>
        </w:numPr>
        <w:rPr>
          <w:rFonts w:ascii="Arial" w:cs="Arial" w:eastAsia="Arial" w:hAnsi="Arial"/>
          <w:sz w:val="15"/>
          <w:szCs w:val="15"/>
          <w:color w:val="auto"/>
        </w:rPr>
      </w:pPr>
      <w:r>
        <w:rPr>
          <w:rFonts w:ascii="Arial" w:cs="Arial" w:eastAsia="Arial" w:hAnsi="Arial"/>
          <w:sz w:val="15"/>
          <w:szCs w:val="15"/>
          <w:color w:val="auto"/>
        </w:rPr>
        <w:t>years after the termination of such employment for whatever reason, Executive shall not, without the prior written approval of Employer, directly or indirectly through any other person, firm or corporation, (i) engage or participate in or become employed by or render advisory or other services to or for any person, firm or corporation, or in connection with any business enterprise, which is, directly or indirectly, in competition with any of the business operations or activities of Employer,</w:t>
      </w:r>
    </w:p>
    <w:p>
      <w:pPr>
        <w:sectPr>
          <w:pgSz w:w="11900" w:h="16944" w:orient="portrait"/>
          <w:cols w:equalWidth="0" w:num="1">
            <w:col w:w="11400"/>
          </w:cols>
          <w:pgMar w:left="240" w:top="131" w:right="259" w:bottom="0" w:gutter="0" w:footer="0" w:header="0"/>
        </w:sectPr>
      </w:pPr>
    </w:p>
    <w:bookmarkStart w:id="42" w:name="page43"/>
    <w:bookmarkEnd w:id="42"/>
    <w:p>
      <w:pPr>
        <w:spacing w:after="0" w:line="277" w:lineRule="auto"/>
        <w:rPr>
          <w:sz w:val="20"/>
          <w:szCs w:val="20"/>
          <w:color w:val="auto"/>
        </w:rPr>
      </w:pPr>
      <w:r>
        <w:rPr>
          <w:rFonts w:ascii="Arial" w:cs="Arial" w:eastAsia="Arial" w:hAnsi="Arial"/>
          <w:sz w:val="16"/>
          <w:szCs w:val="16"/>
          <w:color w:val="auto"/>
        </w:rPr>
        <w:t xml:space="preserve">or (ii) solicit, raid, entice or induce any such person who on the date of termination of employment of Executive is, or within the last six (6) months of Executive's employment by Employer was, an employee of Employer, to become employed by any person, firm or corporation which is, directly or indirectly, in competition with any of the business operations or activities of Employer, and Executive shall not approach any such employee or former employee for such purpose or authorize or knowingly approve the taking of such actions by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shall not be bound by the restrictions contained in clause (i) of this Section 9(a) if Employer terminates his employment during Term other than for "Cause" (as defined in Section 7(c) hereof). The foregoing restrictions shall apply to the geographical areas where Employer does business and/or did business during the term of Executive's employment and all places where, at the date of termination of employment of Executive, Employer had plans or reasonable expectations to do business; provided that if any Court construes any portion of this provision or clause of this Agreement, or any portion thereof, to be illegal, void or unenforceable because of the duration of such provision or the area or matter covered thereby, such Court shall reduce the duration, area, or matter of such provision and, in its reduced form, such provision shall then be enforceable and shall be enforced. Notwithstanding the provisions of this Section 9, Employer shall be entitled to enforce the provisions of Section 9(a)(i) following the end of Executive's term of employment hereunder only during such time as the Employer continues to pay Executive an amount equal to the Base Salary that Executive was receiving at the time of such termination, unless Executive was terminated for Cause.</w:t>
      </w:r>
    </w:p>
    <w:p>
      <w:pPr>
        <w:spacing w:after="0" w:line="136" w:lineRule="exact"/>
        <w:rPr>
          <w:sz w:val="20"/>
          <w:szCs w:val="20"/>
          <w:color w:val="auto"/>
        </w:rPr>
      </w:pPr>
    </w:p>
    <w:p>
      <w:pPr>
        <w:ind w:firstLine="515"/>
        <w:spacing w:after="0" w:line="299" w:lineRule="auto"/>
        <w:tabs>
          <w:tab w:leader="none" w:pos="752" w:val="left"/>
        </w:tabs>
        <w:numPr>
          <w:ilvl w:val="2"/>
          <w:numId w:val="18"/>
        </w:numPr>
        <w:rPr>
          <w:rFonts w:ascii="Arial" w:cs="Arial" w:eastAsia="Arial" w:hAnsi="Arial"/>
          <w:sz w:val="15"/>
          <w:szCs w:val="15"/>
          <w:color w:val="auto"/>
        </w:rPr>
      </w:pPr>
      <w:r>
        <w:rPr>
          <w:rFonts w:ascii="Arial" w:cs="Arial" w:eastAsia="Arial" w:hAnsi="Arial"/>
          <w:sz w:val="15"/>
          <w:szCs w:val="15"/>
          <w:color w:val="auto"/>
        </w:rPr>
        <w:t>Recognizing that the knowledge, information and relationship with customers, suppliers, and agents, and the knowledge of Employer's and its subsidiary companies' business methods, systems, plans and policies which Executive shall hereafter establish, receive or obtain as an employee of Employer or its subsidiary companies, are valuable and unique assets of the respective businesses of Employer and its subsidiary companies, Executive agrees that, during and after the term of his employment hereunder, he shall not (otherwise than pursuant to his duties hereunder) disclose, without the prior written approval of Employer, any such knowledge or information pertaining to Employer or any of its subsidiary companies, their business, personnel or policies, to any person, firm, corporation or other entity, for any reason or purpose whatsoever. The provisions of this Section 9(b) shall not apply to information which is or shall become generally known to the public or the trade (other than by reason of Executive's breach of his obligations hereunder), information which is or shall become available in trade or other publications, and information which Executive is required to disclose by law or an order of a court of competent jurisdiction. If Executive is required by law or a court order to disclose such information, he shall notify Employer of such requirement and provide Employer an opportunity (if Employer so elects) to contest such law or court order.</w:t>
      </w:r>
    </w:p>
    <w:p>
      <w:pPr>
        <w:spacing w:after="0" w:line="134" w:lineRule="exact"/>
        <w:rPr>
          <w:rFonts w:ascii="Arial" w:cs="Arial" w:eastAsia="Arial" w:hAnsi="Arial"/>
          <w:sz w:val="15"/>
          <w:szCs w:val="15"/>
          <w:color w:val="auto"/>
        </w:rPr>
      </w:pPr>
    </w:p>
    <w:p>
      <w:pPr>
        <w:jc w:val="both"/>
        <w:ind w:right="200" w:firstLine="260"/>
        <w:spacing w:after="0" w:line="351" w:lineRule="auto"/>
        <w:tabs>
          <w:tab w:leader="none" w:pos="766" w:val="left"/>
        </w:tabs>
        <w:numPr>
          <w:ilvl w:val="1"/>
          <w:numId w:val="19"/>
        </w:numPr>
        <w:rPr>
          <w:rFonts w:ascii="Arial" w:cs="Arial" w:eastAsia="Arial" w:hAnsi="Arial"/>
          <w:sz w:val="15"/>
          <w:szCs w:val="15"/>
          <w:color w:val="auto"/>
        </w:rPr>
      </w:pPr>
      <w:r>
        <w:rPr>
          <w:rFonts w:ascii="Arial" w:cs="Arial" w:eastAsia="Arial" w:hAnsi="Arial"/>
          <w:sz w:val="15"/>
          <w:szCs w:val="15"/>
          <w:color w:val="auto"/>
        </w:rPr>
        <w:t>Executive agrees that Employer shall withhold from any and all payments required to be made to Executive pursuant to this Agreement, all federal, state, local and/or other taxes which Employer determines are required to be withheld in accordance with applicable statutes and/or regulations from time to time in effect.</w:t>
      </w:r>
    </w:p>
    <w:p>
      <w:pPr>
        <w:spacing w:after="0" w:line="84" w:lineRule="exact"/>
        <w:rPr>
          <w:rFonts w:ascii="Arial" w:cs="Arial" w:eastAsia="Arial" w:hAnsi="Arial"/>
          <w:sz w:val="15"/>
          <w:szCs w:val="15"/>
          <w:color w:val="auto"/>
        </w:rPr>
      </w:pPr>
    </w:p>
    <w:p>
      <w:pPr>
        <w:ind w:left="760" w:hanging="500"/>
        <w:spacing w:after="0"/>
        <w:tabs>
          <w:tab w:leader="none" w:pos="7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This Agreement shall be construed under the laws of the State of New York.</w:t>
      </w:r>
    </w:p>
    <w:p>
      <w:pPr>
        <w:spacing w:after="0" w:line="184" w:lineRule="exact"/>
        <w:rPr>
          <w:rFonts w:ascii="Arial" w:cs="Arial" w:eastAsia="Arial" w:hAnsi="Arial"/>
          <w:sz w:val="17"/>
          <w:szCs w:val="17"/>
          <w:color w:val="auto"/>
        </w:rPr>
      </w:pPr>
    </w:p>
    <w:p>
      <w:pPr>
        <w:ind w:right="100" w:firstLine="260"/>
        <w:spacing w:after="0" w:line="269" w:lineRule="auto"/>
        <w:tabs>
          <w:tab w:leader="none" w:pos="766"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This Agreement supersedes all prior negotiations and understandings of any kind with respect to the subject matter hereof and contains all of the terms and provision of agreement between the parties hereto with respect to the subject matter hereof. Any representation, promise or condition, whether written or oral, not specifically incorporated herein, shall be of no binding effect upon the parties.</w:t>
      </w:r>
    </w:p>
    <w:p>
      <w:pPr>
        <w:spacing w:after="0" w:line="154" w:lineRule="exact"/>
        <w:rPr>
          <w:rFonts w:ascii="Arial" w:cs="Arial" w:eastAsia="Arial" w:hAnsi="Arial"/>
          <w:sz w:val="17"/>
          <w:szCs w:val="17"/>
          <w:color w:val="auto"/>
        </w:rPr>
      </w:pPr>
    </w:p>
    <w:p>
      <w:pPr>
        <w:ind w:right="460" w:firstLine="260"/>
        <w:spacing w:after="0" w:line="282" w:lineRule="auto"/>
        <w:tabs>
          <w:tab w:leader="none" w:pos="76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If any portion of this Agreement is held invalid or unenforceable by a court of competent jurisdiction, that portion only shall be deemed deleted as though it had never been included herein but the remainder of this Agreement shall remain in full force and effect.</w:t>
      </w:r>
    </w:p>
    <w:p>
      <w:pPr>
        <w:spacing w:after="0" w:line="129" w:lineRule="exact"/>
        <w:rPr>
          <w:rFonts w:ascii="Arial" w:cs="Arial" w:eastAsia="Arial" w:hAnsi="Arial"/>
          <w:sz w:val="17"/>
          <w:szCs w:val="17"/>
          <w:color w:val="auto"/>
        </w:rPr>
      </w:pPr>
    </w:p>
    <w:p>
      <w:pPr>
        <w:ind w:right="400" w:firstLine="515"/>
        <w:spacing w:after="0" w:line="265" w:lineRule="auto"/>
        <w:tabs>
          <w:tab w:leader="none" w:pos="752" w:val="left"/>
        </w:tabs>
        <w:numPr>
          <w:ilvl w:val="2"/>
          <w:numId w:val="19"/>
        </w:numPr>
        <w:rPr>
          <w:rFonts w:ascii="Arial" w:cs="Arial" w:eastAsia="Arial" w:hAnsi="Arial"/>
          <w:sz w:val="17"/>
          <w:szCs w:val="17"/>
          <w:color w:val="auto"/>
        </w:rPr>
      </w:pPr>
      <w:r>
        <w:rPr>
          <w:rFonts w:ascii="Arial" w:cs="Arial" w:eastAsia="Arial" w:hAnsi="Arial"/>
          <w:sz w:val="17"/>
          <w:szCs w:val="17"/>
          <w:color w:val="auto"/>
        </w:rPr>
        <w:t>Executive acknowledges and agrees that Employer's remedies at law for a breach or threatened breach of any of the provisions of Section 9 would be inadequate and, in recognition of this fact, Executive agrees that, in the event of such a breach or threatened breach, in addition to any remedies at law, Employer, without posting any bond, shall be entitled to obtain equitable relief in the form of specific performance, temporary restraining order, temporary or permanent injunction or any other equitable remedy which may then be available.</w:t>
      </w:r>
    </w:p>
    <w:p>
      <w:pPr>
        <w:spacing w:after="0" w:line="144" w:lineRule="exact"/>
        <w:rPr>
          <w:rFonts w:ascii="Arial" w:cs="Arial" w:eastAsia="Arial" w:hAnsi="Arial"/>
          <w:sz w:val="17"/>
          <w:szCs w:val="17"/>
          <w:color w:val="auto"/>
        </w:rPr>
      </w:pPr>
    </w:p>
    <w:p>
      <w:pPr>
        <w:ind w:left="740" w:hanging="225"/>
        <w:spacing w:after="0"/>
        <w:tabs>
          <w:tab w:leader="none" w:pos="740" w:val="left"/>
        </w:tabs>
        <w:numPr>
          <w:ilvl w:val="2"/>
          <w:numId w:val="19"/>
        </w:numPr>
        <w:rPr>
          <w:rFonts w:ascii="Arial" w:cs="Arial" w:eastAsia="Arial" w:hAnsi="Arial"/>
          <w:sz w:val="17"/>
          <w:szCs w:val="17"/>
          <w:color w:val="auto"/>
        </w:rPr>
      </w:pPr>
      <w:r>
        <w:rPr>
          <w:rFonts w:ascii="Arial" w:cs="Arial" w:eastAsia="Arial" w:hAnsi="Arial"/>
          <w:sz w:val="17"/>
          <w:szCs w:val="17"/>
          <w:color w:val="auto"/>
        </w:rPr>
        <w:t>This Agreement shall not be assignable by Executive.</w:t>
      </w:r>
    </w:p>
    <w:p>
      <w:pPr>
        <w:spacing w:after="0" w:line="197" w:lineRule="exact"/>
        <w:rPr>
          <w:rFonts w:ascii="Arial" w:cs="Arial" w:eastAsia="Arial" w:hAnsi="Arial"/>
          <w:sz w:val="17"/>
          <w:szCs w:val="17"/>
          <w:color w:val="auto"/>
        </w:rPr>
      </w:pPr>
    </w:p>
    <w:p>
      <w:pPr>
        <w:ind w:left="520" w:hanging="515"/>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 modification, termination or waiver of any provision of this Agreement shall be valid unless it is in writing and signed by both parties hereto.</w:t>
      </w:r>
    </w:p>
    <w:p>
      <w:pPr>
        <w:spacing w:after="0" w:line="184" w:lineRule="exact"/>
        <w:rPr>
          <w:rFonts w:ascii="Arial" w:cs="Arial" w:eastAsia="Arial" w:hAnsi="Arial"/>
          <w:sz w:val="17"/>
          <w:szCs w:val="17"/>
          <w:color w:val="auto"/>
        </w:rPr>
      </w:pPr>
    </w:p>
    <w:p>
      <w:pPr>
        <w:ind w:firstLine="5"/>
        <w:spacing w:after="0" w:line="282" w:lineRule="auto"/>
        <w:tabs>
          <w:tab w:leader="none" w:pos="5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Employer represents that it has all requisite power and authority to execute and deliver this Agreement and to perform its obligations under this Agreement, and that this Agreement is enforceable against it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MINERALS TECHNOLOGIES INC.</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-10160</wp:posOffset>
            </wp:positionV>
            <wp:extent cx="273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Paul R. Saueracker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Agreed to by:</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Executive</w:t>
      </w:r>
    </w:p>
    <w:p>
      <w:pPr>
        <w:sectPr>
          <w:pgSz w:w="11900" w:h="16838" w:orient="portrait"/>
          <w:cols w:equalWidth="0" w:num="1">
            <w:col w:w="11420"/>
          </w:cols>
          <w:pgMar w:left="240" w:top="131" w:right="239" w:bottom="1440" w:gutter="0" w:footer="0" w:header="0"/>
        </w:sectPr>
      </w:pPr>
    </w:p>
    <w:bookmarkStart w:id="43" w:name="page44"/>
    <w:bookmarkEnd w:id="43"/>
    <w:p>
      <w:pPr>
        <w:spacing w:after="0" w:line="30" w:lineRule="exact"/>
        <w:rPr>
          <w:sz w:val="20"/>
          <w:szCs w:val="20"/>
          <w:color w:val="auto"/>
        </w:rPr>
      </w:pPr>
    </w:p>
    <w:p>
      <w:pPr>
        <w:ind w:left="9440"/>
        <w:spacing w:after="0"/>
        <w:rPr>
          <w:sz w:val="20"/>
          <w:szCs w:val="20"/>
          <w:color w:val="auto"/>
        </w:rPr>
      </w:pPr>
      <w:r>
        <w:rPr>
          <w:rFonts w:ascii="Arial" w:cs="Arial" w:eastAsia="Arial" w:hAnsi="Arial"/>
          <w:sz w:val="17"/>
          <w:szCs w:val="17"/>
          <w:b w:val="1"/>
          <w:bCs w:val="1"/>
          <w:color w:val="auto"/>
        </w:rPr>
        <w:t>EXHIBIT 10.5(a)</w:t>
      </w:r>
    </w:p>
    <w:p>
      <w:pPr>
        <w:spacing w:after="0" w:line="188" w:lineRule="exact"/>
        <w:rPr>
          <w:sz w:val="20"/>
          <w:szCs w:val="20"/>
          <w:color w:val="auto"/>
        </w:rPr>
      </w:pPr>
    </w:p>
    <w:p>
      <w:pPr>
        <w:ind w:right="80" w:firstLine="203"/>
        <w:spacing w:after="0" w:line="282" w:lineRule="auto"/>
        <w:rPr>
          <w:sz w:val="20"/>
          <w:szCs w:val="20"/>
          <w:color w:val="auto"/>
        </w:rPr>
      </w:pPr>
      <w:r>
        <w:rPr>
          <w:rFonts w:ascii="Arial" w:cs="Arial" w:eastAsia="Arial" w:hAnsi="Arial"/>
          <w:sz w:val="17"/>
          <w:szCs w:val="17"/>
          <w:color w:val="auto"/>
        </w:rPr>
        <w:t>An Employment Agreement has been executed by the Company and the indicated employee, substantially identical in all material respects to the following form of employment agreement except as noted below. The Employment Agreement was executed by Mr. Saueracker for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2980" w:type="dxa"/>
            <w:vAlign w:val="bottom"/>
          </w:tcPr>
          <w:p>
            <w:pPr>
              <w:ind w:left="360"/>
              <w:spacing w:after="0"/>
              <w:rPr>
                <w:sz w:val="20"/>
                <w:szCs w:val="20"/>
                <w:color w:val="auto"/>
              </w:rPr>
            </w:pPr>
            <w:r>
              <w:rPr>
                <w:rFonts w:ascii="Arial" w:cs="Arial" w:eastAsia="Arial" w:hAnsi="Arial"/>
                <w:sz w:val="17"/>
                <w:szCs w:val="17"/>
                <w:b w:val="1"/>
                <w:bCs w:val="1"/>
                <w:color w:val="auto"/>
              </w:rPr>
              <w:t>EMPLOYEE AND POSITION</w:t>
            </w:r>
          </w:p>
        </w:tc>
        <w:tc>
          <w:tcPr>
            <w:tcW w:w="18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7"/>
                <w:szCs w:val="17"/>
                <w:b w:val="1"/>
                <w:bCs w:val="1"/>
                <w:color w:val="auto"/>
                <w:w w:val="96"/>
              </w:rPr>
              <w:t>BASE SALARY</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9"/>
              </w:rPr>
              <w:t>DATE OF</w:t>
            </w:r>
          </w:p>
        </w:tc>
        <w:tc>
          <w:tcPr>
            <w:tcW w:w="1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rPr>
              <w:t>TERMINATION DATE OF</w:t>
            </w: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AGREEMENT</w:t>
            </w:r>
          </w:p>
        </w:tc>
        <w:tc>
          <w:tcPr>
            <w:tcW w:w="1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rPr>
              <w:t>AGREEMENT [IF NOT</w:t>
            </w: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w w:val="99"/>
              </w:rPr>
              <w:t>EXTENDED PURSUANT TO</w:t>
            </w:r>
          </w:p>
        </w:tc>
      </w:tr>
      <w:tr>
        <w:trPr>
          <w:trHeight w:val="220"/>
        </w:trPr>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w w:val="99"/>
              </w:rPr>
              <w:t>SECTION 1(a)]</w:t>
            </w:r>
          </w:p>
        </w:tc>
      </w:tr>
      <w:tr>
        <w:trPr>
          <w:trHeight w:val="212"/>
        </w:trPr>
        <w:tc>
          <w:tcPr>
            <w:tcW w:w="2980" w:type="dxa"/>
            <w:vAlign w:val="bottom"/>
            <w:tcBorders>
              <w:bottom w:val="single" w:sz="8" w:color="9A9A9A"/>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r>
      <w:tr>
        <w:trPr>
          <w:trHeight w:val="468"/>
        </w:trPr>
        <w:tc>
          <w:tcPr>
            <w:tcW w:w="2980" w:type="dxa"/>
            <w:vAlign w:val="bottom"/>
          </w:tcPr>
          <w:p>
            <w:pPr>
              <w:ind w:left="120"/>
              <w:spacing w:after="0"/>
              <w:rPr>
                <w:sz w:val="20"/>
                <w:szCs w:val="20"/>
                <w:color w:val="auto"/>
              </w:rPr>
            </w:pPr>
            <w:r>
              <w:rPr>
                <w:rFonts w:ascii="Arial" w:cs="Arial" w:eastAsia="Arial" w:hAnsi="Arial"/>
                <w:sz w:val="17"/>
                <w:szCs w:val="17"/>
                <w:color w:val="auto"/>
              </w:rPr>
              <w:t>Neil M. Bardach</w:t>
            </w: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275,000</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March 1, 2001</w:t>
            </w:r>
          </w:p>
        </w:tc>
        <w:tc>
          <w:tcPr>
            <w:tcW w:w="1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7"/>
                <w:szCs w:val="17"/>
                <w:color w:val="auto"/>
                <w:w w:val="90"/>
              </w:rPr>
              <w:t>July 31, 2002</w:t>
            </w:r>
          </w:p>
        </w:tc>
      </w:tr>
      <w:tr>
        <w:trPr>
          <w:trHeight w:val="210"/>
        </w:trPr>
        <w:tc>
          <w:tcPr>
            <w:tcW w:w="2980" w:type="dxa"/>
            <w:vAlign w:val="bottom"/>
          </w:tcPr>
          <w:p>
            <w:pPr>
              <w:ind w:left="260"/>
              <w:spacing w:after="0"/>
              <w:rPr>
                <w:sz w:val="20"/>
                <w:szCs w:val="20"/>
                <w:color w:val="auto"/>
              </w:rPr>
            </w:pPr>
            <w:r>
              <w:rPr>
                <w:rFonts w:ascii="Arial" w:cs="Arial" w:eastAsia="Arial" w:hAnsi="Arial"/>
                <w:sz w:val="17"/>
                <w:szCs w:val="17"/>
                <w:color w:val="auto"/>
              </w:rPr>
              <w:t>Vice President - Finance and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980" w:type="dxa"/>
            <w:vAlign w:val="bottom"/>
          </w:tcPr>
          <w:p>
            <w:pPr>
              <w:ind w:left="260"/>
              <w:spacing w:after="0"/>
              <w:rPr>
                <w:sz w:val="20"/>
                <w:szCs w:val="20"/>
                <w:color w:val="auto"/>
              </w:rPr>
            </w:pPr>
            <w:r>
              <w:rPr>
                <w:rFonts w:ascii="Arial" w:cs="Arial" w:eastAsia="Arial" w:hAnsi="Arial"/>
                <w:sz w:val="17"/>
                <w:szCs w:val="17"/>
                <w:color w:val="auto"/>
              </w:rPr>
              <w:t>Chief Executive Officer</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1936115</wp:posOffset>
            </wp:positionH>
            <wp:positionV relativeFrom="paragraph">
              <wp:posOffset>-617855</wp:posOffset>
            </wp:positionV>
            <wp:extent cx="33655" cy="50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-617855</wp:posOffset>
            </wp:positionV>
            <wp:extent cx="33655" cy="5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-617855</wp:posOffset>
            </wp:positionV>
            <wp:extent cx="33655" cy="50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-617855</wp:posOffset>
            </wp:positionV>
            <wp:extent cx="33655" cy="5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-617855</wp:posOffset>
            </wp:positionV>
            <wp:extent cx="33655" cy="50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-617855</wp:posOffset>
            </wp:positionV>
            <wp:extent cx="33655" cy="50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-617855</wp:posOffset>
            </wp:positionV>
            <wp:extent cx="33655" cy="50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-617855</wp:posOffset>
            </wp:positionV>
            <wp:extent cx="33655"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EMPLOYMENT AGREEMENT</w:t>
      </w: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This Employment Agreement ("Agreement"), made as of the ____ day of __________, 200___, by and between Minerals Technologies Inc., 405 Lexington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Avenue, New York, New York 10174-1901, a Delaware Corporation (hereinafter referred to as "Employer"), and _________________ (hereinafter referred to 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"Executive").</w:t>
      </w:r>
    </w:p>
    <w:p>
      <w:pPr>
        <w:spacing w:after="0" w:line="191" w:lineRule="exact"/>
        <w:rPr>
          <w:sz w:val="20"/>
          <w:szCs w:val="20"/>
          <w:color w:val="auto"/>
        </w:rPr>
      </w:pPr>
    </w:p>
    <w:p>
      <w:pPr>
        <w:ind w:firstLine="213"/>
        <w:spacing w:after="0" w:line="295" w:lineRule="auto"/>
        <w:rPr>
          <w:sz w:val="20"/>
          <w:szCs w:val="20"/>
          <w:color w:val="auto"/>
        </w:rPr>
      </w:pPr>
      <w:r>
        <w:rPr>
          <w:rFonts w:ascii="Arial" w:cs="Arial" w:eastAsia="Arial" w:hAnsi="Arial"/>
          <w:sz w:val="15"/>
          <w:szCs w:val="15"/>
          <w:color w:val="auto"/>
        </w:rPr>
        <w:t>WHEREAS, in furtherance of Employer's commitment to the continued success of its businesses, and in recognition of the valuable contributions to be made by Executive, Employer has agreed to employ Executive for a period commencing on the _____ day of _________ 2001, ("Commencement Date") and terminating on the</w:t>
      </w:r>
    </w:p>
    <w:p>
      <w:pPr>
        <w:spacing w:after="0" w:line="1"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expiration of the "Term" as hereinafter defined, subject to certain terms and conditions as hereinafter set forth, and Executive has indicated his willingness to accept such employment;</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NOW, THEREFORE, in consideration of the mutual promises and covenants hereinafter set forth, the parties agree as follows:</w:t>
      </w:r>
    </w:p>
    <w:p>
      <w:pPr>
        <w:spacing w:after="0" w:line="184" w:lineRule="exact"/>
        <w:rPr>
          <w:sz w:val="20"/>
          <w:szCs w:val="20"/>
          <w:color w:val="auto"/>
        </w:rPr>
      </w:pPr>
    </w:p>
    <w:p>
      <w:pPr>
        <w:ind w:firstLine="218"/>
        <w:spacing w:after="0" w:line="299" w:lineRule="auto"/>
        <w:tabs>
          <w:tab w:leader="none" w:pos="59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The employment of Executive by Employer will commence on the Commencement Date and, unless terminated on an earlier date in the manner hereinafter provided, shall terminate on the expiration of the Term. For purposes of this Agreement, "Term" shall mean a period beginning on the Commencement Date and ending on the 31st day of July 2002, subject to any extensions or earlier expiration thereof as provided herein. On the first day of each month occurring after the Commencement Date, the Term shall automatically be extended for an additional month, unless, prior to any such first day of a month, Employer or Executive shall have given written notice to the other party not to extend the Term or Executive shall have reached his sixty-fifth birthday. Nothing in this Section shall limit the right of Employer or Executive to terminate either Executive's employment hereunder or the Term pursuant to the terms and conditions set forth in Section 7. Employer and Executive agree that neither such notice not to extend the Term by Employer or Executive nor failure of this Agreement to be extended because Executive has reached his sixty-fifth birthday nor early expiration of the Term pursuant to Section 7(a) shall be considered as a termination of Executive other than for Cause (as defined below) pursuant to Section 7(a) and shall not constitute Good Reason for Executive to terminate his employment hereunder pursuant to Section 7(c)(ii).</w:t>
      </w:r>
    </w:p>
    <w:p>
      <w:pPr>
        <w:spacing w:after="0" w:line="134" w:lineRule="exact"/>
        <w:rPr>
          <w:rFonts w:ascii="Arial" w:cs="Arial" w:eastAsia="Arial" w:hAnsi="Arial"/>
          <w:sz w:val="15"/>
          <w:szCs w:val="15"/>
          <w:color w:val="auto"/>
        </w:rPr>
      </w:pPr>
    </w:p>
    <w:p>
      <w:pPr>
        <w:ind w:right="80" w:firstLine="558"/>
        <w:spacing w:after="0" w:line="303" w:lineRule="auto"/>
        <w:tabs>
          <w:tab w:leader="none" w:pos="1007" w:val="left"/>
        </w:tabs>
        <w:numPr>
          <w:ilvl w:val="1"/>
          <w:numId w:val="21"/>
        </w:numPr>
        <w:rPr>
          <w:rFonts w:ascii="Arial" w:cs="Arial" w:eastAsia="Arial" w:hAnsi="Arial"/>
          <w:sz w:val="15"/>
          <w:szCs w:val="15"/>
          <w:color w:val="auto"/>
        </w:rPr>
      </w:pPr>
      <w:r>
        <w:rPr>
          <w:rFonts w:ascii="Arial" w:cs="Arial" w:eastAsia="Arial" w:hAnsi="Arial"/>
          <w:sz w:val="15"/>
          <w:szCs w:val="15"/>
          <w:color w:val="auto"/>
        </w:rPr>
        <w:t>During the Term, Executive will be employed by Employer as ______________ of Employer at an annual salary of not less than $___________ ("Base Salary") and will participate in all benefit plans and other fringe benefits available to similarly situated executives in accordance with their respective terms. By December 31, 2001, and thereafter, Employer will review Executive's salary on an annual basis in accordance with Employer's policies, to determine appropriate increases, if any. In addition to salary, Executive will receive bonus payments as determined from time to time by Employer's Board of Directors or the Compensation and Nominating Committee thereof. Any such payment with respect to a calendar year will be made in the first quarter of the following year but shall be deemed earned and due and owing if Executive is employed on December 31st of the applicable calendar year, regardless of his status as of the payment date.</w:t>
      </w:r>
    </w:p>
    <w:p>
      <w:pPr>
        <w:spacing w:after="0" w:line="120" w:lineRule="exact"/>
        <w:rPr>
          <w:rFonts w:ascii="Arial" w:cs="Arial" w:eastAsia="Arial" w:hAnsi="Arial"/>
          <w:sz w:val="15"/>
          <w:szCs w:val="15"/>
          <w:color w:val="auto"/>
        </w:rPr>
      </w:pPr>
    </w:p>
    <w:p>
      <w:pPr>
        <w:ind w:right="40" w:firstLine="218"/>
        <w:spacing w:after="0" w:line="265" w:lineRule="auto"/>
        <w:tabs>
          <w:tab w:leader="none" w:pos="5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is contemplated that, in connection with his employment hereunder, Executive may be required to incur reasonable and necessary travel, business entertainment and other business expenses. Employer agrees to reimburse Executive for all reasonable and necessary travel, business entertainment, and other business expenses incurred or expended by him incident to the performance of his duties hereunder, upon submission by Executive to Employer of vouchers or expense statements satisfactorily evidencing such expenses.</w:t>
      </w:r>
    </w:p>
    <w:p>
      <w:pPr>
        <w:spacing w:after="0" w:line="144" w:lineRule="exact"/>
        <w:rPr>
          <w:rFonts w:ascii="Arial" w:cs="Arial" w:eastAsia="Arial" w:hAnsi="Arial"/>
          <w:sz w:val="17"/>
          <w:szCs w:val="17"/>
          <w:color w:val="auto"/>
        </w:rPr>
      </w:pPr>
    </w:p>
    <w:p>
      <w:pPr>
        <w:ind w:right="200" w:firstLine="218"/>
        <w:spacing w:after="0" w:line="311" w:lineRule="auto"/>
        <w:tabs>
          <w:tab w:leader="none" w:pos="596" w:val="left"/>
        </w:tabs>
        <w:numPr>
          <w:ilvl w:val="0"/>
          <w:numId w:val="21"/>
        </w:numPr>
        <w:rPr>
          <w:rFonts w:ascii="Arial" w:cs="Arial" w:eastAsia="Arial" w:hAnsi="Arial"/>
          <w:sz w:val="15"/>
          <w:szCs w:val="15"/>
          <w:color w:val="auto"/>
        </w:rPr>
      </w:pPr>
      <w:r>
        <w:rPr>
          <w:rFonts w:ascii="Arial" w:cs="Arial" w:eastAsia="Arial" w:hAnsi="Arial"/>
          <w:sz w:val="15"/>
          <w:szCs w:val="15"/>
          <w:color w:val="auto"/>
        </w:rPr>
        <w:t>During the period that Executive is an employee of Employer, Employer will provide retirement, employee benefits (pre- and post-retirement) and fringe benefit plans to Executive no less favorable than those made available to Employer's executive employees generally, to the extent that Executive qualifies under the eligibility provisions of such plans. Executive shall be entitled to a period of paid vacation each year as provided in Employer's established vacation policy, but in no event shall such period be shorter than that agreed to between Employer and Executive under any prior agreement between Employer and Executive.</w:t>
      </w:r>
    </w:p>
    <w:p>
      <w:pPr>
        <w:spacing w:after="0" w:line="127" w:lineRule="exact"/>
        <w:rPr>
          <w:rFonts w:ascii="Arial" w:cs="Arial" w:eastAsia="Arial" w:hAnsi="Arial"/>
          <w:sz w:val="15"/>
          <w:szCs w:val="15"/>
          <w:color w:val="auto"/>
        </w:rPr>
      </w:pPr>
    </w:p>
    <w:p>
      <w:pPr>
        <w:ind w:right="180" w:firstLine="218"/>
        <w:spacing w:after="0" w:line="282" w:lineRule="auto"/>
        <w:tabs>
          <w:tab w:leader="none" w:pos="5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Executive agrees that he shall use his best efforts to promote and protect the interest of Employer, its subsidiaries and related corporations, and to devote his full working time, attention and energy to performing the duties of his position.</w:t>
      </w:r>
    </w:p>
    <w:p>
      <w:pPr>
        <w:spacing w:after="0" w:line="129" w:lineRule="exact"/>
        <w:rPr>
          <w:rFonts w:ascii="Arial" w:cs="Arial" w:eastAsia="Arial" w:hAnsi="Arial"/>
          <w:sz w:val="17"/>
          <w:szCs w:val="17"/>
          <w:color w:val="auto"/>
        </w:rPr>
      </w:pPr>
    </w:p>
    <w:p>
      <w:pPr>
        <w:ind w:right="140" w:firstLine="218"/>
        <w:spacing w:after="0" w:line="262" w:lineRule="auto"/>
        <w:tabs>
          <w:tab w:leader="none" w:pos="5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event of the "Permanent Disability" (as defined below) of Executive while employed hereunder, Employer shall have the right, upon written notice to Executive, to terminate his employment hereunder, effective upon the giving of such notice. Upon such termination, Employer and Executive shall be discharged and released from any further obligations under this Agreement, except that the obligations provided for in Section 9 hereof shall survive any such termination. Disability benefits, if any, due under applicable plans and programs of the Employer shall be determined under the provisions of such plans and programs. For purposes of this Section 5, "Permanent Disability" means any physical or mental disability or incapacity which permanently renders Executive incapable of performing the services required of him by Employer.</w:t>
      </w:r>
    </w:p>
    <w:p>
      <w:pPr>
        <w:spacing w:after="0" w:line="146" w:lineRule="exact"/>
        <w:rPr>
          <w:rFonts w:ascii="Arial" w:cs="Arial" w:eastAsia="Arial" w:hAnsi="Arial"/>
          <w:sz w:val="17"/>
          <w:szCs w:val="17"/>
          <w:color w:val="auto"/>
        </w:rPr>
      </w:pPr>
    </w:p>
    <w:p>
      <w:pPr>
        <w:ind w:right="20" w:firstLine="218"/>
        <w:spacing w:after="0" w:line="263" w:lineRule="auto"/>
        <w:tabs>
          <w:tab w:leader="none" w:pos="5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event of the death of Executive during the Term, the salary to which Executive is entitled hereunder shall continue to be paid through the end of the month in which death occurs, to the last beneficiary designated by Executive by written notice to Employer, or, failing such designation, to his estate. Executive's designated beneficiary or personal representative, as the case may be, shall accept the payments provided for in this Section 6 in full discharge and release of Employer of and from any further obligations under this Agreement. Any other benefits due under applicable plans and programs of Employer shall be determined under the provisions of such plans and programs.</w:t>
      </w:r>
    </w:p>
    <w:p>
      <w:pPr>
        <w:spacing w:after="0" w:line="159" w:lineRule="exact"/>
        <w:rPr>
          <w:rFonts w:ascii="Arial" w:cs="Arial" w:eastAsia="Arial" w:hAnsi="Arial"/>
          <w:sz w:val="17"/>
          <w:szCs w:val="17"/>
          <w:color w:val="auto"/>
        </w:rPr>
      </w:pPr>
    </w:p>
    <w:p>
      <w:pPr>
        <w:ind w:right="100" w:firstLine="218"/>
        <w:spacing w:after="0" w:line="321" w:lineRule="auto"/>
        <w:tabs>
          <w:tab w:leader="none" w:pos="553"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Employer or Executive may terminate Executive's employment with Employer under this Agreement at any time by providing the other party with ninety (90) days advance written notice, in which case Executive's employment and the Term hereof shall terminate at the end of said ninety-day period and neither party shall have any further liability to the other, except that (i) Employer shall pay Executive an amount equal to the amount he would have earned at his Base Salary</w:t>
      </w:r>
    </w:p>
    <w:p>
      <w:pPr>
        <w:sectPr>
          <w:pgSz w:w="11900" w:h="16868" w:orient="portrait"/>
          <w:cols w:equalWidth="0" w:num="1">
            <w:col w:w="11420"/>
          </w:cols>
          <w:pgMar w:left="240" w:top="127" w:right="239" w:bottom="0" w:gutter="0" w:footer="0" w:header="0"/>
        </w:sectPr>
      </w:pPr>
    </w:p>
    <w:bookmarkStart w:id="44" w:name="page45"/>
    <w:bookmarkEnd w:id="44"/>
    <w:p>
      <w:pPr>
        <w:spacing w:after="0" w:line="297" w:lineRule="auto"/>
        <w:rPr>
          <w:sz w:val="20"/>
          <w:szCs w:val="20"/>
          <w:color w:val="auto"/>
        </w:rPr>
      </w:pPr>
      <w:r>
        <w:rPr>
          <w:rFonts w:ascii="Arial" w:cs="Arial" w:eastAsia="Arial" w:hAnsi="Arial"/>
          <w:sz w:val="15"/>
          <w:szCs w:val="15"/>
          <w:color w:val="auto"/>
        </w:rPr>
        <w:t>through the end of said ninety-day period, any bonus payment to which he may be entitled pursuant to Section 1(b), and any payment to which he may be entitled for accrued vacation; and (ii) the obligations provided for in Section 9 hereof shall survive any such termination. In the event that during the Term, but only after the six-month period beginning on the Commencement Date, Employer terminates the employment of Executive for reasons other than for Cause or the Permanent Disability or death of Executive or Executive resigns for Good Reason (as defined below), the Term shall not be deemed to have terminated and Employer will pay Executive on a biweekly basis an amount equal to the amount he would have earned at his Base Salary through the end of the Term (but in no event shall Executive be paid for more than fifteen (15) months following his date of termination) plus any "Termination Bonuses", as defined herein, less any severance payments paid Executive pursuant to Employer policies; in addition to the foregoing payments, Executive shall be entitled to coverage under Employer's Group Benefit Plan for medical and dental expense coverage and prescription drugs until the end of the Term. For purposes of this Agreement, "Termination Bonuses" shall mean amounts which would otherwise be payable to Executive during the Term pursuant to Section 1(b) were Executive an employee of Employer, provided that in no event will any such bonus be greater in amount than the average amount of any such bonuses received by Executive in the two years immediately preceding the termination of his employment with Employer, or the amount of such bonus received by Executive in the prior year if Executive has received only one such bonus payment.</w:t>
      </w:r>
    </w:p>
    <w:p>
      <w:pPr>
        <w:spacing w:after="0" w:line="127" w:lineRule="exact"/>
        <w:rPr>
          <w:sz w:val="20"/>
          <w:szCs w:val="20"/>
          <w:color w:val="auto"/>
        </w:rPr>
      </w:pPr>
    </w:p>
    <w:p>
      <w:pPr>
        <w:ind w:right="60" w:firstLine="388"/>
        <w:spacing w:after="0" w:line="281" w:lineRule="auto"/>
        <w:tabs>
          <w:tab w:leader="none" w:pos="837"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Executive shall be required to mitigate the amount of any salary continuation payments provided for pursuant to Section 7(a) by seeking other comparable employment within a reasonable commuting distance of his home, taking into account the provisions of Section 9 of this Agreement. Anything in this Agreement to the contrary notwithstanding, in the event that Executive provides services for pay to anyone other than Employer or any of its affiliates or subsidiaries from the date Executive's employment hereunder is terminated and during such period as Executive is receiving salary continuation payments pursuant to Section 7(a), the amounts to be paid to Executive as salary continuation payments during such period pursuant to this Agreement shall be reduced by the amounts of salary, bonus or other cash compensation earned by Executive during such period as a result of Executive's performing such services.</w:t>
      </w:r>
    </w:p>
    <w:p>
      <w:pPr>
        <w:spacing w:after="0" w:line="147" w:lineRule="exact"/>
        <w:rPr>
          <w:rFonts w:ascii="Arial" w:cs="Arial" w:eastAsia="Arial" w:hAnsi="Arial"/>
          <w:sz w:val="16"/>
          <w:szCs w:val="16"/>
          <w:color w:val="auto"/>
        </w:rPr>
      </w:pPr>
    </w:p>
    <w:p>
      <w:pPr>
        <w:ind w:left="840" w:hanging="452"/>
        <w:spacing w:after="0"/>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purposes of this Agreement:</w:t>
      </w:r>
    </w:p>
    <w:p>
      <w:pPr>
        <w:spacing w:after="0" w:line="184" w:lineRule="exact"/>
        <w:rPr>
          <w:sz w:val="20"/>
          <w:szCs w:val="20"/>
          <w:color w:val="auto"/>
        </w:rPr>
      </w:pPr>
    </w:p>
    <w:p>
      <w:pPr>
        <w:ind w:left="800" w:hanging="412"/>
        <w:spacing w:after="0"/>
        <w:tabs>
          <w:tab w:leader="none" w:pos="800" w:val="left"/>
        </w:tabs>
        <w:numPr>
          <w:ilvl w:val="2"/>
          <w:numId w:val="23"/>
        </w:numPr>
        <w:rPr>
          <w:rFonts w:ascii="Arial" w:cs="Arial" w:eastAsia="Arial" w:hAnsi="Arial"/>
          <w:sz w:val="17"/>
          <w:szCs w:val="17"/>
          <w:color w:val="auto"/>
        </w:rPr>
      </w:pPr>
      <w:r>
        <w:rPr>
          <w:rFonts w:ascii="Arial" w:cs="Arial" w:eastAsia="Arial" w:hAnsi="Arial"/>
          <w:sz w:val="17"/>
          <w:szCs w:val="17"/>
          <w:color w:val="auto"/>
        </w:rPr>
        <w:t>"Cause" shall be limited to the following:</w:t>
      </w:r>
    </w:p>
    <w:p>
      <w:pPr>
        <w:spacing w:after="0" w:line="184" w:lineRule="exact"/>
        <w:rPr>
          <w:rFonts w:ascii="Arial" w:cs="Arial" w:eastAsia="Arial" w:hAnsi="Arial"/>
          <w:sz w:val="17"/>
          <w:szCs w:val="17"/>
          <w:color w:val="auto"/>
        </w:rPr>
      </w:pPr>
    </w:p>
    <w:p>
      <w:pPr>
        <w:ind w:right="420" w:firstLine="728"/>
        <w:spacing w:after="0" w:line="282" w:lineRule="auto"/>
        <w:tabs>
          <w:tab w:leader="none" w:pos="1215" w:val="left"/>
        </w:tabs>
        <w:numPr>
          <w:ilvl w:val="5"/>
          <w:numId w:val="23"/>
        </w:numPr>
        <w:rPr>
          <w:rFonts w:ascii="Arial" w:cs="Arial" w:eastAsia="Arial" w:hAnsi="Arial"/>
          <w:sz w:val="17"/>
          <w:szCs w:val="17"/>
          <w:color w:val="auto"/>
        </w:rPr>
      </w:pPr>
      <w:r>
        <w:rPr>
          <w:rFonts w:ascii="Arial" w:cs="Arial" w:eastAsia="Arial" w:hAnsi="Arial"/>
          <w:sz w:val="17"/>
          <w:szCs w:val="17"/>
          <w:color w:val="auto"/>
        </w:rPr>
        <w:t>Executive shall have failed to perform any of his material obligations as set forth herein, provided that Employer has advised Executive of such failure and given Executive a reasonable period of time to cure such failure and Executive has failed to do so; or</w:t>
      </w:r>
    </w:p>
    <w:p>
      <w:pPr>
        <w:spacing w:after="0" w:line="142" w:lineRule="exact"/>
        <w:rPr>
          <w:rFonts w:ascii="Arial" w:cs="Arial" w:eastAsia="Arial" w:hAnsi="Arial"/>
          <w:sz w:val="17"/>
          <w:szCs w:val="17"/>
          <w:color w:val="auto"/>
        </w:rPr>
      </w:pPr>
    </w:p>
    <w:p>
      <w:pPr>
        <w:ind w:right="180" w:firstLine="728"/>
        <w:spacing w:after="0" w:line="282" w:lineRule="auto"/>
        <w:tabs>
          <w:tab w:leader="none" w:pos="1206" w:val="left"/>
        </w:tabs>
        <w:numPr>
          <w:ilvl w:val="5"/>
          <w:numId w:val="23"/>
        </w:numPr>
        <w:rPr>
          <w:rFonts w:ascii="Arial" w:cs="Arial" w:eastAsia="Arial" w:hAnsi="Arial"/>
          <w:sz w:val="17"/>
          <w:szCs w:val="17"/>
          <w:color w:val="auto"/>
        </w:rPr>
      </w:pPr>
      <w:r>
        <w:rPr>
          <w:rFonts w:ascii="Arial" w:cs="Arial" w:eastAsia="Arial" w:hAnsi="Arial"/>
          <w:sz w:val="17"/>
          <w:szCs w:val="17"/>
          <w:color w:val="auto"/>
        </w:rPr>
        <w:t>Executive shall commit acts constituting (i) a felony involving moral turpitude materially adversely reflecting on the Employer or (ii) fraud or theft against Employer.</w:t>
      </w:r>
    </w:p>
    <w:p>
      <w:pPr>
        <w:spacing w:after="0" w:line="129" w:lineRule="exact"/>
        <w:rPr>
          <w:rFonts w:ascii="Arial" w:cs="Arial" w:eastAsia="Arial" w:hAnsi="Arial"/>
          <w:sz w:val="17"/>
          <w:szCs w:val="17"/>
          <w:color w:val="auto"/>
        </w:rPr>
      </w:pPr>
    </w:p>
    <w:p>
      <w:pPr>
        <w:ind w:left="860" w:hanging="472"/>
        <w:spacing w:after="0"/>
        <w:tabs>
          <w:tab w:leader="none" w:pos="860" w:val="left"/>
        </w:tabs>
        <w:numPr>
          <w:ilvl w:val="2"/>
          <w:numId w:val="23"/>
        </w:numPr>
        <w:rPr>
          <w:rFonts w:ascii="Arial" w:cs="Arial" w:eastAsia="Arial" w:hAnsi="Arial"/>
          <w:sz w:val="17"/>
          <w:szCs w:val="17"/>
          <w:color w:val="auto"/>
        </w:rPr>
      </w:pPr>
      <w:r>
        <w:rPr>
          <w:rFonts w:ascii="Arial" w:cs="Arial" w:eastAsia="Arial" w:hAnsi="Arial"/>
          <w:sz w:val="17"/>
          <w:szCs w:val="17"/>
          <w:color w:val="auto"/>
        </w:rPr>
        <w:t>"Good Reason" shall mean termination at the election of Executive based on any of the following:</w:t>
      </w:r>
    </w:p>
    <w:p>
      <w:pPr>
        <w:spacing w:after="0" w:line="184" w:lineRule="exact"/>
        <w:rPr>
          <w:rFonts w:ascii="Arial" w:cs="Arial" w:eastAsia="Arial" w:hAnsi="Arial"/>
          <w:sz w:val="17"/>
          <w:szCs w:val="17"/>
          <w:color w:val="auto"/>
        </w:rPr>
      </w:pPr>
    </w:p>
    <w:p>
      <w:pPr>
        <w:ind w:right="200" w:firstLine="728"/>
        <w:spacing w:after="0" w:line="269" w:lineRule="auto"/>
        <w:tabs>
          <w:tab w:leader="none" w:pos="1215" w:val="left"/>
        </w:tabs>
        <w:numPr>
          <w:ilvl w:val="5"/>
          <w:numId w:val="23"/>
        </w:numPr>
        <w:rPr>
          <w:rFonts w:ascii="Arial" w:cs="Arial" w:eastAsia="Arial" w:hAnsi="Arial"/>
          <w:sz w:val="17"/>
          <w:szCs w:val="17"/>
          <w:color w:val="auto"/>
        </w:rPr>
      </w:pPr>
      <w:r>
        <w:rPr>
          <w:rFonts w:ascii="Arial" w:cs="Arial" w:eastAsia="Arial" w:hAnsi="Arial"/>
          <w:sz w:val="17"/>
          <w:szCs w:val="17"/>
          <w:color w:val="auto"/>
        </w:rPr>
        <w:t>The assignment to Executive of any duties substantially inconsistent with his status as _____________ of Employer or a substantial adverse alteration in the nature or status of his responsibilities pursuant to this Agreement, except in connection with the termination of his employment for Cause, or normal retirement, death, or by Executive other than for Good Reason;</w:t>
      </w:r>
    </w:p>
    <w:p>
      <w:pPr>
        <w:spacing w:after="0" w:line="154" w:lineRule="exact"/>
        <w:rPr>
          <w:rFonts w:ascii="Arial" w:cs="Arial" w:eastAsia="Arial" w:hAnsi="Arial"/>
          <w:sz w:val="17"/>
          <w:szCs w:val="17"/>
          <w:color w:val="auto"/>
        </w:rPr>
      </w:pPr>
    </w:p>
    <w:p>
      <w:pPr>
        <w:ind w:right="560" w:firstLine="728"/>
        <w:spacing w:after="0" w:line="282" w:lineRule="auto"/>
        <w:tabs>
          <w:tab w:leader="none" w:pos="1196" w:val="left"/>
        </w:tabs>
        <w:numPr>
          <w:ilvl w:val="5"/>
          <w:numId w:val="23"/>
        </w:numPr>
        <w:rPr>
          <w:rFonts w:ascii="Arial" w:cs="Arial" w:eastAsia="Arial" w:hAnsi="Arial"/>
          <w:sz w:val="17"/>
          <w:szCs w:val="17"/>
          <w:color w:val="auto"/>
        </w:rPr>
      </w:pPr>
      <w:r>
        <w:rPr>
          <w:rFonts w:ascii="Arial" w:cs="Arial" w:eastAsia="Arial" w:hAnsi="Arial"/>
          <w:sz w:val="17"/>
          <w:szCs w:val="17"/>
          <w:color w:val="auto"/>
        </w:rPr>
        <w:t>A reduction of Executive's fringe or retirement benefits that is not applied by Employer to executives generally or a reduction by Employer in Executive's Base Salary;</w:t>
      </w:r>
    </w:p>
    <w:p>
      <w:pPr>
        <w:spacing w:after="0" w:line="129" w:lineRule="exact"/>
        <w:rPr>
          <w:rFonts w:ascii="Arial" w:cs="Arial" w:eastAsia="Arial" w:hAnsi="Arial"/>
          <w:sz w:val="17"/>
          <w:szCs w:val="17"/>
          <w:color w:val="auto"/>
        </w:rPr>
      </w:pPr>
    </w:p>
    <w:p>
      <w:pPr>
        <w:ind w:right="40" w:firstLine="686"/>
        <w:spacing w:after="0" w:line="269" w:lineRule="auto"/>
        <w:tabs>
          <w:tab w:leader="none" w:pos="1160" w:val="left"/>
        </w:tabs>
        <w:numPr>
          <w:ilvl w:val="4"/>
          <w:numId w:val="23"/>
        </w:numPr>
        <w:rPr>
          <w:rFonts w:ascii="Arial" w:cs="Arial" w:eastAsia="Arial" w:hAnsi="Arial"/>
          <w:sz w:val="17"/>
          <w:szCs w:val="17"/>
          <w:color w:val="auto"/>
        </w:rPr>
      </w:pPr>
      <w:r>
        <w:rPr>
          <w:rFonts w:ascii="Arial" w:cs="Arial" w:eastAsia="Arial" w:hAnsi="Arial"/>
          <w:sz w:val="17"/>
          <w:szCs w:val="17"/>
          <w:color w:val="auto"/>
        </w:rPr>
        <w:t>The merger or consolidation of Employer into or with any other entity, or the sale of all or substantially all of the assets of Employer to an unaffiliated entity unless the entity which survives such merger or to whom such assets are transferred shall assume and agree to perform the obligations of Employer hereunder pursuant to an instrument reasonably acceptable to Executive; or</w:t>
      </w:r>
    </w:p>
    <w:p>
      <w:pPr>
        <w:spacing w:after="0" w:line="141" w:lineRule="exact"/>
        <w:rPr>
          <w:rFonts w:ascii="Arial" w:cs="Arial" w:eastAsia="Arial" w:hAnsi="Arial"/>
          <w:sz w:val="17"/>
          <w:szCs w:val="17"/>
          <w:color w:val="auto"/>
        </w:rPr>
      </w:pPr>
    </w:p>
    <w:p>
      <w:pPr>
        <w:ind w:left="1180" w:hanging="494"/>
        <w:spacing w:after="0"/>
        <w:tabs>
          <w:tab w:leader="none" w:pos="1180" w:val="left"/>
        </w:tabs>
        <w:numPr>
          <w:ilvl w:val="4"/>
          <w:numId w:val="23"/>
        </w:numPr>
        <w:rPr>
          <w:rFonts w:ascii="Arial" w:cs="Arial" w:eastAsia="Arial" w:hAnsi="Arial"/>
          <w:sz w:val="16"/>
          <w:szCs w:val="16"/>
          <w:color w:val="auto"/>
        </w:rPr>
      </w:pPr>
      <w:r>
        <w:rPr>
          <w:rFonts w:ascii="Arial" w:cs="Arial" w:eastAsia="Arial" w:hAnsi="Arial"/>
          <w:sz w:val="16"/>
          <w:szCs w:val="16"/>
          <w:color w:val="auto"/>
        </w:rPr>
        <w:t>Separation of Executive's office location from the principal corporate office of Employer or relocation outside the contiguous United States.</w:t>
      </w:r>
    </w:p>
    <w:p>
      <w:pPr>
        <w:spacing w:after="0" w:line="208" w:lineRule="exact"/>
        <w:rPr>
          <w:rFonts w:ascii="Arial" w:cs="Arial" w:eastAsia="Arial" w:hAnsi="Arial"/>
          <w:sz w:val="16"/>
          <w:szCs w:val="16"/>
          <w:color w:val="auto"/>
        </w:rPr>
      </w:pPr>
    </w:p>
    <w:p>
      <w:pPr>
        <w:ind w:right="180" w:firstLine="218"/>
        <w:spacing w:after="0" w:line="265" w:lineRule="auto"/>
        <w:tabs>
          <w:tab w:leader="none" w:pos="596" w:val="left"/>
        </w:tabs>
        <w:numPr>
          <w:ilvl w:val="1"/>
          <w:numId w:val="24"/>
        </w:numPr>
        <w:rPr>
          <w:rFonts w:ascii="Arial" w:cs="Arial" w:eastAsia="Arial" w:hAnsi="Arial"/>
          <w:sz w:val="17"/>
          <w:szCs w:val="17"/>
          <w:color w:val="auto"/>
        </w:rPr>
      </w:pPr>
      <w:r>
        <w:rPr>
          <w:rFonts w:ascii="Arial" w:cs="Arial" w:eastAsia="Arial" w:hAnsi="Arial"/>
          <w:sz w:val="17"/>
          <w:szCs w:val="17"/>
          <w:color w:val="auto"/>
        </w:rPr>
        <w:t>Employer shall have the right to terminate this Agreement immediately with no further liability under its terms if Executive terminates his employment without Good Reason, or if Executive is discharged by Employer for Cause. In such event, Executive shall be entitled only to receive his earned Base Salary through the date of termination and to receive any bonus payment to which he may be entitled pursuant to Section 1(b). It is agreed that the provisions of Section 9 shall survive any such termination of this Agreement.</w:t>
      </w:r>
    </w:p>
    <w:p>
      <w:pPr>
        <w:spacing w:after="0" w:line="144" w:lineRule="exact"/>
        <w:rPr>
          <w:rFonts w:ascii="Arial" w:cs="Arial" w:eastAsia="Arial" w:hAnsi="Arial"/>
          <w:sz w:val="17"/>
          <w:szCs w:val="17"/>
          <w:color w:val="auto"/>
        </w:rPr>
      </w:pPr>
    </w:p>
    <w:p>
      <w:pPr>
        <w:ind w:left="560" w:hanging="342"/>
        <w:spacing w:after="0"/>
        <w:tabs>
          <w:tab w:leader="none" w:pos="560" w:val="left"/>
        </w:tabs>
        <w:numPr>
          <w:ilvl w:val="1"/>
          <w:numId w:val="24"/>
        </w:numPr>
        <w:rPr>
          <w:rFonts w:ascii="Arial" w:cs="Arial" w:eastAsia="Arial" w:hAnsi="Arial"/>
          <w:sz w:val="15"/>
          <w:szCs w:val="15"/>
          <w:color w:val="auto"/>
        </w:rPr>
      </w:pPr>
      <w:r>
        <w:rPr>
          <w:rFonts w:ascii="Arial" w:cs="Arial" w:eastAsia="Arial" w:hAnsi="Arial"/>
          <w:sz w:val="15"/>
          <w:szCs w:val="15"/>
          <w:color w:val="auto"/>
        </w:rPr>
        <w:t>(a)   Executive agrees that during the term of his employment hereunder and, subject to the last sentence of this Section 9(a), during the further period of two</w:t>
      </w:r>
    </w:p>
    <w:p>
      <w:pPr>
        <w:spacing w:after="0" w:line="43" w:lineRule="exact"/>
        <w:rPr>
          <w:rFonts w:ascii="Arial" w:cs="Arial" w:eastAsia="Arial" w:hAnsi="Arial"/>
          <w:sz w:val="15"/>
          <w:szCs w:val="15"/>
          <w:color w:val="auto"/>
        </w:rPr>
      </w:pPr>
    </w:p>
    <w:p>
      <w:pPr>
        <w:ind w:firstLine="5"/>
        <w:spacing w:after="0" w:line="275" w:lineRule="auto"/>
        <w:tabs>
          <w:tab w:leader="none" w:pos="24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years after the termination of such employment for whatever reason, Executive shall not, without the prior written approval of Employer, directly or indirectly through any other person, firm or corporation, (i) engage or participate in or become employed by or render advisory or other services to or for any person, firm or corporation, or in connection with any business enterprise, which is, directly or indirectly, in competition with any of the business operations or activities of Employer, or (ii) solicit, raid, entice or induce any such person who on the date of termination of employment of Executive is, or within the last six (6) months of Executive's employment by Employer was, an employee of Employer, to become employed by any person, firm or corporation which is, directly or indirectly, in competition with any of the business operations or activities of Employer, and Executive shall not approach any such employee or former employee for such purpose or authorize or knowingly approve the taking of such actions by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shall not be bound by the restrictions contained in clause (i) of this Section 9(a) if Employer terminates his employment during Term other than for "Cause" (as defined in Section 7(c) hereof). The foregoing restrictions shall apply to the geographical areas where Employer does business and/or did business during the term of Executive's employment and all places where, at the date of termination of employment of Executive, Employer had plans or reasonable expectations to do business; provided that if any Court construes any portion of this provision or clause of this Agreement, or any portion thereof, to be illegal, void or unenforceable because of the duration of such provision or the area or matter covered thereby, such Court shall reduce the duration, area, or matter of such provision and, in its reduced form, such provision shall then be enforceable and shall be enforced. Notwithstanding the provisions of this Section 9, Employer shall be entitled to enforce the provisions of Section 9(a)(i) following the end of Executive's term of employment hereunder only during such time as the Employer continues to pay Executive an amount equal to the Base Salary that Executive was receiving at the time of such termination, unless Executive was terminated for Cause.</w:t>
      </w:r>
    </w:p>
    <w:p>
      <w:pPr>
        <w:spacing w:after="0" w:line="144" w:lineRule="exact"/>
        <w:rPr>
          <w:rFonts w:ascii="Arial" w:cs="Arial" w:eastAsia="Arial" w:hAnsi="Arial"/>
          <w:sz w:val="16"/>
          <w:szCs w:val="16"/>
          <w:color w:val="auto"/>
        </w:rPr>
      </w:pPr>
    </w:p>
    <w:p>
      <w:pPr>
        <w:ind w:firstLine="558"/>
        <w:spacing w:after="0" w:line="299" w:lineRule="auto"/>
        <w:tabs>
          <w:tab w:leader="none" w:pos="1007" w:val="left"/>
        </w:tabs>
        <w:numPr>
          <w:ilvl w:val="3"/>
          <w:numId w:val="25"/>
        </w:numPr>
        <w:rPr>
          <w:rFonts w:ascii="Arial" w:cs="Arial" w:eastAsia="Arial" w:hAnsi="Arial"/>
          <w:sz w:val="15"/>
          <w:szCs w:val="15"/>
          <w:color w:val="auto"/>
        </w:rPr>
      </w:pPr>
      <w:r>
        <w:rPr>
          <w:rFonts w:ascii="Arial" w:cs="Arial" w:eastAsia="Arial" w:hAnsi="Arial"/>
          <w:sz w:val="15"/>
          <w:szCs w:val="15"/>
          <w:color w:val="auto"/>
        </w:rPr>
        <w:t>Recognizing that the knowledge, information and relationship with customers, suppliers, and agents, and the knowledge of Employer's and its subsidiary companies' business methods, systems, plans and policies which Executive shall hereafter establish, receive or obtain as an employee of Employer or its subsidiary companies, are valuable and unique assets of the respective businesses of Employer and its subsidiary companies, Executive agrees that, during and after the term of his employment hereunder, he shall not (otherwise than pursuant to his duties hereunder) disclose, without the prior written approval of Employer, any such knowledge or information pertaining to Employer or any of its subsidiary companies, their business, personnel or policies, to any person, firm, corporation or other entity, for any reason or purpose whatsoever. The provisions of this Section 9(b) shall not apply to information which is or shall become generally known to the public or the trade (other than by reason of Executive's breach of his obligations hereunder), information which is or shall become available in trade or other publications, and information which Executive is required to disclose by law or an order of a court of competent jurisdiction. If Executive is required by law or a court order to disclose such information, he shall notify Employer of such requirement and provide Employer an opportunity (if Employer so elects) to contest such law or court order.</w:t>
      </w:r>
    </w:p>
    <w:p>
      <w:pPr>
        <w:spacing w:after="0" w:line="134" w:lineRule="exact"/>
        <w:rPr>
          <w:rFonts w:ascii="Arial" w:cs="Arial" w:eastAsia="Arial" w:hAnsi="Arial"/>
          <w:sz w:val="15"/>
          <w:szCs w:val="15"/>
          <w:color w:val="auto"/>
        </w:rPr>
      </w:pPr>
    </w:p>
    <w:p>
      <w:pPr>
        <w:ind w:right="200" w:firstLine="218"/>
        <w:spacing w:after="0" w:line="351" w:lineRule="auto"/>
        <w:tabs>
          <w:tab w:leader="none" w:pos="681" w:val="left"/>
        </w:tabs>
        <w:numPr>
          <w:ilvl w:val="1"/>
          <w:numId w:val="25"/>
        </w:numPr>
        <w:rPr>
          <w:rFonts w:ascii="Arial" w:cs="Arial" w:eastAsia="Arial" w:hAnsi="Arial"/>
          <w:sz w:val="15"/>
          <w:szCs w:val="15"/>
          <w:color w:val="auto"/>
        </w:rPr>
      </w:pPr>
      <w:r>
        <w:rPr>
          <w:rFonts w:ascii="Arial" w:cs="Arial" w:eastAsia="Arial" w:hAnsi="Arial"/>
          <w:sz w:val="15"/>
          <w:szCs w:val="15"/>
          <w:color w:val="auto"/>
        </w:rPr>
        <w:t>Executive agrees that Employer shall withhold from any and all payments required to be made to Executive pursuant to this Agreement, all federal, state, local and/or other taxes which Employer determines are required to be withheld in accordance with applicable statutes and/or regulations from time to time in effect.</w:t>
      </w:r>
    </w:p>
    <w:p>
      <w:pPr>
        <w:spacing w:after="0" w:line="84" w:lineRule="exact"/>
        <w:rPr>
          <w:rFonts w:ascii="Arial" w:cs="Arial" w:eastAsia="Arial" w:hAnsi="Arial"/>
          <w:sz w:val="15"/>
          <w:szCs w:val="15"/>
          <w:color w:val="auto"/>
        </w:rPr>
      </w:pPr>
    </w:p>
    <w:p>
      <w:pPr>
        <w:ind w:left="680" w:hanging="462"/>
        <w:spacing w:after="0"/>
        <w:tabs>
          <w:tab w:leader="none" w:pos="6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This Agreement shall be construed under the laws of the State of New York.</w:t>
      </w:r>
    </w:p>
    <w:p>
      <w:pPr>
        <w:sectPr>
          <w:pgSz w:w="11900" w:h="16838" w:orient="portrait"/>
          <w:cols w:equalWidth="0" w:num="1">
            <w:col w:w="11420"/>
          </w:cols>
          <w:pgMar w:left="240" w:top="131" w:right="239" w:bottom="0" w:gutter="0" w:footer="0" w:header="0"/>
        </w:sectPr>
      </w:pPr>
    </w:p>
    <w:bookmarkStart w:id="45" w:name="page46"/>
    <w:bookmarkEnd w:id="45"/>
    <w:p>
      <w:pPr>
        <w:ind w:right="60" w:firstLine="218"/>
        <w:spacing w:after="0" w:line="269" w:lineRule="auto"/>
        <w:tabs>
          <w:tab w:leader="none" w:pos="6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Agreement supersedes all prior negotiations and understandings of any kind with respect to the subject matter hereof and contains all of the terms and provision of agreement between the parties hereto with respect to the subject matter hereof. Any representation, promise or condition, whether written or oral, not specifically incorporated herein, shall be of no binding effect upon the parties.</w:t>
      </w:r>
    </w:p>
    <w:p>
      <w:pPr>
        <w:spacing w:after="0" w:line="141" w:lineRule="exact"/>
        <w:rPr>
          <w:rFonts w:ascii="Arial" w:cs="Arial" w:eastAsia="Arial" w:hAnsi="Arial"/>
          <w:sz w:val="17"/>
          <w:szCs w:val="17"/>
          <w:color w:val="auto"/>
        </w:rPr>
      </w:pPr>
    </w:p>
    <w:p>
      <w:pPr>
        <w:ind w:right="260" w:firstLine="218"/>
        <w:spacing w:after="0" w:line="282" w:lineRule="auto"/>
        <w:tabs>
          <w:tab w:leader="none" w:pos="638"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If any portion of this Agreement is held invalid or unenforceable by a court of competent jurisdiction, that portion only shall be deemed deleted as though it had never been included herein but the remainder of this Agreement shall remain in full force and effect.</w:t>
      </w:r>
    </w:p>
    <w:p>
      <w:pPr>
        <w:spacing w:after="0" w:line="142" w:lineRule="exact"/>
        <w:rPr>
          <w:rFonts w:ascii="Arial" w:cs="Arial" w:eastAsia="Arial" w:hAnsi="Arial"/>
          <w:sz w:val="17"/>
          <w:szCs w:val="17"/>
          <w:color w:val="auto"/>
        </w:rPr>
      </w:pPr>
    </w:p>
    <w:p>
      <w:pPr>
        <w:ind w:right="40" w:firstLine="643"/>
        <w:spacing w:after="0" w:line="265" w:lineRule="auto"/>
        <w:tabs>
          <w:tab w:leader="none" w:pos="1092"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Executive acknowledges and agrees that Employer's remedies at law for a breach or threatened breach of any of the provisions of Section 9 would be inadequate and, in recognition of this fact, Executive agrees that, in the event of such a breach or threatened breach, in addition to any remedies at law, Employer, without posting any bond, shall be entitled to obtain equitable relief in the form of specific performance, temporary restraining order, temporary or permanent injunction or any other equitable remedy which may then be available.</w:t>
      </w:r>
    </w:p>
    <w:p>
      <w:pPr>
        <w:spacing w:after="0" w:line="144" w:lineRule="exact"/>
        <w:rPr>
          <w:rFonts w:ascii="Arial" w:cs="Arial" w:eastAsia="Arial" w:hAnsi="Arial"/>
          <w:sz w:val="17"/>
          <w:szCs w:val="17"/>
          <w:color w:val="auto"/>
        </w:rPr>
      </w:pPr>
    </w:p>
    <w:p>
      <w:pPr>
        <w:ind w:left="1080" w:hanging="437"/>
        <w:spacing w:after="0"/>
        <w:tabs>
          <w:tab w:leader="none" w:pos="10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This Agreement shall not be assignable by Executive.</w:t>
      </w:r>
    </w:p>
    <w:p>
      <w:pPr>
        <w:spacing w:after="0" w:line="184" w:lineRule="exact"/>
        <w:rPr>
          <w:rFonts w:ascii="Arial" w:cs="Arial" w:eastAsia="Arial" w:hAnsi="Arial"/>
          <w:sz w:val="17"/>
          <w:szCs w:val="17"/>
          <w:color w:val="auto"/>
        </w:rPr>
      </w:pPr>
    </w:p>
    <w:p>
      <w:pPr>
        <w:ind w:left="680" w:hanging="462"/>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modification, termination or waiver of any provision of this Agreement shall be valid unless it is in writing and signed by both parties hereto.</w:t>
      </w:r>
    </w:p>
    <w:p>
      <w:pPr>
        <w:spacing w:after="0" w:line="208" w:lineRule="exact"/>
        <w:rPr>
          <w:rFonts w:ascii="Arial" w:cs="Arial" w:eastAsia="Arial" w:hAnsi="Arial"/>
          <w:sz w:val="16"/>
          <w:szCs w:val="16"/>
          <w:color w:val="auto"/>
        </w:rPr>
      </w:pPr>
    </w:p>
    <w:p>
      <w:pPr>
        <w:ind w:firstLine="218"/>
        <w:spacing w:after="0" w:line="282" w:lineRule="auto"/>
        <w:tabs>
          <w:tab w:leader="none" w:pos="681" w:val="left"/>
        </w:tabs>
        <w:numPr>
          <w:ilvl w:val="0"/>
          <w:numId w:val="26"/>
        </w:numPr>
        <w:rPr>
          <w:rFonts w:ascii="Arial" w:cs="Arial" w:eastAsia="Arial" w:hAnsi="Arial"/>
          <w:sz w:val="17"/>
          <w:szCs w:val="17"/>
          <w:color w:val="auto"/>
        </w:rPr>
      </w:pPr>
      <w:r>
        <w:rPr>
          <w:rFonts w:ascii="Arial" w:cs="Arial" w:eastAsia="Arial" w:hAnsi="Arial"/>
          <w:sz w:val="17"/>
          <w:szCs w:val="17"/>
          <w:color w:val="auto"/>
        </w:rPr>
        <w:t>Employer represents that it has all requisite power and authority to execute and deliver this Agreement and to perform its obligations under this Agreement, and that this Agreement is enforceable against it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MINERALS TECHNOLOGIES INC.</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Name: Paul R. Saueracker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Title: President and Chief Executive Officer</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Agreed to by:</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Executive</w:t>
      </w:r>
    </w:p>
    <w:p>
      <w:pPr>
        <w:sectPr>
          <w:pgSz w:w="11900" w:h="16838" w:orient="portrait"/>
          <w:cols w:equalWidth="0" w:num="1">
            <w:col w:w="11300"/>
          </w:cols>
          <w:pgMar w:left="240" w:top="131" w:right="359" w:bottom="1440" w:gutter="0" w:footer="0" w:header="0"/>
        </w:sectPr>
      </w:pPr>
    </w:p>
    <w:bookmarkStart w:id="46" w:name="page47"/>
    <w:bookmarkEnd w:id="46"/>
    <w:p>
      <w:pPr>
        <w:ind w:left="9680"/>
        <w:spacing w:after="0"/>
        <w:rPr>
          <w:sz w:val="20"/>
          <w:szCs w:val="20"/>
          <w:color w:val="auto"/>
        </w:rPr>
      </w:pPr>
      <w:r>
        <w:rPr>
          <w:rFonts w:ascii="Arial" w:cs="Arial" w:eastAsia="Arial" w:hAnsi="Arial"/>
          <w:sz w:val="17"/>
          <w:szCs w:val="17"/>
          <w:b w:val="1"/>
          <w:bCs w:val="1"/>
          <w:color w:val="auto"/>
        </w:rPr>
        <w:t>EXHIBIT 10.6</w:t>
      </w:r>
    </w:p>
    <w:p>
      <w:pPr>
        <w:spacing w:after="0" w:line="188" w:lineRule="exact"/>
        <w:rPr>
          <w:sz w:val="20"/>
          <w:szCs w:val="20"/>
          <w:color w:val="auto"/>
        </w:rPr>
      </w:pPr>
    </w:p>
    <w:p>
      <w:pPr>
        <w:ind w:right="40" w:firstLine="213"/>
        <w:spacing w:after="0" w:line="282" w:lineRule="auto"/>
        <w:rPr>
          <w:sz w:val="20"/>
          <w:szCs w:val="20"/>
          <w:color w:val="auto"/>
        </w:rPr>
      </w:pPr>
      <w:r>
        <w:rPr>
          <w:rFonts w:ascii="Arial" w:cs="Arial" w:eastAsia="Arial" w:hAnsi="Arial"/>
          <w:sz w:val="17"/>
          <w:szCs w:val="17"/>
          <w:color w:val="auto"/>
        </w:rPr>
        <w:t>Severance Agreements have been executed by the Company and the indicated employees, each substantially identical in all material respects to the following Form of Severance Agreement except as noted below.</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700" w:type="dxa"/>
            <w:vAlign w:val="bottom"/>
          </w:tcPr>
          <w:p>
            <w:pPr>
              <w:ind w:left="840"/>
              <w:spacing w:after="0"/>
              <w:rPr>
                <w:sz w:val="20"/>
                <w:szCs w:val="20"/>
                <w:color w:val="auto"/>
              </w:rPr>
            </w:pPr>
            <w:r>
              <w:rPr>
                <w:rFonts w:ascii="Arial" w:cs="Arial" w:eastAsia="Arial" w:hAnsi="Arial"/>
                <w:sz w:val="17"/>
                <w:szCs w:val="17"/>
                <w:b w:val="1"/>
                <w:bCs w:val="1"/>
                <w:color w:val="auto"/>
              </w:rPr>
              <w:t>EMPLOYEE</w:t>
            </w:r>
          </w:p>
        </w:tc>
        <w:tc>
          <w:tcPr>
            <w:tcW w:w="60" w:type="dxa"/>
            <w:vAlign w:val="bottom"/>
          </w:tcPr>
          <w:p>
            <w:pPr>
              <w:spacing w:after="0"/>
              <w:rPr>
                <w:sz w:val="19"/>
                <w:szCs w:val="19"/>
                <w:color w:val="auto"/>
              </w:rPr>
            </w:pPr>
          </w:p>
        </w:tc>
        <w:tc>
          <w:tcPr>
            <w:tcW w:w="2840" w:type="dxa"/>
            <w:vAlign w:val="bottom"/>
          </w:tcPr>
          <w:p>
            <w:pPr>
              <w:ind w:left="1000"/>
              <w:spacing w:after="0"/>
              <w:rPr>
                <w:sz w:val="20"/>
                <w:szCs w:val="20"/>
                <w:color w:val="auto"/>
              </w:rPr>
            </w:pPr>
            <w:r>
              <w:rPr>
                <w:rFonts w:ascii="Arial" w:cs="Arial" w:eastAsia="Arial" w:hAnsi="Arial"/>
                <w:sz w:val="17"/>
                <w:szCs w:val="17"/>
                <w:b w:val="1"/>
                <w:bCs w:val="1"/>
                <w:color w:val="auto"/>
              </w:rPr>
              <w:t>POSITION</w:t>
            </w:r>
          </w:p>
        </w:tc>
        <w:tc>
          <w:tcPr>
            <w:tcW w:w="6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Arial" w:cs="Arial" w:eastAsia="Arial" w:hAnsi="Arial"/>
                <w:sz w:val="17"/>
                <w:szCs w:val="17"/>
                <w:b w:val="1"/>
                <w:bCs w:val="1"/>
                <w:color w:val="auto"/>
              </w:rPr>
              <w:t>DATE OF AGREEMENT</w:t>
            </w:r>
          </w:p>
        </w:tc>
        <w:tc>
          <w:tcPr>
            <w:tcW w:w="4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Borders>
              <w:bottom w:val="single" w:sz="8" w:color="9A9A9A"/>
            </w:tcBorders>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Borders>
              <w:bottom w:val="single" w:sz="8" w:color="9A9A9A"/>
            </w:tcBorders>
          </w:tcPr>
          <w:p>
            <w:pPr>
              <w:spacing w:after="0"/>
              <w:rPr>
                <w:sz w:val="18"/>
                <w:szCs w:val="18"/>
                <w:color w:val="auto"/>
              </w:rPr>
            </w:pPr>
          </w:p>
        </w:tc>
        <w:tc>
          <w:tcPr>
            <w:tcW w:w="40" w:type="dxa"/>
            <w:vAlign w:val="bottom"/>
          </w:tcPr>
          <w:p>
            <w:pPr>
              <w:spacing w:after="0"/>
              <w:rPr>
                <w:sz w:val="18"/>
                <w:szCs w:val="18"/>
                <w:color w:val="auto"/>
              </w:rPr>
            </w:pPr>
          </w:p>
        </w:tc>
      </w:tr>
      <w:tr>
        <w:trPr>
          <w:trHeight w:val="131"/>
        </w:trPr>
        <w:tc>
          <w:tcPr>
            <w:tcW w:w="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27"/>
        </w:trPr>
        <w:tc>
          <w:tcPr>
            <w:tcW w:w="40" w:type="dxa"/>
            <w:vAlign w:val="bottom"/>
            <w:shd w:val="clear" w:color="auto" w:fill="C0C0C0"/>
          </w:tcPr>
          <w:p>
            <w:pPr>
              <w:spacing w:after="0"/>
              <w:rPr>
                <w:sz w:val="19"/>
                <w:szCs w:val="19"/>
                <w:color w:val="auto"/>
              </w:rPr>
            </w:pPr>
          </w:p>
        </w:tc>
        <w:tc>
          <w:tcPr>
            <w:tcW w:w="2700" w:type="dxa"/>
            <w:vAlign w:val="bottom"/>
            <w:shd w:val="clear" w:color="auto" w:fill="C0C0C0"/>
          </w:tcPr>
          <w:p>
            <w:pPr>
              <w:ind w:left="280"/>
              <w:spacing w:after="0"/>
              <w:rPr>
                <w:sz w:val="20"/>
                <w:szCs w:val="20"/>
                <w:color w:val="auto"/>
              </w:rPr>
            </w:pPr>
            <w:r>
              <w:rPr>
                <w:rFonts w:ascii="Arial" w:cs="Arial" w:eastAsia="Arial" w:hAnsi="Arial"/>
                <w:sz w:val="17"/>
                <w:szCs w:val="17"/>
                <w:color w:val="auto"/>
              </w:rPr>
              <w:t>Neil M. Bardach</w:t>
            </w:r>
          </w:p>
        </w:tc>
        <w:tc>
          <w:tcPr>
            <w:tcW w:w="60" w:type="dxa"/>
            <w:vAlign w:val="bottom"/>
            <w:shd w:val="clear" w:color="auto" w:fill="C0C0C0"/>
          </w:tcPr>
          <w:p>
            <w:pPr>
              <w:spacing w:after="0"/>
              <w:rPr>
                <w:sz w:val="19"/>
                <w:szCs w:val="19"/>
                <w:color w:val="auto"/>
              </w:rPr>
            </w:pPr>
          </w:p>
        </w:tc>
        <w:tc>
          <w:tcPr>
            <w:tcW w:w="2840" w:type="dxa"/>
            <w:vAlign w:val="bottom"/>
            <w:shd w:val="clear" w:color="auto" w:fill="C0C0C0"/>
          </w:tcPr>
          <w:p>
            <w:pPr>
              <w:ind w:left="240"/>
              <w:spacing w:after="0"/>
              <w:rPr>
                <w:sz w:val="20"/>
                <w:szCs w:val="20"/>
                <w:color w:val="auto"/>
              </w:rPr>
            </w:pPr>
            <w:r>
              <w:rPr>
                <w:rFonts w:ascii="Arial" w:cs="Arial" w:eastAsia="Arial" w:hAnsi="Arial"/>
                <w:sz w:val="17"/>
                <w:szCs w:val="17"/>
                <w:color w:val="auto"/>
              </w:rPr>
              <w:t>Vice President - Finance</w:t>
            </w:r>
          </w:p>
        </w:tc>
        <w:tc>
          <w:tcPr>
            <w:tcW w:w="60" w:type="dxa"/>
            <w:vAlign w:val="bottom"/>
            <w:shd w:val="clear" w:color="auto" w:fill="C0C0C0"/>
          </w:tcPr>
          <w:p>
            <w:pPr>
              <w:spacing w:after="0"/>
              <w:rPr>
                <w:sz w:val="19"/>
                <w:szCs w:val="19"/>
                <w:color w:val="auto"/>
              </w:rPr>
            </w:pPr>
          </w:p>
        </w:tc>
        <w:tc>
          <w:tcPr>
            <w:tcW w:w="26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August 1, 1998</w:t>
            </w:r>
          </w:p>
        </w:tc>
        <w:tc>
          <w:tcPr>
            <w:tcW w:w="40" w:type="dxa"/>
            <w:vAlign w:val="bottom"/>
            <w:shd w:val="clear" w:color="auto" w:fill="C0C0C0"/>
          </w:tcPr>
          <w:p>
            <w:pPr>
              <w:spacing w:after="0"/>
              <w:rPr>
                <w:sz w:val="19"/>
                <w:szCs w:val="19"/>
                <w:color w:val="auto"/>
              </w:rPr>
            </w:pPr>
          </w:p>
        </w:tc>
      </w:tr>
      <w:tr>
        <w:trPr>
          <w:trHeight w:val="216"/>
        </w:trPr>
        <w:tc>
          <w:tcPr>
            <w:tcW w:w="40" w:type="dxa"/>
            <w:vAlign w:val="bottom"/>
            <w:shd w:val="clear" w:color="auto" w:fill="C0C0C0"/>
          </w:tcPr>
          <w:p>
            <w:pPr>
              <w:spacing w:after="0"/>
              <w:rPr>
                <w:sz w:val="18"/>
                <w:szCs w:val="18"/>
                <w:color w:val="auto"/>
              </w:rPr>
            </w:pPr>
          </w:p>
        </w:tc>
        <w:tc>
          <w:tcPr>
            <w:tcW w:w="270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2840" w:type="dxa"/>
            <w:vAlign w:val="bottom"/>
            <w:shd w:val="clear" w:color="auto" w:fill="C0C0C0"/>
          </w:tcPr>
          <w:p>
            <w:pPr>
              <w:ind w:left="340"/>
              <w:spacing w:after="0"/>
              <w:rPr>
                <w:sz w:val="20"/>
                <w:szCs w:val="20"/>
                <w:color w:val="auto"/>
              </w:rPr>
            </w:pPr>
            <w:r>
              <w:rPr>
                <w:rFonts w:ascii="Arial" w:cs="Arial" w:eastAsia="Arial" w:hAnsi="Arial"/>
                <w:sz w:val="17"/>
                <w:szCs w:val="17"/>
                <w:color w:val="auto"/>
              </w:rPr>
              <w:t>Chief Financial Officer</w:t>
            </w:r>
          </w:p>
        </w:tc>
        <w:tc>
          <w:tcPr>
            <w:tcW w:w="60" w:type="dxa"/>
            <w:vAlign w:val="bottom"/>
            <w:shd w:val="clear" w:color="auto" w:fill="C0C0C0"/>
          </w:tcPr>
          <w:p>
            <w:pPr>
              <w:spacing w:after="0"/>
              <w:rPr>
                <w:sz w:val="18"/>
                <w:szCs w:val="18"/>
                <w:color w:val="auto"/>
              </w:rPr>
            </w:pPr>
          </w:p>
        </w:tc>
        <w:tc>
          <w:tcPr>
            <w:tcW w:w="260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r>
      <w:tr>
        <w:trPr>
          <w:trHeight w:val="120"/>
        </w:trPr>
        <w:tc>
          <w:tcPr>
            <w:tcW w:w="40" w:type="dxa"/>
            <w:vAlign w:val="bottom"/>
            <w:shd w:val="clear" w:color="auto" w:fill="C0C0C0"/>
          </w:tcPr>
          <w:p>
            <w:pPr>
              <w:spacing w:after="0"/>
              <w:rPr>
                <w:sz w:val="10"/>
                <w:szCs w:val="10"/>
                <w:color w:val="auto"/>
              </w:rPr>
            </w:pPr>
          </w:p>
        </w:tc>
        <w:tc>
          <w:tcPr>
            <w:tcW w:w="2700" w:type="dxa"/>
            <w:vAlign w:val="bottom"/>
            <w:shd w:val="clear" w:color="auto" w:fill="C0C0C0"/>
          </w:tcPr>
          <w:p>
            <w:pPr>
              <w:spacing w:after="0"/>
              <w:rPr>
                <w:sz w:val="10"/>
                <w:szCs w:val="10"/>
                <w:color w:val="auto"/>
              </w:rPr>
            </w:pPr>
          </w:p>
        </w:tc>
        <w:tc>
          <w:tcPr>
            <w:tcW w:w="60" w:type="dxa"/>
            <w:vAlign w:val="bottom"/>
            <w:shd w:val="clear" w:color="auto" w:fill="C0C0C0"/>
          </w:tcPr>
          <w:p>
            <w:pPr>
              <w:spacing w:after="0"/>
              <w:rPr>
                <w:sz w:val="10"/>
                <w:szCs w:val="10"/>
                <w:color w:val="auto"/>
              </w:rPr>
            </w:pPr>
          </w:p>
        </w:tc>
        <w:tc>
          <w:tcPr>
            <w:tcW w:w="2840" w:type="dxa"/>
            <w:vAlign w:val="bottom"/>
            <w:shd w:val="clear" w:color="auto" w:fill="C0C0C0"/>
          </w:tcPr>
          <w:p>
            <w:pPr>
              <w:spacing w:after="0"/>
              <w:rPr>
                <w:sz w:val="10"/>
                <w:szCs w:val="10"/>
                <w:color w:val="auto"/>
              </w:rPr>
            </w:pPr>
          </w:p>
        </w:tc>
        <w:tc>
          <w:tcPr>
            <w:tcW w:w="60" w:type="dxa"/>
            <w:vAlign w:val="bottom"/>
            <w:shd w:val="clear" w:color="auto" w:fill="C0C0C0"/>
          </w:tcPr>
          <w:p>
            <w:pPr>
              <w:spacing w:after="0"/>
              <w:rPr>
                <w:sz w:val="10"/>
                <w:szCs w:val="10"/>
                <w:color w:val="auto"/>
              </w:rPr>
            </w:pPr>
          </w:p>
        </w:tc>
        <w:tc>
          <w:tcPr>
            <w:tcW w:w="2600" w:type="dxa"/>
            <w:vAlign w:val="bottom"/>
            <w:shd w:val="clear" w:color="auto" w:fill="C0C0C0"/>
          </w:tcPr>
          <w:p>
            <w:pPr>
              <w:spacing w:after="0"/>
              <w:rPr>
                <w:sz w:val="10"/>
                <w:szCs w:val="10"/>
                <w:color w:val="auto"/>
              </w:rPr>
            </w:pPr>
          </w:p>
        </w:tc>
        <w:tc>
          <w:tcPr>
            <w:tcW w:w="40" w:type="dxa"/>
            <w:vAlign w:val="bottom"/>
            <w:shd w:val="clear" w:color="auto" w:fill="C0C0C0"/>
          </w:tcPr>
          <w:p>
            <w:pPr>
              <w:spacing w:after="0"/>
              <w:rPr>
                <w:sz w:val="10"/>
                <w:szCs w:val="10"/>
                <w:color w:val="auto"/>
              </w:rPr>
            </w:pPr>
          </w:p>
        </w:tc>
      </w:tr>
      <w:tr>
        <w:trPr>
          <w:trHeight w:val="233"/>
        </w:trPr>
        <w:tc>
          <w:tcPr>
            <w:tcW w:w="40" w:type="dxa"/>
            <w:vAlign w:val="bottom"/>
          </w:tcPr>
          <w:p>
            <w:pPr>
              <w:spacing w:after="0"/>
              <w:rPr>
                <w:sz w:val="20"/>
                <w:szCs w:val="20"/>
                <w:color w:val="auto"/>
              </w:rPr>
            </w:pPr>
          </w:p>
        </w:tc>
        <w:tc>
          <w:tcPr>
            <w:tcW w:w="2700" w:type="dxa"/>
            <w:vAlign w:val="bottom"/>
          </w:tcPr>
          <w:p>
            <w:pPr>
              <w:ind w:left="280"/>
              <w:spacing w:after="0"/>
              <w:rPr>
                <w:sz w:val="20"/>
                <w:szCs w:val="20"/>
                <w:color w:val="auto"/>
              </w:rPr>
            </w:pPr>
            <w:r>
              <w:rPr>
                <w:rFonts w:ascii="Arial" w:cs="Arial" w:eastAsia="Arial" w:hAnsi="Arial"/>
                <w:sz w:val="17"/>
                <w:szCs w:val="17"/>
                <w:color w:val="auto"/>
              </w:rPr>
              <w:t>Allen Cheng</w:t>
            </w:r>
          </w:p>
        </w:tc>
        <w:tc>
          <w:tcPr>
            <w:tcW w:w="60" w:type="dxa"/>
            <w:vAlign w:val="bottom"/>
          </w:tcPr>
          <w:p>
            <w:pPr>
              <w:spacing w:after="0"/>
              <w:rPr>
                <w:sz w:val="20"/>
                <w:szCs w:val="20"/>
                <w:color w:val="auto"/>
              </w:rPr>
            </w:pPr>
          </w:p>
        </w:tc>
        <w:tc>
          <w:tcPr>
            <w:tcW w:w="2840" w:type="dxa"/>
            <w:vAlign w:val="bottom"/>
          </w:tcPr>
          <w:p>
            <w:pPr>
              <w:ind w:left="240"/>
              <w:spacing w:after="0"/>
              <w:rPr>
                <w:sz w:val="20"/>
                <w:szCs w:val="20"/>
                <w:color w:val="auto"/>
              </w:rPr>
            </w:pPr>
            <w:r>
              <w:rPr>
                <w:rFonts w:ascii="Arial" w:cs="Arial" w:eastAsia="Arial" w:hAnsi="Arial"/>
                <w:sz w:val="17"/>
                <w:szCs w:val="17"/>
                <w:color w:val="auto"/>
              </w:rPr>
              <w:t>Vice President</w:t>
            </w:r>
          </w:p>
        </w:tc>
        <w:tc>
          <w:tcPr>
            <w:tcW w:w="6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7"/>
                <w:szCs w:val="17"/>
                <w:color w:val="auto"/>
                <w:w w:val="91"/>
              </w:rPr>
              <w:t>March 1, 2001</w:t>
            </w:r>
          </w:p>
        </w:tc>
        <w:tc>
          <w:tcPr>
            <w:tcW w:w="40" w:type="dxa"/>
            <w:vAlign w:val="bottom"/>
          </w:tcPr>
          <w:p>
            <w:pPr>
              <w:spacing w:after="0"/>
              <w:rPr>
                <w:sz w:val="20"/>
                <w:szCs w:val="20"/>
                <w:color w:val="auto"/>
              </w:rPr>
            </w:pPr>
          </w:p>
        </w:tc>
      </w:tr>
      <w:tr>
        <w:trPr>
          <w:trHeight w:val="330"/>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40" w:type="dxa"/>
            <w:vAlign w:val="bottom"/>
            <w:shd w:val="clear" w:color="auto" w:fill="C0C0C0"/>
          </w:tcPr>
          <w:p>
            <w:pPr>
              <w:spacing w:after="0"/>
              <w:rPr>
                <w:sz w:val="19"/>
                <w:szCs w:val="19"/>
                <w:color w:val="auto"/>
              </w:rPr>
            </w:pPr>
          </w:p>
        </w:tc>
        <w:tc>
          <w:tcPr>
            <w:tcW w:w="2700" w:type="dxa"/>
            <w:vAlign w:val="bottom"/>
            <w:shd w:val="clear" w:color="auto" w:fill="C0C0C0"/>
          </w:tcPr>
          <w:p>
            <w:pPr>
              <w:ind w:left="280"/>
              <w:spacing w:after="0"/>
              <w:rPr>
                <w:sz w:val="20"/>
                <w:szCs w:val="20"/>
                <w:color w:val="auto"/>
              </w:rPr>
            </w:pPr>
            <w:r>
              <w:rPr>
                <w:rFonts w:ascii="Arial" w:cs="Arial" w:eastAsia="Arial" w:hAnsi="Arial"/>
                <w:sz w:val="17"/>
                <w:szCs w:val="17"/>
                <w:color w:val="auto"/>
              </w:rPr>
              <w:t>Howard R. Crabtree</w:t>
            </w:r>
          </w:p>
        </w:tc>
        <w:tc>
          <w:tcPr>
            <w:tcW w:w="60" w:type="dxa"/>
            <w:vAlign w:val="bottom"/>
            <w:shd w:val="clear" w:color="auto" w:fill="C0C0C0"/>
          </w:tcPr>
          <w:p>
            <w:pPr>
              <w:spacing w:after="0"/>
              <w:rPr>
                <w:sz w:val="19"/>
                <w:szCs w:val="19"/>
                <w:color w:val="auto"/>
              </w:rPr>
            </w:pPr>
          </w:p>
        </w:tc>
        <w:tc>
          <w:tcPr>
            <w:tcW w:w="2840" w:type="dxa"/>
            <w:vAlign w:val="bottom"/>
            <w:shd w:val="clear" w:color="auto" w:fill="C0C0C0"/>
          </w:tcPr>
          <w:p>
            <w:pPr>
              <w:ind w:left="240"/>
              <w:spacing w:after="0"/>
              <w:rPr>
                <w:sz w:val="20"/>
                <w:szCs w:val="20"/>
                <w:color w:val="auto"/>
              </w:rPr>
            </w:pPr>
            <w:r>
              <w:rPr>
                <w:rFonts w:ascii="Arial" w:cs="Arial" w:eastAsia="Arial" w:hAnsi="Arial"/>
                <w:sz w:val="17"/>
                <w:szCs w:val="17"/>
                <w:color w:val="auto"/>
              </w:rPr>
              <w:t>Vice President, Organization</w:t>
            </w:r>
          </w:p>
        </w:tc>
        <w:tc>
          <w:tcPr>
            <w:tcW w:w="60" w:type="dxa"/>
            <w:vAlign w:val="bottom"/>
            <w:shd w:val="clear" w:color="auto" w:fill="C0C0C0"/>
          </w:tcPr>
          <w:p>
            <w:pPr>
              <w:spacing w:after="0"/>
              <w:rPr>
                <w:sz w:val="19"/>
                <w:szCs w:val="19"/>
                <w:color w:val="auto"/>
              </w:rPr>
            </w:pPr>
          </w:p>
        </w:tc>
        <w:tc>
          <w:tcPr>
            <w:tcW w:w="26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January 1, 1997</w:t>
            </w:r>
          </w:p>
        </w:tc>
        <w:tc>
          <w:tcPr>
            <w:tcW w:w="40" w:type="dxa"/>
            <w:vAlign w:val="bottom"/>
            <w:shd w:val="clear" w:color="auto" w:fill="C0C0C0"/>
          </w:tcPr>
          <w:p>
            <w:pPr>
              <w:spacing w:after="0"/>
              <w:rPr>
                <w:sz w:val="19"/>
                <w:szCs w:val="19"/>
                <w:color w:val="auto"/>
              </w:rPr>
            </w:pPr>
          </w:p>
        </w:tc>
      </w:tr>
      <w:tr>
        <w:trPr>
          <w:trHeight w:val="216"/>
        </w:trPr>
        <w:tc>
          <w:tcPr>
            <w:tcW w:w="40" w:type="dxa"/>
            <w:vAlign w:val="bottom"/>
            <w:shd w:val="clear" w:color="auto" w:fill="C0C0C0"/>
          </w:tcPr>
          <w:p>
            <w:pPr>
              <w:spacing w:after="0"/>
              <w:rPr>
                <w:sz w:val="18"/>
                <w:szCs w:val="18"/>
                <w:color w:val="auto"/>
              </w:rPr>
            </w:pPr>
          </w:p>
        </w:tc>
        <w:tc>
          <w:tcPr>
            <w:tcW w:w="270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2840" w:type="dxa"/>
            <w:vAlign w:val="bottom"/>
            <w:shd w:val="clear" w:color="auto" w:fill="C0C0C0"/>
          </w:tcPr>
          <w:p>
            <w:pPr>
              <w:ind w:left="340"/>
              <w:spacing w:after="0"/>
              <w:rPr>
                <w:sz w:val="20"/>
                <w:szCs w:val="20"/>
                <w:color w:val="auto"/>
              </w:rPr>
            </w:pPr>
            <w:r>
              <w:rPr>
                <w:rFonts w:ascii="Arial" w:cs="Arial" w:eastAsia="Arial" w:hAnsi="Arial"/>
                <w:sz w:val="17"/>
                <w:szCs w:val="17"/>
                <w:color w:val="auto"/>
              </w:rPr>
              <w:t>and Human Resources</w:t>
            </w:r>
          </w:p>
        </w:tc>
        <w:tc>
          <w:tcPr>
            <w:tcW w:w="60" w:type="dxa"/>
            <w:vAlign w:val="bottom"/>
            <w:shd w:val="clear" w:color="auto" w:fill="C0C0C0"/>
          </w:tcPr>
          <w:p>
            <w:pPr>
              <w:spacing w:after="0"/>
              <w:rPr>
                <w:sz w:val="18"/>
                <w:szCs w:val="18"/>
                <w:color w:val="auto"/>
              </w:rPr>
            </w:pPr>
          </w:p>
        </w:tc>
        <w:tc>
          <w:tcPr>
            <w:tcW w:w="260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r>
      <w:tr>
        <w:trPr>
          <w:trHeight w:val="133"/>
        </w:trPr>
        <w:tc>
          <w:tcPr>
            <w:tcW w:w="40" w:type="dxa"/>
            <w:vAlign w:val="bottom"/>
            <w:shd w:val="clear" w:color="auto" w:fill="C0C0C0"/>
          </w:tcPr>
          <w:p>
            <w:pPr>
              <w:spacing w:after="0"/>
              <w:rPr>
                <w:sz w:val="11"/>
                <w:szCs w:val="11"/>
                <w:color w:val="auto"/>
              </w:rPr>
            </w:pPr>
          </w:p>
        </w:tc>
        <w:tc>
          <w:tcPr>
            <w:tcW w:w="2700" w:type="dxa"/>
            <w:vAlign w:val="bottom"/>
            <w:shd w:val="clear" w:color="auto" w:fill="C0C0C0"/>
          </w:tcPr>
          <w:p>
            <w:pPr>
              <w:spacing w:after="0"/>
              <w:rPr>
                <w:sz w:val="11"/>
                <w:szCs w:val="11"/>
                <w:color w:val="auto"/>
              </w:rPr>
            </w:pPr>
          </w:p>
        </w:tc>
        <w:tc>
          <w:tcPr>
            <w:tcW w:w="60" w:type="dxa"/>
            <w:vAlign w:val="bottom"/>
            <w:shd w:val="clear" w:color="auto" w:fill="C0C0C0"/>
          </w:tcPr>
          <w:p>
            <w:pPr>
              <w:spacing w:after="0"/>
              <w:rPr>
                <w:sz w:val="11"/>
                <w:szCs w:val="11"/>
                <w:color w:val="auto"/>
              </w:rPr>
            </w:pPr>
          </w:p>
        </w:tc>
        <w:tc>
          <w:tcPr>
            <w:tcW w:w="2840" w:type="dxa"/>
            <w:vAlign w:val="bottom"/>
            <w:shd w:val="clear" w:color="auto" w:fill="C0C0C0"/>
          </w:tcPr>
          <w:p>
            <w:pPr>
              <w:spacing w:after="0"/>
              <w:rPr>
                <w:sz w:val="11"/>
                <w:szCs w:val="11"/>
                <w:color w:val="auto"/>
              </w:rPr>
            </w:pPr>
          </w:p>
        </w:tc>
        <w:tc>
          <w:tcPr>
            <w:tcW w:w="60" w:type="dxa"/>
            <w:vAlign w:val="bottom"/>
            <w:shd w:val="clear" w:color="auto" w:fill="C0C0C0"/>
          </w:tcPr>
          <w:p>
            <w:pPr>
              <w:spacing w:after="0"/>
              <w:rPr>
                <w:sz w:val="11"/>
                <w:szCs w:val="11"/>
                <w:color w:val="auto"/>
              </w:rPr>
            </w:pPr>
          </w:p>
        </w:tc>
        <w:tc>
          <w:tcPr>
            <w:tcW w:w="2600" w:type="dxa"/>
            <w:vAlign w:val="bottom"/>
            <w:shd w:val="clear" w:color="auto" w:fill="C0C0C0"/>
          </w:tcPr>
          <w:p>
            <w:pPr>
              <w:spacing w:after="0"/>
              <w:rPr>
                <w:sz w:val="11"/>
                <w:szCs w:val="11"/>
                <w:color w:val="auto"/>
              </w:rPr>
            </w:pPr>
          </w:p>
        </w:tc>
        <w:tc>
          <w:tcPr>
            <w:tcW w:w="40" w:type="dxa"/>
            <w:vAlign w:val="bottom"/>
            <w:shd w:val="clear" w:color="auto" w:fill="C0C0C0"/>
          </w:tcPr>
          <w:p>
            <w:pPr>
              <w:spacing w:after="0"/>
              <w:rPr>
                <w:sz w:val="11"/>
                <w:szCs w:val="11"/>
                <w:color w:val="auto"/>
              </w:rPr>
            </w:pPr>
          </w:p>
        </w:tc>
      </w:tr>
      <w:tr>
        <w:trPr>
          <w:trHeight w:val="233"/>
        </w:trPr>
        <w:tc>
          <w:tcPr>
            <w:tcW w:w="40" w:type="dxa"/>
            <w:vAlign w:val="bottom"/>
          </w:tcPr>
          <w:p>
            <w:pPr>
              <w:spacing w:after="0"/>
              <w:rPr>
                <w:sz w:val="20"/>
                <w:szCs w:val="20"/>
                <w:color w:val="auto"/>
              </w:rPr>
            </w:pPr>
          </w:p>
        </w:tc>
        <w:tc>
          <w:tcPr>
            <w:tcW w:w="2700" w:type="dxa"/>
            <w:vAlign w:val="bottom"/>
          </w:tcPr>
          <w:p>
            <w:pPr>
              <w:ind w:left="280"/>
              <w:spacing w:after="0"/>
              <w:rPr>
                <w:sz w:val="20"/>
                <w:szCs w:val="20"/>
                <w:color w:val="auto"/>
              </w:rPr>
            </w:pPr>
            <w:r>
              <w:rPr>
                <w:rFonts w:ascii="Arial" w:cs="Arial" w:eastAsia="Arial" w:hAnsi="Arial"/>
                <w:sz w:val="17"/>
                <w:szCs w:val="17"/>
                <w:color w:val="auto"/>
              </w:rPr>
              <w:t>Anton Dulski</w:t>
            </w:r>
          </w:p>
        </w:tc>
        <w:tc>
          <w:tcPr>
            <w:tcW w:w="60" w:type="dxa"/>
            <w:vAlign w:val="bottom"/>
          </w:tcPr>
          <w:p>
            <w:pPr>
              <w:spacing w:after="0"/>
              <w:rPr>
                <w:sz w:val="20"/>
                <w:szCs w:val="20"/>
                <w:color w:val="auto"/>
              </w:rPr>
            </w:pPr>
          </w:p>
        </w:tc>
        <w:tc>
          <w:tcPr>
            <w:tcW w:w="2840" w:type="dxa"/>
            <w:vAlign w:val="bottom"/>
          </w:tcPr>
          <w:p>
            <w:pPr>
              <w:ind w:left="240"/>
              <w:spacing w:after="0"/>
              <w:rPr>
                <w:sz w:val="20"/>
                <w:szCs w:val="20"/>
                <w:color w:val="auto"/>
              </w:rPr>
            </w:pPr>
            <w:r>
              <w:rPr>
                <w:rFonts w:ascii="Arial" w:cs="Arial" w:eastAsia="Arial" w:hAnsi="Arial"/>
                <w:sz w:val="17"/>
                <w:szCs w:val="17"/>
                <w:color w:val="auto"/>
              </w:rPr>
              <w:t>Chief Operating Officer</w:t>
            </w:r>
          </w:p>
        </w:tc>
        <w:tc>
          <w:tcPr>
            <w:tcW w:w="6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7"/>
                <w:szCs w:val="17"/>
                <w:color w:val="auto"/>
                <w:w w:val="88"/>
              </w:rPr>
              <w:t>January 1, 1997</w:t>
            </w:r>
          </w:p>
        </w:tc>
        <w:tc>
          <w:tcPr>
            <w:tcW w:w="40" w:type="dxa"/>
            <w:vAlign w:val="bottom"/>
          </w:tcPr>
          <w:p>
            <w:pPr>
              <w:spacing w:after="0"/>
              <w:rPr>
                <w:sz w:val="20"/>
                <w:szCs w:val="20"/>
                <w:color w:val="auto"/>
              </w:rPr>
            </w:pPr>
          </w:p>
        </w:tc>
      </w:tr>
      <w:tr>
        <w:trPr>
          <w:trHeight w:val="343"/>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3"/>
        </w:trPr>
        <w:tc>
          <w:tcPr>
            <w:tcW w:w="40" w:type="dxa"/>
            <w:vAlign w:val="bottom"/>
            <w:shd w:val="clear" w:color="auto" w:fill="C0C0C0"/>
          </w:tcPr>
          <w:p>
            <w:pPr>
              <w:spacing w:after="0"/>
              <w:rPr>
                <w:sz w:val="20"/>
                <w:szCs w:val="20"/>
                <w:color w:val="auto"/>
              </w:rPr>
            </w:pPr>
          </w:p>
        </w:tc>
        <w:tc>
          <w:tcPr>
            <w:tcW w:w="2700" w:type="dxa"/>
            <w:vAlign w:val="bottom"/>
            <w:shd w:val="clear" w:color="auto" w:fill="C0C0C0"/>
          </w:tcPr>
          <w:p>
            <w:pPr>
              <w:ind w:left="280"/>
              <w:spacing w:after="0"/>
              <w:rPr>
                <w:sz w:val="20"/>
                <w:szCs w:val="20"/>
                <w:color w:val="auto"/>
              </w:rPr>
            </w:pPr>
            <w:r>
              <w:rPr>
                <w:rFonts w:ascii="Arial" w:cs="Arial" w:eastAsia="Arial" w:hAnsi="Arial"/>
                <w:sz w:val="17"/>
                <w:szCs w:val="17"/>
                <w:color w:val="auto"/>
              </w:rPr>
              <w:t>Kenneth Massimine</w:t>
            </w:r>
          </w:p>
        </w:tc>
        <w:tc>
          <w:tcPr>
            <w:tcW w:w="60" w:type="dxa"/>
            <w:vAlign w:val="bottom"/>
            <w:shd w:val="clear" w:color="auto" w:fill="C0C0C0"/>
          </w:tcPr>
          <w:p>
            <w:pPr>
              <w:spacing w:after="0"/>
              <w:rPr>
                <w:sz w:val="20"/>
                <w:szCs w:val="20"/>
                <w:color w:val="auto"/>
              </w:rPr>
            </w:pPr>
          </w:p>
        </w:tc>
        <w:tc>
          <w:tcPr>
            <w:tcW w:w="2840" w:type="dxa"/>
            <w:vAlign w:val="bottom"/>
            <w:shd w:val="clear" w:color="auto" w:fill="C0C0C0"/>
          </w:tcPr>
          <w:p>
            <w:pPr>
              <w:ind w:left="240"/>
              <w:spacing w:after="0"/>
              <w:rPr>
                <w:sz w:val="20"/>
                <w:szCs w:val="20"/>
                <w:color w:val="auto"/>
              </w:rPr>
            </w:pPr>
            <w:r>
              <w:rPr>
                <w:rFonts w:ascii="Arial" w:cs="Arial" w:eastAsia="Arial" w:hAnsi="Arial"/>
                <w:sz w:val="17"/>
                <w:szCs w:val="17"/>
                <w:color w:val="auto"/>
              </w:rPr>
              <w:t>Vice President</w:t>
            </w:r>
          </w:p>
        </w:tc>
        <w:tc>
          <w:tcPr>
            <w:tcW w:w="60" w:type="dxa"/>
            <w:vAlign w:val="bottom"/>
            <w:shd w:val="clear" w:color="auto" w:fill="C0C0C0"/>
          </w:tcPr>
          <w:p>
            <w:pPr>
              <w:spacing w:after="0"/>
              <w:rPr>
                <w:sz w:val="20"/>
                <w:szCs w:val="20"/>
                <w:color w:val="auto"/>
              </w:rPr>
            </w:pPr>
          </w:p>
        </w:tc>
        <w:tc>
          <w:tcPr>
            <w:tcW w:w="26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March 1, 2001</w:t>
            </w:r>
          </w:p>
        </w:tc>
        <w:tc>
          <w:tcPr>
            <w:tcW w:w="40" w:type="dxa"/>
            <w:vAlign w:val="bottom"/>
            <w:shd w:val="clear" w:color="auto" w:fill="C0C0C0"/>
          </w:tcPr>
          <w:p>
            <w:pPr>
              <w:spacing w:after="0"/>
              <w:rPr>
                <w:sz w:val="20"/>
                <w:szCs w:val="20"/>
                <w:color w:val="auto"/>
              </w:rPr>
            </w:pPr>
          </w:p>
        </w:tc>
      </w:tr>
      <w:tr>
        <w:trPr>
          <w:trHeight w:val="343"/>
        </w:trPr>
        <w:tc>
          <w:tcPr>
            <w:tcW w:w="40" w:type="dxa"/>
            <w:vAlign w:val="bottom"/>
            <w:shd w:val="clear" w:color="auto" w:fill="C0C0C0"/>
          </w:tcPr>
          <w:p>
            <w:pPr>
              <w:spacing w:after="0"/>
              <w:rPr>
                <w:sz w:val="24"/>
                <w:szCs w:val="24"/>
                <w:color w:val="auto"/>
              </w:rPr>
            </w:pPr>
          </w:p>
        </w:tc>
        <w:tc>
          <w:tcPr>
            <w:tcW w:w="2700" w:type="dxa"/>
            <w:vAlign w:val="bottom"/>
            <w:shd w:val="clear" w:color="auto" w:fill="C0C0C0"/>
          </w:tcPr>
          <w:p>
            <w:pPr>
              <w:spacing w:after="0"/>
              <w:rPr>
                <w:sz w:val="24"/>
                <w:szCs w:val="24"/>
                <w:color w:val="auto"/>
              </w:rPr>
            </w:pPr>
          </w:p>
        </w:tc>
        <w:tc>
          <w:tcPr>
            <w:tcW w:w="60" w:type="dxa"/>
            <w:vAlign w:val="bottom"/>
            <w:shd w:val="clear" w:color="auto" w:fill="C0C0C0"/>
          </w:tcPr>
          <w:p>
            <w:pPr>
              <w:spacing w:after="0"/>
              <w:rPr>
                <w:sz w:val="24"/>
                <w:szCs w:val="24"/>
                <w:color w:val="auto"/>
              </w:rPr>
            </w:pPr>
          </w:p>
        </w:tc>
        <w:tc>
          <w:tcPr>
            <w:tcW w:w="2840" w:type="dxa"/>
            <w:vAlign w:val="bottom"/>
            <w:shd w:val="clear" w:color="auto" w:fill="C0C0C0"/>
          </w:tcPr>
          <w:p>
            <w:pPr>
              <w:spacing w:after="0"/>
              <w:rPr>
                <w:sz w:val="24"/>
                <w:szCs w:val="24"/>
                <w:color w:val="auto"/>
              </w:rPr>
            </w:pPr>
          </w:p>
        </w:tc>
        <w:tc>
          <w:tcPr>
            <w:tcW w:w="60" w:type="dxa"/>
            <w:vAlign w:val="bottom"/>
            <w:shd w:val="clear" w:color="auto" w:fill="C0C0C0"/>
          </w:tcPr>
          <w:p>
            <w:pPr>
              <w:spacing w:after="0"/>
              <w:rPr>
                <w:sz w:val="24"/>
                <w:szCs w:val="24"/>
                <w:color w:val="auto"/>
              </w:rPr>
            </w:pPr>
          </w:p>
        </w:tc>
        <w:tc>
          <w:tcPr>
            <w:tcW w:w="2600" w:type="dxa"/>
            <w:vAlign w:val="bottom"/>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r>
      <w:tr>
        <w:trPr>
          <w:trHeight w:val="227"/>
        </w:trPr>
        <w:tc>
          <w:tcPr>
            <w:tcW w:w="40" w:type="dxa"/>
            <w:vAlign w:val="bottom"/>
          </w:tcPr>
          <w:p>
            <w:pPr>
              <w:spacing w:after="0"/>
              <w:rPr>
                <w:sz w:val="19"/>
                <w:szCs w:val="19"/>
                <w:color w:val="auto"/>
              </w:rPr>
            </w:pPr>
          </w:p>
        </w:tc>
        <w:tc>
          <w:tcPr>
            <w:tcW w:w="2700" w:type="dxa"/>
            <w:vAlign w:val="bottom"/>
          </w:tcPr>
          <w:p>
            <w:pPr>
              <w:ind w:left="280"/>
              <w:spacing w:after="0"/>
              <w:rPr>
                <w:sz w:val="20"/>
                <w:szCs w:val="20"/>
                <w:color w:val="auto"/>
              </w:rPr>
            </w:pPr>
            <w:r>
              <w:rPr>
                <w:rFonts w:ascii="Arial" w:cs="Arial" w:eastAsia="Arial" w:hAnsi="Arial"/>
                <w:sz w:val="17"/>
                <w:szCs w:val="17"/>
                <w:color w:val="auto"/>
              </w:rPr>
              <w:t>Paul R. Saueracker</w:t>
            </w:r>
          </w:p>
        </w:tc>
        <w:tc>
          <w:tcPr>
            <w:tcW w:w="60" w:type="dxa"/>
            <w:vAlign w:val="bottom"/>
          </w:tcPr>
          <w:p>
            <w:pPr>
              <w:spacing w:after="0"/>
              <w:rPr>
                <w:sz w:val="19"/>
                <w:szCs w:val="19"/>
                <w:color w:val="auto"/>
              </w:rPr>
            </w:pPr>
          </w:p>
        </w:tc>
        <w:tc>
          <w:tcPr>
            <w:tcW w:w="2840" w:type="dxa"/>
            <w:vAlign w:val="bottom"/>
          </w:tcPr>
          <w:p>
            <w:pPr>
              <w:ind w:left="240"/>
              <w:spacing w:after="0"/>
              <w:rPr>
                <w:sz w:val="20"/>
                <w:szCs w:val="20"/>
                <w:color w:val="auto"/>
              </w:rPr>
            </w:pPr>
            <w:r>
              <w:rPr>
                <w:rFonts w:ascii="Arial" w:cs="Arial" w:eastAsia="Arial" w:hAnsi="Arial"/>
                <w:sz w:val="17"/>
                <w:szCs w:val="17"/>
                <w:color w:val="auto"/>
              </w:rPr>
              <w:t>President and</w:t>
            </w:r>
          </w:p>
        </w:tc>
        <w:tc>
          <w:tcPr>
            <w:tcW w:w="6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Arial" w:cs="Arial" w:eastAsia="Arial" w:hAnsi="Arial"/>
                <w:sz w:val="17"/>
                <w:szCs w:val="17"/>
                <w:color w:val="auto"/>
                <w:w w:val="88"/>
              </w:rPr>
              <w:t>January 1, 1997</w:t>
            </w:r>
          </w:p>
        </w:tc>
        <w:tc>
          <w:tcPr>
            <w:tcW w:w="4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Arial" w:cs="Arial" w:eastAsia="Arial" w:hAnsi="Arial"/>
                <w:sz w:val="17"/>
                <w:szCs w:val="17"/>
                <w:color w:val="auto"/>
              </w:rPr>
              <w:t>Chief Executive Officer</w:t>
            </w:r>
          </w:p>
        </w:tc>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20"/>
        </w:trPr>
        <w:tc>
          <w:tcPr>
            <w:tcW w:w="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33"/>
        </w:trPr>
        <w:tc>
          <w:tcPr>
            <w:tcW w:w="40" w:type="dxa"/>
            <w:vAlign w:val="bottom"/>
            <w:shd w:val="clear" w:color="auto" w:fill="C0C0C0"/>
          </w:tcPr>
          <w:p>
            <w:pPr>
              <w:spacing w:after="0"/>
              <w:rPr>
                <w:sz w:val="20"/>
                <w:szCs w:val="20"/>
                <w:color w:val="auto"/>
              </w:rPr>
            </w:pPr>
          </w:p>
        </w:tc>
        <w:tc>
          <w:tcPr>
            <w:tcW w:w="2700" w:type="dxa"/>
            <w:vAlign w:val="bottom"/>
            <w:shd w:val="clear" w:color="auto" w:fill="C0C0C0"/>
          </w:tcPr>
          <w:p>
            <w:pPr>
              <w:ind w:left="280"/>
              <w:spacing w:after="0"/>
              <w:rPr>
                <w:sz w:val="20"/>
                <w:szCs w:val="20"/>
                <w:color w:val="auto"/>
              </w:rPr>
            </w:pPr>
            <w:r>
              <w:rPr>
                <w:rFonts w:ascii="Arial" w:cs="Arial" w:eastAsia="Arial" w:hAnsi="Arial"/>
                <w:sz w:val="17"/>
                <w:szCs w:val="17"/>
                <w:color w:val="auto"/>
              </w:rPr>
              <w:t>John A. Sorel</w:t>
            </w:r>
          </w:p>
        </w:tc>
        <w:tc>
          <w:tcPr>
            <w:tcW w:w="60" w:type="dxa"/>
            <w:vAlign w:val="bottom"/>
            <w:shd w:val="clear" w:color="auto" w:fill="C0C0C0"/>
          </w:tcPr>
          <w:p>
            <w:pPr>
              <w:spacing w:after="0"/>
              <w:rPr>
                <w:sz w:val="20"/>
                <w:szCs w:val="20"/>
                <w:color w:val="auto"/>
              </w:rPr>
            </w:pPr>
          </w:p>
        </w:tc>
        <w:tc>
          <w:tcPr>
            <w:tcW w:w="2840" w:type="dxa"/>
            <w:vAlign w:val="bottom"/>
            <w:shd w:val="clear" w:color="auto" w:fill="C0C0C0"/>
          </w:tcPr>
          <w:p>
            <w:pPr>
              <w:ind w:left="240"/>
              <w:spacing w:after="0"/>
              <w:rPr>
                <w:sz w:val="20"/>
                <w:szCs w:val="20"/>
                <w:color w:val="auto"/>
              </w:rPr>
            </w:pPr>
            <w:r>
              <w:rPr>
                <w:rFonts w:ascii="Arial" w:cs="Arial" w:eastAsia="Arial" w:hAnsi="Arial"/>
                <w:sz w:val="17"/>
                <w:szCs w:val="17"/>
                <w:color w:val="auto"/>
              </w:rPr>
              <w:t>Vice President</w:t>
            </w:r>
          </w:p>
        </w:tc>
        <w:tc>
          <w:tcPr>
            <w:tcW w:w="60" w:type="dxa"/>
            <w:vAlign w:val="bottom"/>
            <w:shd w:val="clear" w:color="auto" w:fill="C0C0C0"/>
          </w:tcPr>
          <w:p>
            <w:pPr>
              <w:spacing w:after="0"/>
              <w:rPr>
                <w:sz w:val="20"/>
                <w:szCs w:val="20"/>
                <w:color w:val="auto"/>
              </w:rPr>
            </w:pPr>
          </w:p>
        </w:tc>
        <w:tc>
          <w:tcPr>
            <w:tcW w:w="26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1"/>
              </w:rPr>
              <w:t>March 1, 2001</w:t>
            </w:r>
          </w:p>
        </w:tc>
        <w:tc>
          <w:tcPr>
            <w:tcW w:w="40" w:type="dxa"/>
            <w:vAlign w:val="bottom"/>
            <w:shd w:val="clear" w:color="auto" w:fill="C0C0C0"/>
          </w:tcPr>
          <w:p>
            <w:pPr>
              <w:spacing w:after="0"/>
              <w:rPr>
                <w:sz w:val="20"/>
                <w:szCs w:val="20"/>
                <w:color w:val="auto"/>
              </w:rPr>
            </w:pPr>
          </w:p>
        </w:tc>
      </w:tr>
      <w:tr>
        <w:trPr>
          <w:trHeight w:val="330"/>
        </w:trPr>
        <w:tc>
          <w:tcPr>
            <w:tcW w:w="40" w:type="dxa"/>
            <w:vAlign w:val="bottom"/>
            <w:shd w:val="clear" w:color="auto" w:fill="C0C0C0"/>
          </w:tcPr>
          <w:p>
            <w:pPr>
              <w:spacing w:after="0"/>
              <w:rPr>
                <w:sz w:val="24"/>
                <w:szCs w:val="24"/>
                <w:color w:val="auto"/>
              </w:rPr>
            </w:pPr>
          </w:p>
        </w:tc>
        <w:tc>
          <w:tcPr>
            <w:tcW w:w="2700" w:type="dxa"/>
            <w:vAlign w:val="bottom"/>
            <w:shd w:val="clear" w:color="auto" w:fill="C0C0C0"/>
          </w:tcPr>
          <w:p>
            <w:pPr>
              <w:spacing w:after="0"/>
              <w:rPr>
                <w:sz w:val="24"/>
                <w:szCs w:val="24"/>
                <w:color w:val="auto"/>
              </w:rPr>
            </w:pPr>
          </w:p>
        </w:tc>
        <w:tc>
          <w:tcPr>
            <w:tcW w:w="60" w:type="dxa"/>
            <w:vAlign w:val="bottom"/>
            <w:shd w:val="clear" w:color="auto" w:fill="C0C0C0"/>
          </w:tcPr>
          <w:p>
            <w:pPr>
              <w:spacing w:after="0"/>
              <w:rPr>
                <w:sz w:val="24"/>
                <w:szCs w:val="24"/>
                <w:color w:val="auto"/>
              </w:rPr>
            </w:pPr>
          </w:p>
        </w:tc>
        <w:tc>
          <w:tcPr>
            <w:tcW w:w="2840" w:type="dxa"/>
            <w:vAlign w:val="bottom"/>
            <w:shd w:val="clear" w:color="auto" w:fill="C0C0C0"/>
          </w:tcPr>
          <w:p>
            <w:pPr>
              <w:spacing w:after="0"/>
              <w:rPr>
                <w:sz w:val="24"/>
                <w:szCs w:val="24"/>
                <w:color w:val="auto"/>
              </w:rPr>
            </w:pPr>
          </w:p>
        </w:tc>
        <w:tc>
          <w:tcPr>
            <w:tcW w:w="60" w:type="dxa"/>
            <w:vAlign w:val="bottom"/>
            <w:shd w:val="clear" w:color="auto" w:fill="C0C0C0"/>
          </w:tcPr>
          <w:p>
            <w:pPr>
              <w:spacing w:after="0"/>
              <w:rPr>
                <w:sz w:val="24"/>
                <w:szCs w:val="24"/>
                <w:color w:val="auto"/>
              </w:rPr>
            </w:pPr>
          </w:p>
        </w:tc>
        <w:tc>
          <w:tcPr>
            <w:tcW w:w="2600" w:type="dxa"/>
            <w:vAlign w:val="bottom"/>
            <w:shd w:val="clear" w:color="auto" w:fill="C0C0C0"/>
          </w:tcPr>
          <w:p>
            <w:pPr>
              <w:spacing w:after="0"/>
              <w:rPr>
                <w:sz w:val="24"/>
                <w:szCs w:val="24"/>
                <w:color w:val="auto"/>
              </w:rPr>
            </w:pPr>
          </w:p>
        </w:tc>
        <w:tc>
          <w:tcPr>
            <w:tcW w:w="40" w:type="dxa"/>
            <w:vAlign w:val="bottom"/>
            <w:shd w:val="clear" w:color="auto" w:fill="C0C0C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-2639695</wp:posOffset>
            </wp:positionV>
            <wp:extent cx="52806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8066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Mr.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-10160</wp:posOffset>
            </wp:positionV>
            <wp:extent cx="273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Minerals Technologies Inc.</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405 Lexington Avenue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10174-1901</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Dear Mr.______________:</w:t>
      </w:r>
    </w:p>
    <w:p>
      <w:pPr>
        <w:spacing w:after="0" w:line="184" w:lineRule="exact"/>
        <w:rPr>
          <w:sz w:val="20"/>
          <w:szCs w:val="20"/>
          <w:color w:val="auto"/>
        </w:rPr>
      </w:pPr>
    </w:p>
    <w:p>
      <w:pPr>
        <w:ind w:right="60" w:firstLine="170"/>
        <w:spacing w:after="0" w:line="263" w:lineRule="auto"/>
        <w:rPr>
          <w:sz w:val="20"/>
          <w:szCs w:val="20"/>
          <w:color w:val="auto"/>
        </w:rPr>
      </w:pPr>
      <w:r>
        <w:rPr>
          <w:rFonts w:ascii="Arial" w:cs="Arial" w:eastAsia="Arial" w:hAnsi="Arial"/>
          <w:sz w:val="17"/>
          <w:szCs w:val="17"/>
          <w:color w:val="auto"/>
        </w:rPr>
        <w:t>Minerals Technologies Inc. (the "Company") considers it essential to the best interests of its stockholders to foster the continuous employment of key management personnel. In this connection, should the Company receive a proposal from a third party, whether solicited by the Company or unsolicited, concerning a possible business combination with, or the acquisition of a substantial share of the equity or voting securities of, the Company, the Board of Directors of the Company (the "Board") has determined that it is imperative that it and the Company be able to rely upon your continued services without concern that you might be distracted by the personal uncertainties and risks that such a proposal might otherwise entail.</w:t>
      </w:r>
    </w:p>
    <w:p>
      <w:pPr>
        <w:spacing w:after="0" w:line="147" w:lineRule="exact"/>
        <w:rPr>
          <w:sz w:val="20"/>
          <w:szCs w:val="20"/>
          <w:color w:val="auto"/>
        </w:rPr>
      </w:pPr>
    </w:p>
    <w:p>
      <w:pPr>
        <w:ind w:right="160" w:firstLine="170"/>
        <w:spacing w:after="0" w:line="311" w:lineRule="auto"/>
        <w:rPr>
          <w:sz w:val="20"/>
          <w:szCs w:val="20"/>
          <w:color w:val="auto"/>
        </w:rPr>
      </w:pPr>
      <w:r>
        <w:rPr>
          <w:rFonts w:ascii="Arial" w:cs="Arial" w:eastAsia="Arial" w:hAnsi="Arial"/>
          <w:sz w:val="15"/>
          <w:szCs w:val="15"/>
          <w:color w:val="auto"/>
        </w:rPr>
        <w:t>Accordingly, the Board has determined that appropriate steps should be taken to reinforce and encourage the continued attention and dedication of members of the Company's management, yourself included, to their assigned duties without distraction in the face of potentially disturbing circumstances that could arise out of a proposal for a change in control of the Company. The Board has also determined that it is in the best interests of the Company and its stockholders to ensure your continued availability to the Company and its subsidiaries in the event of a "potential change in control" (as defined in Section 2 hereof).</w:t>
      </w:r>
    </w:p>
    <w:p>
      <w:pPr>
        <w:spacing w:after="0" w:line="127" w:lineRule="exact"/>
        <w:rPr>
          <w:sz w:val="20"/>
          <w:szCs w:val="20"/>
          <w:color w:val="auto"/>
        </w:rPr>
      </w:pPr>
    </w:p>
    <w:p>
      <w:pPr>
        <w:ind w:right="80" w:firstLine="170"/>
        <w:spacing w:after="0" w:line="293" w:lineRule="auto"/>
        <w:rPr>
          <w:sz w:val="20"/>
          <w:szCs w:val="20"/>
          <w:color w:val="auto"/>
        </w:rPr>
      </w:pPr>
      <w:r>
        <w:rPr>
          <w:rFonts w:ascii="Arial" w:cs="Arial" w:eastAsia="Arial" w:hAnsi="Arial"/>
          <w:sz w:val="16"/>
          <w:szCs w:val="16"/>
          <w:color w:val="auto"/>
        </w:rPr>
        <w:t>In order to induce you to remain in the employ of the Company and its subsidiaries and in consideration of your agreement set forth in Section 2(ii) hereof, the Company agrees that you shall receive the severance benefits set forth in this letter agreement ("Agreement") in the event your employment with the Company and its subsidiaries is terminated subsequent to a Change in Control (as defined in Section 2 hereof) under the circumstances described below.</w:t>
      </w:r>
    </w:p>
    <w:p>
      <w:pPr>
        <w:spacing w:after="0" w:line="125" w:lineRule="exact"/>
        <w:rPr>
          <w:sz w:val="20"/>
          <w:szCs w:val="20"/>
          <w:color w:val="auto"/>
        </w:rPr>
      </w:pPr>
    </w:p>
    <w:p>
      <w:pPr>
        <w:ind w:firstLine="175"/>
        <w:spacing w:after="0" w:line="306" w:lineRule="auto"/>
        <w:tabs>
          <w:tab w:leader="none" w:pos="34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Term of Agreement</w:t>
      </w:r>
      <w:r>
        <w:rPr>
          <w:rFonts w:ascii="Arial" w:cs="Arial" w:eastAsia="Arial" w:hAnsi="Arial"/>
          <w:sz w:val="15"/>
          <w:szCs w:val="15"/>
          <w:color w:val="auto"/>
        </w:rPr>
        <w:t>. This Agreement shall commence as of _____________, and shall continue in effect through ______________; provided, however, the term of this Agreement shall automatically be extended for one additional year commencing on January 1 , ______ and each January 1 thereafter, unless, not later than June 30 of the preceding year, the Company shall have given notice that it does not wish to extend this Agreement; provided, further, that, notwithstanding any such notice by the Company not to extend, if a Change in Control shall have occurred during the original or any extended term of this Agreement, this Agreement shall continue in effect for a period of forty-eight (48) months beyond the expiration of the term in effect immediately before such Change in Control.</w:t>
      </w:r>
    </w:p>
    <w:p>
      <w:pPr>
        <w:spacing w:after="0" w:line="118" w:lineRule="exact"/>
        <w:rPr>
          <w:rFonts w:ascii="Arial" w:cs="Arial" w:eastAsia="Arial" w:hAnsi="Arial"/>
          <w:sz w:val="15"/>
          <w:szCs w:val="15"/>
          <w:color w:val="auto"/>
        </w:rPr>
      </w:pPr>
    </w:p>
    <w:p>
      <w:pPr>
        <w:jc w:val="both"/>
        <w:ind w:right="120" w:firstLine="175"/>
        <w:spacing w:after="0" w:line="321" w:lineRule="auto"/>
        <w:tabs>
          <w:tab w:leader="none" w:pos="34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(i) No benefits shall be payable hereunder unless there shall have been a Change in Control of the Company, as set forth below. For purposes of this Agreement, a "Change in Control" of the Company shall mean a change in control of a nature that would be required to be reported in response to Item 6(e) of Schedule 14A of Regulation 14A promulgated under the Securities Exchange Act of 1934, as amended (the "Exchange Act"), whether or not the Company is then</w:t>
      </w:r>
    </w:p>
    <w:p>
      <w:pPr>
        <w:sectPr>
          <w:pgSz w:w="11900" w:h="16838" w:orient="portrait"/>
          <w:cols w:equalWidth="0" w:num="1">
            <w:col w:w="11400"/>
          </w:cols>
          <w:pgMar w:left="240" w:top="127" w:right="259" w:bottom="0" w:gutter="0" w:footer="0" w:header="0"/>
        </w:sectPr>
      </w:pPr>
    </w:p>
    <w:bookmarkStart w:id="47" w:name="page48"/>
    <w:bookmarkEnd w:id="47"/>
    <w:p>
      <w:pPr>
        <w:ind w:right="120"/>
        <w:spacing w:after="0" w:line="297" w:lineRule="auto"/>
        <w:rPr>
          <w:sz w:val="20"/>
          <w:szCs w:val="20"/>
          <w:color w:val="auto"/>
        </w:rPr>
      </w:pPr>
      <w:r>
        <w:rPr>
          <w:rFonts w:ascii="Arial" w:cs="Arial" w:eastAsia="Arial" w:hAnsi="Arial"/>
          <w:sz w:val="15"/>
          <w:szCs w:val="15"/>
          <w:color w:val="auto"/>
        </w:rPr>
        <w:t>subject to such reporting requirement; provided that, without limitation, such a Change in Control shall be deemed to have occurred if (A) any "person" (as such term is used in Sections 13(d) and 14(d) of the Exchange Act) is or becomes the "beneficial owner" (as determined for purpose of Regulation 13D-G under the Exchange Act as currently in effect), directly or indirectly, of securities of the Company representing 15% or more of the combined voting power of the Company's then outstanding securities; or (B) during any period of two consecutive years (not including any period prior to the execution of this Agreement), individuals who at the beginning of such period constitute the Board and any new director, whose election to the Board or nomination for election to the Board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of the Board; or (C) the stockholders of the Company approve a merger or consolidation of the Company with any other corporation, other than a merger or consolidation which would result in the holders of the voting securities of the Company outstanding immediately prior thereto holding immediately thereafter securities representing more than 80% of the combined voting power of the voting securities of the Company or such surviving entity outstanding immediately after such merger or consolidation; or (D) the stockholders of the Company approve a plan of complete liquidation of the Company or an agreement for the sale or disposition by the Company of all or substantially all of the Company's assets.</w:t>
      </w:r>
    </w:p>
    <w:p>
      <w:pPr>
        <w:spacing w:after="0" w:line="127" w:lineRule="exact"/>
        <w:rPr>
          <w:sz w:val="20"/>
          <w:szCs w:val="20"/>
          <w:color w:val="auto"/>
        </w:rPr>
      </w:pPr>
    </w:p>
    <w:p>
      <w:pPr>
        <w:ind w:left="420" w:hanging="245"/>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You agree that, subject to the terms and conditions of this Agreement, in the event of a potential change in control of the Company occurring after the date</w:t>
      </w:r>
    </w:p>
    <w:p>
      <w:pPr>
        <w:spacing w:after="0" w:line="31" w:lineRule="exact"/>
        <w:rPr>
          <w:rFonts w:ascii="Arial" w:cs="Arial" w:eastAsia="Arial" w:hAnsi="Arial"/>
          <w:sz w:val="16"/>
          <w:szCs w:val="16"/>
          <w:color w:val="auto"/>
        </w:rPr>
      </w:pPr>
    </w:p>
    <w:p>
      <w:pPr>
        <w:spacing w:after="0" w:line="259" w:lineRule="auto"/>
        <w:rPr>
          <w:rFonts w:ascii="Arial" w:cs="Arial" w:eastAsia="Arial" w:hAnsi="Arial"/>
          <w:sz w:val="16"/>
          <w:szCs w:val="16"/>
          <w:color w:val="auto"/>
        </w:rPr>
      </w:pPr>
      <w:r>
        <w:rPr>
          <w:rFonts w:ascii="Arial" w:cs="Arial" w:eastAsia="Arial" w:hAnsi="Arial"/>
          <w:sz w:val="17"/>
          <w:szCs w:val="17"/>
          <w:color w:val="auto"/>
        </w:rPr>
        <w:t>hereof, you will not voluntarily terminate your employment with the Company and its subsidiaries for a period of six (6) months from the occurrence of such potential change in control of the Company. If more than one potential change in control occurs during the term of this Agreement, the provisions of the preceding sentence shall be applicable to each potential change in control occurring prior to the occurrence of a Change in Control. For purposes of this Agreement, a "potential change in control of the Company" shall be deemed to have occurred if (A) the Company enters into an agreement, the consummation of which would result in the occurrence of a Change in Control; (B) any person (including the Company) publicly announces an intention to take or to consider taking actions which if consummated would constitute a Change in Control; (C) any person becomes the beneficial owner, directly or indirectly, of securities of the Company representing 9.5% or more of the combined voting power of the Company's then outstanding securities; or (D) the Board adopts a resolution to the effect that, for purposes of this Agreement, a potential change in control of the Company has occurred.</w:t>
      </w:r>
    </w:p>
    <w:p>
      <w:pPr>
        <w:spacing w:after="0" w:line="166" w:lineRule="exact"/>
        <w:rPr>
          <w:sz w:val="20"/>
          <w:szCs w:val="20"/>
          <w:color w:val="auto"/>
        </w:rPr>
      </w:pPr>
    </w:p>
    <w:p>
      <w:pPr>
        <w:jc w:val="both"/>
        <w:ind w:right="60" w:firstLine="175"/>
        <w:spacing w:after="0" w:line="265"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Termination Following Change in Control</w:t>
      </w:r>
      <w:r>
        <w:rPr>
          <w:rFonts w:ascii="Arial" w:cs="Arial" w:eastAsia="Arial" w:hAnsi="Arial"/>
          <w:sz w:val="17"/>
          <w:szCs w:val="17"/>
          <w:color w:val="auto"/>
        </w:rPr>
        <w:t>. If any of the events described in Section 2(i) hereof constituting a Change in Control shall have occurred, you shall be entitled to the benefits provided in Section 4(iv) hereof upon the subsequent termination of your employment with the Company and its subsidiaries during the term of this Agreement unless such termination is (A) a result of your death or Retirement, or (B) your termination for other than Good Reason, or (C) your being terminated by the Company or any of its subsidiaries for Disability or for Cause.</w:t>
      </w:r>
    </w:p>
    <w:p>
      <w:pPr>
        <w:spacing w:after="0" w:line="145" w:lineRule="exact"/>
        <w:rPr>
          <w:sz w:val="20"/>
          <w:szCs w:val="20"/>
          <w:color w:val="auto"/>
        </w:rPr>
      </w:pPr>
    </w:p>
    <w:p>
      <w:pPr>
        <w:ind w:right="40" w:firstLine="175"/>
        <w:spacing w:after="0" w:line="301" w:lineRule="auto"/>
        <w:tabs>
          <w:tab w:leader="none" w:pos="373"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Disability; Retirement</w:t>
      </w:r>
      <w:r>
        <w:rPr>
          <w:rFonts w:ascii="Arial" w:cs="Arial" w:eastAsia="Arial" w:hAnsi="Arial"/>
          <w:sz w:val="15"/>
          <w:szCs w:val="15"/>
          <w:color w:val="auto"/>
        </w:rPr>
        <w:t>. For purposes of this Agreement, "Disability" shall mean permanent and total disability as such term is defined under Section 22(e)(3) of the Internal Revenue Code of 1986, as amended (the "Code"). Any question as to the existence of your Disability upon which you and the Company cannot agree shall be determined by a qualified independent physician selected by you (or, if you are unable to make such selection, such selection shall be made by any adult member of your immediate family or your legal representative), and approved by the Company, said approval not to be unreasonably withheld. The determination of such physician made in writing to the Company and to you shall be final and conclusive for all purposes of this Agreement. For purposes of this Agreement, "Retirement" shall mean your voluntary termination of employment with the Company in accordance with the Company's retirement policy (excluding early retirement) generally applicable to its salaried employees or in accordance with any retirement arrangement established with your consent with respect to you.</w:t>
      </w:r>
    </w:p>
    <w:p>
      <w:pPr>
        <w:spacing w:after="0" w:line="122" w:lineRule="exact"/>
        <w:rPr>
          <w:rFonts w:ascii="Arial" w:cs="Arial" w:eastAsia="Arial" w:hAnsi="Arial"/>
          <w:sz w:val="15"/>
          <w:szCs w:val="15"/>
          <w:color w:val="auto"/>
        </w:rPr>
      </w:pPr>
    </w:p>
    <w:p>
      <w:pPr>
        <w:ind w:right="100" w:firstLine="175"/>
        <w:spacing w:after="0" w:line="280" w:lineRule="auto"/>
        <w:tabs>
          <w:tab w:leader="none" w:pos="42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For purposes of this Agreement, "Cause" shall mean your willful breach of duty in the course of your employment, or your habitual neglect of your employment duties. For purposes of this Section 3(ii), no act, or failure to act, on your part shall be deemed "willful" unless done, or omitted to be done, by you not in good faith and without reasonable belief that your action or omission was in the best interest of the Company and its subsidiaries. Notwithstanding the foregoing, you shall not be deemed to have been terminated for Cause unless and until there shall have been delivered to you a copy of a resolution duly adopted by the affirmative vote of not less than three-quarters (3/4) of the entire membership of the Board at a meeting of the Board called and held for such purpose (after reasonable notice to you and an opportunity for you, together with your counsel, to be heard before the Board), finding that in the good faith opinion of the Board you were guilty of conduct set forth above in this Section 3(ii) and specifying the particulars thereof in detail.</w:t>
      </w:r>
    </w:p>
    <w:p>
      <w:pPr>
        <w:spacing w:after="0" w:line="147" w:lineRule="exact"/>
        <w:rPr>
          <w:rFonts w:ascii="Arial" w:cs="Arial" w:eastAsia="Arial" w:hAnsi="Arial"/>
          <w:sz w:val="16"/>
          <w:szCs w:val="16"/>
          <w:color w:val="auto"/>
        </w:rPr>
      </w:pPr>
    </w:p>
    <w:p>
      <w:pPr>
        <w:ind w:right="20" w:firstLine="175"/>
        <w:spacing w:after="0" w:line="265" w:lineRule="auto"/>
        <w:tabs>
          <w:tab w:leader="none" w:pos="46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You shall be entitled to terminate your employment for Good Reason. For the purpose of this Agreement, "Good Reason" shall mean the occurrence, without your express written consent, of any of the following circumstances unless, in the case of paragraphs 3(iii)(A), (E), (F), (G), or (H), such circumstances are fully corrected prior to the Date of Termination (as defined in Section 3(v)) specified in the Notice of Termination (as defined in Section 3(iv)) given in respect thereof:</w:t>
      </w:r>
    </w:p>
    <w:p>
      <w:pPr>
        <w:spacing w:after="0" w:line="140" w:lineRule="exact"/>
        <w:rPr>
          <w:rFonts w:ascii="Arial" w:cs="Arial" w:eastAsia="Arial" w:hAnsi="Arial"/>
          <w:sz w:val="17"/>
          <w:szCs w:val="17"/>
          <w:color w:val="auto"/>
        </w:rPr>
      </w:pPr>
    </w:p>
    <w:p>
      <w:pPr>
        <w:ind w:right="200" w:firstLine="345"/>
        <w:spacing w:after="0" w:line="286" w:lineRule="auto"/>
        <w:tabs>
          <w:tab w:leader="none" w:pos="619"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the assignment to you of any duties inconsistent with your status as </w:t>
      </w:r>
      <w:r>
        <w:rPr>
          <w:rFonts w:ascii="Arial" w:cs="Arial" w:eastAsia="Arial" w:hAnsi="Arial"/>
          <w:sz w:val="17"/>
          <w:szCs w:val="17"/>
          <w:b w:val="1"/>
          <w:bCs w:val="1"/>
          <w:color w:val="auto"/>
        </w:rPr>
        <w:t>TITLE</w:t>
      </w:r>
      <w:r>
        <w:rPr>
          <w:rFonts w:ascii="Arial" w:cs="Arial" w:eastAsia="Arial" w:hAnsi="Arial"/>
          <w:sz w:val="17"/>
          <w:szCs w:val="17"/>
          <w:color w:val="auto"/>
        </w:rPr>
        <w:t xml:space="preserve"> of Minerals Technologies Inc., your removal from that position, or a substantial diminution in the nature or status of your responsibilities from those in effect immediately prior to the Change in Control;</w:t>
      </w:r>
    </w:p>
    <w:p>
      <w:pPr>
        <w:spacing w:after="0" w:line="127" w:lineRule="exact"/>
        <w:rPr>
          <w:rFonts w:ascii="Arial" w:cs="Arial" w:eastAsia="Arial" w:hAnsi="Arial"/>
          <w:sz w:val="17"/>
          <w:szCs w:val="17"/>
          <w:color w:val="auto"/>
        </w:rPr>
      </w:pPr>
    </w:p>
    <w:p>
      <w:pPr>
        <w:ind w:right="60" w:firstLine="345"/>
        <w:spacing w:after="0" w:line="282" w:lineRule="auto"/>
        <w:tabs>
          <w:tab w:leader="none" w:pos="61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 reduction by the Company or any of its subsidiaries in your annual base salary or bonus as in effect on the date hereof or as the same may be increased from time to time;</w:t>
      </w:r>
    </w:p>
    <w:p>
      <w:pPr>
        <w:spacing w:after="0" w:line="142" w:lineRule="exact"/>
        <w:rPr>
          <w:rFonts w:ascii="Arial" w:cs="Arial" w:eastAsia="Arial" w:hAnsi="Arial"/>
          <w:sz w:val="17"/>
          <w:szCs w:val="17"/>
          <w:color w:val="auto"/>
        </w:rPr>
      </w:pPr>
    </w:p>
    <w:p>
      <w:pPr>
        <w:ind w:right="100" w:firstLine="345"/>
        <w:spacing w:after="0" w:line="293" w:lineRule="auto"/>
        <w:tabs>
          <w:tab w:leader="none" w:pos="61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relocation of the executive office in which you are located prior to the Change in Control to a location more than fifty miles therefrom or the Company or any of its subsidiaries requiring you to be based anywhere other than the executive office in which you are located prior to the Change in Control except for required travel on the business of the Company and its subsidiaries to an extent substantially consistent with your present business travel obligations;</w:t>
      </w:r>
    </w:p>
    <w:p>
      <w:pPr>
        <w:spacing w:after="0" w:line="124" w:lineRule="exact"/>
        <w:rPr>
          <w:rFonts w:ascii="Arial" w:cs="Arial" w:eastAsia="Arial" w:hAnsi="Arial"/>
          <w:sz w:val="16"/>
          <w:szCs w:val="16"/>
          <w:color w:val="auto"/>
        </w:rPr>
      </w:pPr>
    </w:p>
    <w:p>
      <w:pPr>
        <w:ind w:right="80" w:firstLine="345"/>
        <w:spacing w:after="0" w:line="282" w:lineRule="auto"/>
        <w:tabs>
          <w:tab w:leader="none" w:pos="619"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failure by the Company to pay to you any portion of an installment of deferred compensation under any preferred compensation program of the Company within seven (7) days of the date such compensation is due;</w:t>
      </w:r>
    </w:p>
    <w:p>
      <w:pPr>
        <w:spacing w:after="0" w:line="129" w:lineRule="exact"/>
        <w:rPr>
          <w:rFonts w:ascii="Arial" w:cs="Arial" w:eastAsia="Arial" w:hAnsi="Arial"/>
          <w:sz w:val="17"/>
          <w:szCs w:val="17"/>
          <w:color w:val="auto"/>
        </w:rPr>
      </w:pPr>
    </w:p>
    <w:p>
      <w:pPr>
        <w:ind w:firstLine="345"/>
        <w:spacing w:after="0" w:line="287" w:lineRule="auto"/>
        <w:tabs>
          <w:tab w:leader="none" w:pos="6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failure by the Company or any of its subsidiaries to continue in effect any incentive compensation plan in which you participate prior to the Change in Control, unless an equitable alternative compensation arrangement (embodied in an ongoing substitute or alternative plan) has been provided for you, or the failure by the Company or any of its subsidiaries to continue your participation in any such incentive plan on the same basis, both in terms of the amount of benefits provided and the level of your participation relative to other participants, as existed at the time of the Change in Control;</w:t>
      </w:r>
    </w:p>
    <w:p>
      <w:pPr>
        <w:spacing w:after="0" w:line="141" w:lineRule="exact"/>
        <w:rPr>
          <w:rFonts w:ascii="Arial" w:cs="Arial" w:eastAsia="Arial" w:hAnsi="Arial"/>
          <w:sz w:val="16"/>
          <w:szCs w:val="16"/>
          <w:color w:val="auto"/>
        </w:rPr>
      </w:pPr>
    </w:p>
    <w:p>
      <w:pPr>
        <w:ind w:right="80" w:firstLine="345"/>
        <w:spacing w:after="0" w:line="262" w:lineRule="auto"/>
        <w:tabs>
          <w:tab w:leader="none" w:pos="591" w:val="left"/>
        </w:tabs>
        <w:numPr>
          <w:ilvl w:val="1"/>
          <w:numId w:val="30"/>
        </w:numPr>
        <w:rPr>
          <w:rFonts w:ascii="Arial" w:cs="Arial" w:eastAsia="Arial" w:hAnsi="Arial"/>
          <w:sz w:val="17"/>
          <w:szCs w:val="17"/>
          <w:color w:val="auto"/>
        </w:rPr>
      </w:pPr>
      <w:r>
        <w:rPr>
          <w:rFonts w:ascii="Arial" w:cs="Arial" w:eastAsia="Arial" w:hAnsi="Arial"/>
          <w:sz w:val="17"/>
          <w:szCs w:val="17"/>
          <w:color w:val="auto"/>
        </w:rPr>
        <w:t>except as required by law, the failure by the Company or any of its subsidiaries to continue to provide you with benefits at least as favorable as those enjoyed by you under the employee benefit and welfare plans of the Company and its subsidiaries, including, without limitation, the pension, life insurance, medical, dental, health and accident, disability, deferred compensation retirement and savings plans, in which you were participating at the time of the Change in Control, the taking of any action by the Company or any of its subsidiaries which would directly or indirectly materially reduce any of such benefits or deprive you of any material fringe benefit enjoyed by you at the time of the Change in Control, or the failure by the Company or any of its subsidiaries to provide you with the number of paid vacation days to which you are entitled at the time of the Change in Control;</w:t>
      </w:r>
    </w:p>
    <w:p>
      <w:pPr>
        <w:spacing w:after="0" w:line="146" w:lineRule="exact"/>
        <w:rPr>
          <w:rFonts w:ascii="Arial" w:cs="Arial" w:eastAsia="Arial" w:hAnsi="Arial"/>
          <w:sz w:val="17"/>
          <w:szCs w:val="17"/>
          <w:color w:val="auto"/>
        </w:rPr>
      </w:pPr>
    </w:p>
    <w:p>
      <w:pPr>
        <w:ind w:right="80" w:firstLine="345"/>
        <w:spacing w:after="0" w:line="282" w:lineRule="auto"/>
        <w:tabs>
          <w:tab w:leader="none" w:pos="619"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failure of the Company to obtain a satisfactory agreement from any successor to assume and agree to perform this Agreement, as contemplated in Section 5 hereof; or</w:t>
      </w:r>
    </w:p>
    <w:p>
      <w:pPr>
        <w:spacing w:after="0" w:line="129" w:lineRule="exact"/>
        <w:rPr>
          <w:rFonts w:ascii="Arial" w:cs="Arial" w:eastAsia="Arial" w:hAnsi="Arial"/>
          <w:sz w:val="17"/>
          <w:szCs w:val="17"/>
          <w:color w:val="auto"/>
        </w:rPr>
      </w:pPr>
    </w:p>
    <w:p>
      <w:pPr>
        <w:ind w:right="200" w:firstLine="345"/>
        <w:spacing w:after="0" w:line="314" w:lineRule="auto"/>
        <w:tabs>
          <w:tab w:leader="none" w:pos="619"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purported termination of your employment which is not effected pursuant to a Notice of Termination satisfying the requirements of Section 3(iv) below (and, if applicable, the requirements of Section 3(ii) above); for purposes of this Agreement, no such purported termination shall be effective.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Your continued employment shall not constitute consent to, or a waiver of rights with respect to, any circumstance constituting Good Reason hereunder.</w:t>
      </w:r>
    </w:p>
    <w:p>
      <w:pPr>
        <w:sectPr>
          <w:pgSz w:w="11900" w:h="16838" w:orient="portrait"/>
          <w:cols w:equalWidth="0" w:num="1">
            <w:col w:w="11420"/>
          </w:cols>
          <w:pgMar w:left="240" w:top="131" w:right="239" w:bottom="0" w:gutter="0" w:footer="0" w:header="0"/>
        </w:sectPr>
      </w:pPr>
    </w:p>
    <w:bookmarkStart w:id="48" w:name="page49"/>
    <w:bookmarkEnd w:id="48"/>
    <w:p>
      <w:pPr>
        <w:ind w:right="60" w:firstLine="175"/>
        <w:spacing w:after="0" w:line="265" w:lineRule="auto"/>
        <w:tabs>
          <w:tab w:leader="none" w:pos="458"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purported termination of your employment by the Company and its subsidiaries or by you shall be communicated by written Notice of Termination to the other party hereto in accordance with Section 6 hereof. For purposes of this Agreement, a "Notice of Termination" shall mean a notice which shall indicate the specific termination provision in this Agreement relied upon and shall set forth in reasonable detail the facts and circumstances claimed to provide a basis for termination of your employment under the provision so indicated.</w:t>
      </w:r>
    </w:p>
    <w:p>
      <w:pPr>
        <w:spacing w:after="0" w:line="144" w:lineRule="exact"/>
        <w:rPr>
          <w:rFonts w:ascii="Arial" w:cs="Arial" w:eastAsia="Arial" w:hAnsi="Arial"/>
          <w:sz w:val="17"/>
          <w:szCs w:val="17"/>
          <w:color w:val="auto"/>
        </w:rPr>
      </w:pPr>
    </w:p>
    <w:p>
      <w:pPr>
        <w:ind w:right="20" w:firstLine="175"/>
        <w:spacing w:after="0" w:line="296" w:lineRule="auto"/>
        <w:tabs>
          <w:tab w:leader="none" w:pos="411"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Date of Termination, Etc.</w:t>
      </w:r>
      <w:r>
        <w:rPr>
          <w:rFonts w:ascii="Arial" w:cs="Arial" w:eastAsia="Arial" w:hAnsi="Arial"/>
          <w:sz w:val="15"/>
          <w:szCs w:val="15"/>
          <w:color w:val="auto"/>
        </w:rPr>
        <w:t xml:space="preserve"> "Date of Termination" shall mean (A) if your employment is terminated for Disability, thirty (30) days after Notice of Termination is given (provided that you shall not have returned to the full-time performance of your duties during such thirty (30) day period), and (B) if your employment is terminated pursuant to Section 3(ii) or (iii) above or for any other reason (other than Disability), the date specified in the Notice of Termination (which, in the case of a termination pursuant to Section 3(ii) above shall not be less than thirty (30) days, and in the case of a termination pursuant to Section 3(iii) above shall not be less than thirty (30) nor more than sixty (60) days, respectively, from the date such Notice of Termination is given); provided that, if within thirty (30) days after any Notice of Termination is given the party receiving such Notice of Termination notifies the other party that a dispute exists concerning the grounds for termination, the Date of Termination shall be the date on which the dispute is finally determined, either by mutual written agreement of the parties, by a binding arbitration award or by a final judgment, order or decree of a court of competent jurisdiction (which is not appealable or the time for appeal therefrom having expired and no appeal having been perfected); provided further that the Date of Termination shall be extended by a notice of dispute only if such notice is given in good faith and the party giving such notice pursues the resolution of such dispute with reasonable diligence. Notwithstanding the pendency of any such dispute, the Company and its subsidiaries will continue to pay you your full compensation in effect when the notice giving rise to the dispute was given (including, but not limited to, base salary and bonus) and continue you as a participant in all incentive compensation, benefit and insurance plans in which you were participating when the notice giving rise to the dispute was given, until the dispute is finally resolved in accordance with this Section 3(v). Amounts paid under this Section 3(v) are in addition to all other amounts due under this Agreement and shall not be offset against or reduce any other amounts due under this Agreement.</w:t>
      </w:r>
    </w:p>
    <w:p>
      <w:pPr>
        <w:spacing w:after="0" w:line="138" w:lineRule="exact"/>
        <w:rPr>
          <w:sz w:val="20"/>
          <w:szCs w:val="20"/>
          <w:color w:val="auto"/>
        </w:rPr>
      </w:pPr>
    </w:p>
    <w:p>
      <w:pPr>
        <w:jc w:val="both"/>
        <w:ind w:right="420" w:firstLine="175"/>
        <w:spacing w:after="0" w:line="269"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Compensation Upon Termination or During Disability</w:t>
      </w:r>
      <w:r>
        <w:rPr>
          <w:rFonts w:ascii="Arial" w:cs="Arial" w:eastAsia="Arial" w:hAnsi="Arial"/>
          <w:sz w:val="17"/>
          <w:szCs w:val="17"/>
          <w:color w:val="auto"/>
        </w:rPr>
        <w:t>. Following a Change in Control of the Company, as defined by Section 2(i), upon termination of your employment or during a period of Disability you shall be entitled to the following benefits, provided that such period of Disability or Date of Termination occurs during the term of this Agreement:</w:t>
      </w:r>
    </w:p>
    <w:p>
      <w:pPr>
        <w:spacing w:after="0" w:line="141" w:lineRule="exact"/>
        <w:rPr>
          <w:sz w:val="20"/>
          <w:szCs w:val="20"/>
          <w:color w:val="auto"/>
        </w:rPr>
      </w:pPr>
    </w:p>
    <w:p>
      <w:pPr>
        <w:jc w:val="both"/>
        <w:ind w:right="60" w:firstLine="175"/>
        <w:spacing w:after="0" w:line="293" w:lineRule="auto"/>
        <w:tabs>
          <w:tab w:leader="none" w:pos="373"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During any period that you fail to perform your full-time duties with the Company and its subsidiaries as a result of your Disability, you shall continue to receive an amount equal to your base salary and bonus at the rate in effect at the commencement of any such period through the Date of Termination for Disability. Thereafter, your benefits shall be determined in accordance with the insurance programs of the Company and its subsidiaries then in effect.</w:t>
      </w:r>
    </w:p>
    <w:p>
      <w:pPr>
        <w:spacing w:after="0" w:line="124" w:lineRule="exact"/>
        <w:rPr>
          <w:rFonts w:ascii="Arial" w:cs="Arial" w:eastAsia="Arial" w:hAnsi="Arial"/>
          <w:sz w:val="16"/>
          <w:szCs w:val="16"/>
          <w:color w:val="auto"/>
        </w:rPr>
      </w:pPr>
    </w:p>
    <w:p>
      <w:pPr>
        <w:ind w:right="60" w:firstLine="175"/>
        <w:spacing w:after="0" w:line="265" w:lineRule="auto"/>
        <w:tabs>
          <w:tab w:leader="none" w:pos="421"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your employment shall be terminated by the Company or any of its subsidiaries for Cause or by you other than for Good Reason, the Company (or one of its subsidiaries, if applicable) shall pay you your full base salary and bonus through the Date of Termination at the rate in effect at the time Notice of Termination is given and shall pay any amounts to be paid to you pursuant to any other compensation plans, programs or employment agreements then in effect, and the Company shall have no further obligations to you under this Agreement.</w:t>
      </w:r>
    </w:p>
    <w:p>
      <w:pPr>
        <w:spacing w:after="0" w:line="158" w:lineRule="exact"/>
        <w:rPr>
          <w:rFonts w:ascii="Arial" w:cs="Arial" w:eastAsia="Arial" w:hAnsi="Arial"/>
          <w:sz w:val="17"/>
          <w:szCs w:val="17"/>
          <w:color w:val="auto"/>
        </w:rPr>
      </w:pPr>
    </w:p>
    <w:p>
      <w:pPr>
        <w:ind w:right="660" w:firstLine="175"/>
        <w:spacing w:after="0" w:line="282" w:lineRule="auto"/>
        <w:tabs>
          <w:tab w:leader="none" w:pos="4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your employment shall be terminated by reason of your death or Retirement, your benefits shall be determined in accordance with the retirement and insurance programs of the Company and its subsidiaries then in effect.</w:t>
      </w:r>
    </w:p>
    <w:p>
      <w:pPr>
        <w:spacing w:after="0" w:line="129" w:lineRule="exact"/>
        <w:rPr>
          <w:rFonts w:ascii="Arial" w:cs="Arial" w:eastAsia="Arial" w:hAnsi="Arial"/>
          <w:sz w:val="17"/>
          <w:szCs w:val="17"/>
          <w:color w:val="auto"/>
        </w:rPr>
      </w:pPr>
    </w:p>
    <w:p>
      <w:pPr>
        <w:ind w:right="740" w:firstLine="175"/>
        <w:spacing w:after="0" w:line="282" w:lineRule="auto"/>
        <w:tabs>
          <w:tab w:leader="none" w:pos="4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your employment by the Company and its subsidiaries shall be terminated by (a) the Company and its subsidiaries other than for Cause, your death, Retirement, or Disability or (b) by you for Good Reason, then you shall be entitled to the benefits provided below:</w:t>
      </w:r>
    </w:p>
    <w:p>
      <w:pPr>
        <w:spacing w:after="0" w:line="129" w:lineRule="exact"/>
        <w:rPr>
          <w:rFonts w:ascii="Arial" w:cs="Arial" w:eastAsia="Arial" w:hAnsi="Arial"/>
          <w:sz w:val="17"/>
          <w:szCs w:val="17"/>
          <w:color w:val="auto"/>
        </w:rPr>
      </w:pPr>
    </w:p>
    <w:p>
      <w:pPr>
        <w:jc w:val="both"/>
        <w:ind w:right="240" w:firstLine="345"/>
        <w:spacing w:after="0" w:line="269" w:lineRule="auto"/>
        <w:tabs>
          <w:tab w:leader="none" w:pos="619"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Company (or one of its subsidiaries, if applicable) shall pay you your full base salary and bonus through the Date of Termination at the rate in effect at the time the Notice of Termination is given, no later than the fifth day following the Date of Termination, plus all other amounts to which you are entitled under any compensation plan of the Company applicable to you, at the time such payments are due.</w:t>
      </w:r>
    </w:p>
    <w:p>
      <w:pPr>
        <w:spacing w:after="0" w:line="154" w:lineRule="exact"/>
        <w:rPr>
          <w:rFonts w:ascii="Arial" w:cs="Arial" w:eastAsia="Arial" w:hAnsi="Arial"/>
          <w:sz w:val="17"/>
          <w:szCs w:val="17"/>
          <w:color w:val="auto"/>
        </w:rPr>
      </w:pPr>
    </w:p>
    <w:p>
      <w:pPr>
        <w:ind w:firstLine="345"/>
        <w:spacing w:after="0" w:line="277" w:lineRule="auto"/>
        <w:tabs>
          <w:tab w:leader="none" w:pos="61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shall pay as severance pay to you a severance payment (the "Unadjusted Severance Payment") equal to 2.99 times your "Base Amount" as such term is defined under Section 280G(b)(3) of the Code. Your Base Amount shall be determined in accordance with Section 280G(b)(3) of the Code and with the proposed, temporary or final regulations promulgated under that Section in effect, if any. In the absence of such regulations, if you were not employed by the Company (or any corporation affiliated with the Company (an "Affiliate") within the meaning of Section 1504 of the Code or a predecessor of the Company) during the entire five calendar years (the "Base Period") preceding the calendar year in which a Change in Control of the Company occurred, your average annual compensation for the purposes of such determination shall be the average of your annual compensation for both complete and partial calendar years during the Base Period during which you were so employed, determined by annualizing any compensation (other than nonrecurring items) includible in your gross income for any partial calendar year. For purposes of the preceding sentence, compensation payable to you by the Company or any Affiliate or predecessor of the Company shall include every type and form of compensation includible in your gross income in respect of your employment by the Company or any Affiliate or predecessor of the Company, including compensation income recognized as a result of your exercise of stock options or sale of the stock so acquired, except to the extent otherwise provided in proposed, temporary or final regulations promulgated under Section 280G of the Code defining base amount.</w:t>
      </w:r>
    </w:p>
    <w:p>
      <w:pPr>
        <w:spacing w:after="0" w:line="139" w:lineRule="exact"/>
        <w:rPr>
          <w:rFonts w:ascii="Arial" w:cs="Arial" w:eastAsia="Arial" w:hAnsi="Arial"/>
          <w:sz w:val="16"/>
          <w:szCs w:val="16"/>
          <w:color w:val="auto"/>
        </w:rPr>
      </w:pPr>
    </w:p>
    <w:p>
      <w:pPr>
        <w:ind w:right="20" w:firstLine="345"/>
        <w:spacing w:after="0" w:line="296" w:lineRule="auto"/>
        <w:tabs>
          <w:tab w:leader="none" w:pos="610" w:val="left"/>
        </w:tabs>
        <w:numPr>
          <w:ilvl w:val="1"/>
          <w:numId w:val="33"/>
        </w:numPr>
        <w:rPr>
          <w:rFonts w:ascii="Arial" w:cs="Arial" w:eastAsia="Arial" w:hAnsi="Arial"/>
          <w:sz w:val="15"/>
          <w:szCs w:val="15"/>
          <w:color w:val="auto"/>
        </w:rPr>
      </w:pPr>
      <w:r>
        <w:rPr>
          <w:rFonts w:ascii="Arial" w:cs="Arial" w:eastAsia="Arial" w:hAnsi="Arial"/>
          <w:sz w:val="15"/>
          <w:szCs w:val="15"/>
          <w:color w:val="auto"/>
        </w:rPr>
        <w:t>The Unadjusted Severance Payment shall not be reduced by the amount of any other payment or the value of any benefit received or to be received by you in connection with your termination of employment or contingent upon a Change in Control of the Company (whether payable pursuant to the terms of this Agreement or any other agreement, plan or arrangement with the Company or an Affiliate, predecessor or successor of the Company or any person whose actions result in a Change in Control of the Company or an Affiliate of such person) unless (1) in the opinion of tax counsel selected by the Company's Vice President-General Counsel and reasonably acceptable to you, such other payment or benefit constitutes a "parachute payment" within the meaning of Section 280G(b)(2) of the Code, and (2) in the opinion of such tax counsel, the Unadjusted Severance Payment plus all other payments or benefits which constitute "parachute payments" within the meaning of Section 280G(b)(2) of the Code would result in a portion of the Unadjusted Severance Payment being subject to the excise tax under Section 4999 of the Code. In such event, the amount of the Unadjusted Severance Payment shall be reduced by the minimum amount necessary such that no portion thereof will be subject to the excise tax under Section 4999 of the Code. The Unadjusted Severance Payment, as reduced, if at all, pursuant to the provisions of this paragraph shall be referred to as the Adjusted Severance Payment. In determining whether the Unadjusted Severance Payment shall be reduced under this paragraph, (i) there shall not be included in the computation any payment if you shall have effectively waived your receipt or enjoyment of such payment or benefit, and (ii) the value of any non-cash benefit or any deferred cash payment shall be determined by the Company's independent auditors in accordance with the principles of Sections 280G(d)(3) and (4) of the Code.</w:t>
      </w:r>
    </w:p>
    <w:p>
      <w:pPr>
        <w:spacing w:after="0" w:line="131" w:lineRule="exact"/>
        <w:rPr>
          <w:rFonts w:ascii="Arial" w:cs="Arial" w:eastAsia="Arial" w:hAnsi="Arial"/>
          <w:sz w:val="15"/>
          <w:szCs w:val="15"/>
          <w:color w:val="auto"/>
        </w:rPr>
      </w:pPr>
    </w:p>
    <w:p>
      <w:pPr>
        <w:ind w:left="620" w:hanging="275"/>
        <w:spacing w:after="0"/>
        <w:tabs>
          <w:tab w:leader="none" w:pos="6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Except to the extent that the payment thereof would subject any payment hereunder to the excise tax under Section 4999 of the Code:</w:t>
      </w:r>
    </w:p>
    <w:p>
      <w:pPr>
        <w:spacing w:after="0" w:line="197" w:lineRule="exact"/>
        <w:rPr>
          <w:sz w:val="20"/>
          <w:szCs w:val="20"/>
          <w:color w:val="auto"/>
        </w:rPr>
      </w:pPr>
    </w:p>
    <w:p>
      <w:pPr>
        <w:ind w:right="240" w:firstLine="345"/>
        <w:spacing w:after="0" w:line="269" w:lineRule="auto"/>
        <w:tabs>
          <w:tab w:leader="none" w:pos="58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shall also pay to you all legal fees and expenses reasonably incurred by you in connection with this Agreement (including all such fees and expenses, if any, incurred in contesting or disputing the nature of any such termination for purposes of this Agreement or in seeking to obtain or enforce any right or benefit provided by this Agreement); and</w:t>
      </w:r>
    </w:p>
    <w:p>
      <w:pPr>
        <w:spacing w:after="0" w:line="141" w:lineRule="exact"/>
        <w:rPr>
          <w:rFonts w:ascii="Arial" w:cs="Arial" w:eastAsia="Arial" w:hAnsi="Arial"/>
          <w:sz w:val="17"/>
          <w:szCs w:val="17"/>
          <w:color w:val="auto"/>
        </w:rPr>
      </w:pPr>
    </w:p>
    <w:p>
      <w:pPr>
        <w:jc w:val="both"/>
        <w:ind w:right="60" w:firstLine="345"/>
        <w:spacing w:after="0" w:line="294" w:lineRule="auto"/>
        <w:tabs>
          <w:tab w:leader="none" w:pos="581"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 a twenty-four (24) month period after termination of your employment, the Company shall arrange to provide you with life, disability, accident and health insurance benefits substantially similar to those which you are receiving or entitled to receive immediately prior to the Notice of Termination; provided, however, that this Agreement in no way diminishes any rights to those benefits to which you would be entitled if you were to retire as an employee of Minerals Technologies Inc.</w:t>
      </w:r>
    </w:p>
    <w:p>
      <w:pPr>
        <w:ind w:right="360"/>
        <w:spacing w:after="0" w:line="265" w:lineRule="auto"/>
        <w:rPr>
          <w:rFonts w:ascii="Arial" w:cs="Arial" w:eastAsia="Arial" w:hAnsi="Arial"/>
          <w:sz w:val="15"/>
          <w:szCs w:val="15"/>
          <w:color w:val="auto"/>
        </w:rPr>
      </w:pPr>
      <w:r>
        <w:rPr>
          <w:rFonts w:ascii="Arial" w:cs="Arial" w:eastAsia="Arial" w:hAnsi="Arial"/>
          <w:sz w:val="17"/>
          <w:szCs w:val="17"/>
          <w:color w:val="auto"/>
        </w:rPr>
        <w:t>Benefits otherwise receivable by you pursuant to this Section 4(iv)(D)(2) shall be reduced to the extent comparable benefits are actually provided to you by a subsequent employer during the twenty-four (24) month period following your termination, and any such benefits actually provided to you shall be reported to the Company.</w:t>
      </w:r>
    </w:p>
    <w:p>
      <w:pPr>
        <w:sectPr>
          <w:pgSz w:w="11900" w:h="16838" w:orient="portrait"/>
          <w:cols w:equalWidth="0" w:num="1">
            <w:col w:w="11420"/>
          </w:cols>
          <w:pgMar w:left="240" w:top="131" w:right="239" w:bottom="0" w:gutter="0" w:footer="0" w:header="0"/>
        </w:sectPr>
      </w:pPr>
    </w:p>
    <w:bookmarkStart w:id="49" w:name="page50"/>
    <w:bookmarkEnd w:id="49"/>
    <w:p>
      <w:pPr>
        <w:ind w:right="40" w:firstLine="345"/>
        <w:spacing w:after="0" w:line="279" w:lineRule="auto"/>
        <w:tabs>
          <w:tab w:leader="none" w:pos="6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it is established pursuant to a final determination of a court or an Internal Revenue Service proceeding that, notwithstanding the good faith of you and the Company in applying the terms of this Section 4(iv), the aggregate "parachute payments" paid to or for your benefit are in an amount that would result in any portion of such "parachute payments" being subject to the excise tax under Section 4999 of the Code, then you shall have an obligation to pay the Company upon demand an amount equal to the sum of (1) the excess of the aggregate "parachute payments" paid to or for your benefit over the aggregate "parachute payments" that would have been paid to or for your benefit without any portion of such "parachute payments" being subject to the excise tax under Section 4999 of the Code; and (2) interest on the amount set forth in clause (1) of this sentence at the applicable Federal rate (as defined in Section 1274(d) of the Code) from the date of your receipt of such excess until the date of such payment; provided, however, that in the event and to the extent that an excise tax is nevertheless imposed on said amount your obligation to pay said amount to the Company is hereby waived.</w:t>
      </w:r>
    </w:p>
    <w:p>
      <w:pPr>
        <w:spacing w:after="0" w:line="135" w:lineRule="exact"/>
        <w:rPr>
          <w:rFonts w:ascii="Arial" w:cs="Arial" w:eastAsia="Arial" w:hAnsi="Arial"/>
          <w:sz w:val="16"/>
          <w:szCs w:val="16"/>
          <w:color w:val="auto"/>
        </w:rPr>
      </w:pPr>
    </w:p>
    <w:p>
      <w:pPr>
        <w:ind w:firstLine="345"/>
        <w:spacing w:after="0" w:line="269" w:lineRule="auto"/>
        <w:tabs>
          <w:tab w:leader="none" w:pos="591" w:val="left"/>
        </w:tabs>
        <w:numPr>
          <w:ilvl w:val="1"/>
          <w:numId w:val="35"/>
        </w:numPr>
        <w:rPr>
          <w:rFonts w:ascii="Arial" w:cs="Arial" w:eastAsia="Arial" w:hAnsi="Arial"/>
          <w:sz w:val="17"/>
          <w:szCs w:val="17"/>
          <w:color w:val="auto"/>
        </w:rPr>
      </w:pPr>
      <w:r>
        <w:rPr>
          <w:rFonts w:ascii="Arial" w:cs="Arial" w:eastAsia="Arial" w:hAnsi="Arial"/>
          <w:sz w:val="17"/>
          <w:szCs w:val="17"/>
          <w:color w:val="auto"/>
        </w:rPr>
        <w:t>You shall not be required to mitigate the amount of any payment provided for in this Section 4 by seeking other employment or otherwise, nor shall the amount of any payment or benefit provided for in this Section 4 be reduced by any compensation earned by you as the result of employment by another employer or by retirement benefits received after the Date of Termination or otherwise, except as specifically provided in this Section 4.</w:t>
      </w:r>
    </w:p>
    <w:p>
      <w:pPr>
        <w:spacing w:after="0" w:line="154" w:lineRule="exact"/>
        <w:rPr>
          <w:rFonts w:ascii="Arial" w:cs="Arial" w:eastAsia="Arial" w:hAnsi="Arial"/>
          <w:sz w:val="17"/>
          <w:szCs w:val="17"/>
          <w:color w:val="auto"/>
        </w:rPr>
      </w:pPr>
    </w:p>
    <w:p>
      <w:pPr>
        <w:ind w:firstLine="345"/>
        <w:spacing w:after="0" w:line="260" w:lineRule="auto"/>
        <w:tabs>
          <w:tab w:leader="none" w:pos="619"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Company shall pay you the Unadjusted Severance Payment in a lump sum no later than the fifth day following the Date of Termination; provided, however, that if the Company in good faith believes that the Unadjusted Severance Payment shall be reduced under the provisions of Section 4(iv)(C) hereof, the Company shall pay to you at such time a good faith estimate of the Adjusted Severance Payment (the "Estimated Adjusted Severance Payment," the computation of which shall be given to you in writing together with a written explanation of the basis for making such adjustment) which amount shall in no event be less than 50% of the Unadjusted Severance Payment. The Company shall, within 60 days of the Date of Termination, either pay to you the balance of the Unadjusted Severance Payment together with interest thereon at the applicable Federal rate (as defined in Section 1274(d) of the Code) or deliver to you a copy of the opinion of the tax counsel referred to in Section 4(iv)(C) hereof establishing the amount of the Adjusted Severance Payment. If the Adjusted Severance Payment exceeds the Estimated Adjusted Severance Payment, the difference shall be paid to you at such time together with interest thereon at the applicable Federal rate (as defined in Section 1274(d) of the Code).</w:t>
      </w:r>
    </w:p>
    <w:p>
      <w:pPr>
        <w:spacing w:after="0" w:line="149" w:lineRule="exact"/>
        <w:rPr>
          <w:rFonts w:ascii="Arial" w:cs="Arial" w:eastAsia="Arial" w:hAnsi="Arial"/>
          <w:sz w:val="17"/>
          <w:szCs w:val="17"/>
          <w:color w:val="auto"/>
        </w:rPr>
      </w:pPr>
    </w:p>
    <w:p>
      <w:pPr>
        <w:ind w:left="340" w:hanging="165"/>
        <w:spacing w:after="0"/>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w:t>
      </w:r>
    </w:p>
    <w:p>
      <w:pPr>
        <w:spacing w:after="0" w:line="184" w:lineRule="exact"/>
        <w:rPr>
          <w:sz w:val="20"/>
          <w:szCs w:val="20"/>
          <w:color w:val="auto"/>
        </w:rPr>
      </w:pPr>
    </w:p>
    <w:p>
      <w:pPr>
        <w:ind w:right="40" w:firstLine="175"/>
        <w:spacing w:after="0" w:line="301" w:lineRule="auto"/>
        <w:tabs>
          <w:tab w:leader="none" w:pos="373"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is required to perform it. Failure of the Company to obtain such assumption and agreement prior to the effectiveness of any such succession shall be a breach of this Agreement and shall entitle you to compensation from the Company in the same amount and on the same terms as you would be entitled hereunder if you had terminated your employment for Good Reason following a Change in Control, except that for purposes of implementing the foregoing, the date on which any such succession becomes effective shall be deemed the Date of Termination. As used in this Agreement, "Company" shall mean the Company as hereinbefore defined and any successor to its business and/or assets as aforesaid which assumes and agrees to perform this Agreement by operation of law, or otherwise.</w:t>
      </w:r>
    </w:p>
    <w:p>
      <w:pPr>
        <w:spacing w:after="0" w:line="135" w:lineRule="exact"/>
        <w:rPr>
          <w:rFonts w:ascii="Arial" w:cs="Arial" w:eastAsia="Arial" w:hAnsi="Arial"/>
          <w:sz w:val="15"/>
          <w:szCs w:val="15"/>
          <w:color w:val="auto"/>
        </w:rPr>
      </w:pPr>
    </w:p>
    <w:p>
      <w:pPr>
        <w:ind w:right="180" w:firstLine="175"/>
        <w:spacing w:after="0" w:line="265" w:lineRule="auto"/>
        <w:tabs>
          <w:tab w:leader="none" w:pos="42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your personal or legal representatives, executors, administrators, successors, heirs, distributees, devisees and legatees. If you should die while any amount would still be payable to you hereunder if you had continued to live, all such amounts, unless otherwise provided herein, shall be paid in accordance with the terms of this Agreement to your devisee, legatee or other designee or, if there is no such designee, to your estate.</w:t>
      </w:r>
    </w:p>
    <w:p>
      <w:pPr>
        <w:spacing w:after="0" w:line="145" w:lineRule="exact"/>
        <w:rPr>
          <w:sz w:val="20"/>
          <w:szCs w:val="20"/>
          <w:color w:val="auto"/>
        </w:rPr>
      </w:pPr>
    </w:p>
    <w:p>
      <w:pPr>
        <w:ind w:right="40" w:firstLine="175"/>
        <w:spacing w:after="0" w:line="263"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For the purpose of this Agreement, notices and all other communications provided for in this Agreement shall be in writing and shall be deemed to have been duly given when delivered or mailed by United States registered mail, return receipt requested, postage prepaid, addressed to the respective addresses set forth on the first page of this Agreement, provided that all notices to the Company shall be directed to the attention of the Office of the Vice President-General Counsel of the Company, or to such other address as either party may have furnished to the other in writing in accordance herewith, except that notice of change of address shall be effective only upon receipt.</w:t>
      </w:r>
    </w:p>
    <w:p>
      <w:pPr>
        <w:spacing w:after="0" w:line="146" w:lineRule="exact"/>
        <w:rPr>
          <w:rFonts w:ascii="Arial" w:cs="Arial" w:eastAsia="Arial" w:hAnsi="Arial"/>
          <w:sz w:val="17"/>
          <w:szCs w:val="17"/>
          <w:color w:val="auto"/>
        </w:rPr>
      </w:pPr>
    </w:p>
    <w:p>
      <w:pPr>
        <w:ind w:right="60" w:firstLine="175"/>
        <w:spacing w:after="0" w:line="300"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No provision of this Agreement may be modified, waived or discharged unless such waiver, modification or discharge is agreed to in writing and signed by you and such officer as may be specifically designated by the Board. No waiver by either party hereto at any time of any breach by the other party hereto of, or compliance with, any conditions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Agreement. The validity, interpretation, construction and performance of this Agreement shall be governed by the laws of the State of New York, including Section 198 (1-a) of the New York Labor Law. All references to sections of the Code shall be deemed also to refer to any successor provisions to such sections. Any payments provided for hereunder shall be paid net of any applicable withholding required under federal, state or local law. The obligations of the Company under Section 4 shall survive the expiration of the term of this Agreement.</w:t>
      </w:r>
    </w:p>
    <w:p>
      <w:pPr>
        <w:spacing w:after="0" w:line="134" w:lineRule="exact"/>
        <w:rPr>
          <w:rFonts w:ascii="Arial" w:cs="Arial" w:eastAsia="Arial" w:hAnsi="Arial"/>
          <w:sz w:val="15"/>
          <w:szCs w:val="15"/>
          <w:color w:val="auto"/>
        </w:rPr>
      </w:pPr>
    </w:p>
    <w:p>
      <w:pPr>
        <w:ind w:right="660" w:firstLine="175"/>
        <w:spacing w:after="0" w:line="282"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Validity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which shall remain in full force and effect.</w:t>
      </w:r>
    </w:p>
    <w:p>
      <w:pPr>
        <w:spacing w:after="0" w:line="129" w:lineRule="exact"/>
        <w:rPr>
          <w:rFonts w:ascii="Arial" w:cs="Arial" w:eastAsia="Arial" w:hAnsi="Arial"/>
          <w:sz w:val="17"/>
          <w:szCs w:val="17"/>
          <w:color w:val="auto"/>
        </w:rPr>
      </w:pPr>
    </w:p>
    <w:p>
      <w:pPr>
        <w:ind w:right="180" w:firstLine="175"/>
        <w:spacing w:after="0" w:line="282"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several counterparts, each of which shall be deemed to be an original but all of which together will constitute one and the same instrument.</w:t>
      </w:r>
    </w:p>
    <w:p>
      <w:pPr>
        <w:spacing w:after="0" w:line="129" w:lineRule="exact"/>
        <w:rPr>
          <w:rFonts w:ascii="Arial" w:cs="Arial" w:eastAsia="Arial" w:hAnsi="Arial"/>
          <w:sz w:val="17"/>
          <w:szCs w:val="17"/>
          <w:color w:val="auto"/>
        </w:rPr>
      </w:pPr>
    </w:p>
    <w:p>
      <w:pPr>
        <w:ind w:right="120" w:firstLine="175"/>
        <w:spacing w:after="0" w:line="265" w:lineRule="auto"/>
        <w:tabs>
          <w:tab w:leader="none" w:pos="426"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dispute or controversy arising under or in connection with this Agreement shall be settled exclusively by arbitration in accordance with the rules of the American Arbitration Association then in effect. Judgment may be entered on the arbitrator's award in any court having jurisdiction; provided, however, that you shall be entitled to seek specific performance of your right to be paid until the Date of Termination during the pendency of any dispute or controversy arising under or in connection with this Agreement.</w:t>
      </w:r>
    </w:p>
    <w:p>
      <w:pPr>
        <w:spacing w:after="0" w:line="158"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If this letter sets forth our agreement on the subject matter hereof, kindly sign and return to the Company the enclosed copy of this letter which will then constitute our agreement on this subject.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__________________________</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Paul R. Saueracker</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Agreed to as of the _____day of ________, 200_____.</w:t>
      </w:r>
    </w:p>
    <w:p>
      <w:pPr>
        <w:sectPr>
          <w:pgSz w:w="11900" w:h="16838" w:orient="portrait"/>
          <w:cols w:equalWidth="0" w:num="1">
            <w:col w:w="11420"/>
          </w:cols>
          <w:pgMar w:left="240" w:top="131" w:right="239" w:bottom="0" w:gutter="0" w:footer="0" w:header="0"/>
        </w:sectPr>
      </w:pPr>
    </w:p>
    <w:bookmarkStart w:id="50" w:name="page51"/>
    <w:bookmarkEnd w:id="50"/>
    <w:p>
      <w:pPr>
        <w:spacing w:after="0"/>
        <w:rPr>
          <w:sz w:val="20"/>
          <w:szCs w:val="20"/>
          <w:color w:val="auto"/>
        </w:rPr>
      </w:pPr>
      <w:r>
        <w:rPr>
          <w:rFonts w:ascii="Arial" w:cs="Arial" w:eastAsia="Arial" w:hAnsi="Arial"/>
          <w:sz w:val="15"/>
          <w:szCs w:val="15"/>
          <w:color w:val="auto"/>
        </w:rPr>
        <w:t>_____________________________</w:t>
      </w:r>
    </w:p>
    <w:p>
      <w:pPr>
        <w:sectPr>
          <w:pgSz w:w="11900" w:h="16838" w:orient="portrait"/>
          <w:cols w:equalWidth="0" w:num="1">
            <w:col w:w="10219"/>
          </w:cols>
          <w:pgMar w:left="240" w:top="511" w:right="1440" w:bottom="1440" w:gutter="0" w:footer="0" w:header="0"/>
        </w:sectPr>
      </w:pPr>
    </w:p>
    <w:bookmarkStart w:id="51" w:name="page52"/>
    <w:bookmarkEnd w:id="51"/>
    <w:p>
      <w:pPr>
        <w:ind w:left="9480"/>
        <w:spacing w:after="0"/>
        <w:rPr>
          <w:sz w:val="20"/>
          <w:szCs w:val="20"/>
          <w:color w:val="auto"/>
        </w:rPr>
      </w:pPr>
      <w:r>
        <w:rPr>
          <w:rFonts w:ascii="Arial" w:cs="Arial" w:eastAsia="Arial" w:hAnsi="Arial"/>
          <w:sz w:val="17"/>
          <w:szCs w:val="17"/>
          <w:b w:val="1"/>
          <w:bCs w:val="1"/>
          <w:color w:val="auto"/>
        </w:rPr>
        <w:t>EXHIBIT 10.6(a)</w:t>
      </w:r>
    </w:p>
    <w:p>
      <w:pPr>
        <w:spacing w:after="0" w:line="188" w:lineRule="exact"/>
        <w:rPr>
          <w:sz w:val="20"/>
          <w:szCs w:val="20"/>
          <w:color w:val="auto"/>
        </w:rPr>
      </w:pPr>
    </w:p>
    <w:p>
      <w:pPr>
        <w:ind w:right="60" w:firstLine="213"/>
        <w:spacing w:after="0" w:line="282" w:lineRule="auto"/>
        <w:rPr>
          <w:sz w:val="20"/>
          <w:szCs w:val="20"/>
          <w:color w:val="auto"/>
        </w:rPr>
      </w:pPr>
      <w:r>
        <w:rPr>
          <w:rFonts w:ascii="Arial" w:cs="Arial" w:eastAsia="Arial" w:hAnsi="Arial"/>
          <w:sz w:val="17"/>
          <w:szCs w:val="17"/>
          <w:color w:val="auto"/>
        </w:rPr>
        <w:t>Severance Agreements have been executed by the Company and the indicated employees, each substantially identical in all material respects to the following Form of Severance Agreement except as noted below.</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700" w:type="dxa"/>
            <w:vAlign w:val="bottom"/>
          </w:tcPr>
          <w:p>
            <w:pPr>
              <w:ind w:left="840"/>
              <w:spacing w:after="0"/>
              <w:rPr>
                <w:sz w:val="20"/>
                <w:szCs w:val="20"/>
                <w:color w:val="auto"/>
              </w:rPr>
            </w:pPr>
            <w:r>
              <w:rPr>
                <w:rFonts w:ascii="Arial" w:cs="Arial" w:eastAsia="Arial" w:hAnsi="Arial"/>
                <w:sz w:val="17"/>
                <w:szCs w:val="17"/>
                <w:b w:val="1"/>
                <w:bCs w:val="1"/>
                <w:color w:val="auto"/>
              </w:rPr>
              <w:t>EMPLOYEE</w:t>
            </w:r>
          </w:p>
        </w:tc>
        <w:tc>
          <w:tcPr>
            <w:tcW w:w="60" w:type="dxa"/>
            <w:vAlign w:val="bottom"/>
          </w:tcPr>
          <w:p>
            <w:pPr>
              <w:spacing w:after="0"/>
              <w:rPr>
                <w:sz w:val="19"/>
                <w:szCs w:val="19"/>
                <w:color w:val="auto"/>
              </w:rPr>
            </w:pPr>
          </w:p>
        </w:tc>
        <w:tc>
          <w:tcPr>
            <w:tcW w:w="2840" w:type="dxa"/>
            <w:vAlign w:val="bottom"/>
          </w:tcPr>
          <w:p>
            <w:pPr>
              <w:ind w:left="1000"/>
              <w:spacing w:after="0"/>
              <w:rPr>
                <w:sz w:val="20"/>
                <w:szCs w:val="20"/>
                <w:color w:val="auto"/>
              </w:rPr>
            </w:pPr>
            <w:r>
              <w:rPr>
                <w:rFonts w:ascii="Arial" w:cs="Arial" w:eastAsia="Arial" w:hAnsi="Arial"/>
                <w:sz w:val="17"/>
                <w:szCs w:val="17"/>
                <w:b w:val="1"/>
                <w:bCs w:val="1"/>
                <w:color w:val="auto"/>
              </w:rPr>
              <w:t>POSITION</w:t>
            </w:r>
          </w:p>
        </w:tc>
        <w:tc>
          <w:tcPr>
            <w:tcW w:w="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DATE OF AGREEMENT</w:t>
            </w:r>
          </w:p>
        </w:tc>
        <w:tc>
          <w:tcPr>
            <w:tcW w:w="4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Borders>
              <w:bottom w:val="single" w:sz="8" w:color="9A9A9A"/>
            </w:tcBorders>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Borders>
              <w:bottom w:val="single" w:sz="8" w:color="9A9A9A"/>
            </w:tcBorders>
          </w:tcPr>
          <w:p>
            <w:pPr>
              <w:spacing w:after="0"/>
              <w:rPr>
                <w:sz w:val="18"/>
                <w:szCs w:val="18"/>
                <w:color w:val="auto"/>
              </w:rPr>
            </w:pPr>
          </w:p>
        </w:tc>
        <w:tc>
          <w:tcPr>
            <w:tcW w:w="40" w:type="dxa"/>
            <w:vAlign w:val="bottom"/>
          </w:tcPr>
          <w:p>
            <w:pPr>
              <w:spacing w:after="0"/>
              <w:rPr>
                <w:sz w:val="18"/>
                <w:szCs w:val="18"/>
                <w:color w:val="auto"/>
              </w:rPr>
            </w:pPr>
          </w:p>
        </w:tc>
      </w:tr>
      <w:tr>
        <w:trPr>
          <w:trHeight w:val="131"/>
        </w:trPr>
        <w:tc>
          <w:tcPr>
            <w:tcW w:w="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27"/>
        </w:trPr>
        <w:tc>
          <w:tcPr>
            <w:tcW w:w="40" w:type="dxa"/>
            <w:vAlign w:val="bottom"/>
            <w:shd w:val="clear" w:color="auto" w:fill="C0C0C0"/>
          </w:tcPr>
          <w:p>
            <w:pPr>
              <w:spacing w:after="0"/>
              <w:rPr>
                <w:sz w:val="19"/>
                <w:szCs w:val="19"/>
                <w:color w:val="auto"/>
              </w:rPr>
            </w:pPr>
          </w:p>
        </w:tc>
        <w:tc>
          <w:tcPr>
            <w:tcW w:w="2700" w:type="dxa"/>
            <w:vAlign w:val="bottom"/>
            <w:shd w:val="clear" w:color="auto" w:fill="C0C0C0"/>
          </w:tcPr>
          <w:p>
            <w:pPr>
              <w:ind w:left="280"/>
              <w:spacing w:after="0"/>
              <w:rPr>
                <w:sz w:val="20"/>
                <w:szCs w:val="20"/>
                <w:color w:val="auto"/>
              </w:rPr>
            </w:pPr>
            <w:r>
              <w:rPr>
                <w:rFonts w:ascii="Arial" w:cs="Arial" w:eastAsia="Arial" w:hAnsi="Arial"/>
                <w:sz w:val="17"/>
                <w:szCs w:val="17"/>
                <w:color w:val="auto"/>
              </w:rPr>
              <w:t>Michael A. Cipolla</w:t>
            </w:r>
          </w:p>
        </w:tc>
        <w:tc>
          <w:tcPr>
            <w:tcW w:w="60" w:type="dxa"/>
            <w:vAlign w:val="bottom"/>
            <w:shd w:val="clear" w:color="auto" w:fill="C0C0C0"/>
          </w:tcPr>
          <w:p>
            <w:pPr>
              <w:spacing w:after="0"/>
              <w:rPr>
                <w:sz w:val="19"/>
                <w:szCs w:val="19"/>
                <w:color w:val="auto"/>
              </w:rPr>
            </w:pPr>
          </w:p>
        </w:tc>
        <w:tc>
          <w:tcPr>
            <w:tcW w:w="2840" w:type="dxa"/>
            <w:vAlign w:val="bottom"/>
            <w:shd w:val="clear" w:color="auto" w:fill="C0C0C0"/>
          </w:tcPr>
          <w:p>
            <w:pPr>
              <w:ind w:left="240"/>
              <w:spacing w:after="0"/>
              <w:rPr>
                <w:sz w:val="20"/>
                <w:szCs w:val="20"/>
                <w:color w:val="auto"/>
              </w:rPr>
            </w:pPr>
            <w:r>
              <w:rPr>
                <w:rFonts w:ascii="Arial" w:cs="Arial" w:eastAsia="Arial" w:hAnsi="Arial"/>
                <w:sz w:val="17"/>
                <w:szCs w:val="17"/>
                <w:color w:val="auto"/>
              </w:rPr>
              <w:t>Controller and Chief</w:t>
            </w:r>
          </w:p>
        </w:tc>
        <w:tc>
          <w:tcPr>
            <w:tcW w:w="60" w:type="dxa"/>
            <w:vAlign w:val="bottom"/>
            <w:shd w:val="clear" w:color="auto" w:fill="C0C0C0"/>
          </w:tcPr>
          <w:p>
            <w:pPr>
              <w:spacing w:after="0"/>
              <w:rPr>
                <w:sz w:val="19"/>
                <w:szCs w:val="19"/>
                <w:color w:val="auto"/>
              </w:rPr>
            </w:pPr>
          </w:p>
        </w:tc>
        <w:tc>
          <w:tcPr>
            <w:tcW w:w="2600" w:type="dxa"/>
            <w:vAlign w:val="bottom"/>
            <w:shd w:val="clear" w:color="auto" w:fill="C0C0C0"/>
          </w:tcPr>
          <w:p>
            <w:pPr>
              <w:ind w:left="800"/>
              <w:spacing w:after="0"/>
              <w:rPr>
                <w:sz w:val="20"/>
                <w:szCs w:val="20"/>
                <w:color w:val="auto"/>
              </w:rPr>
            </w:pPr>
            <w:r>
              <w:rPr>
                <w:rFonts w:ascii="Arial" w:cs="Arial" w:eastAsia="Arial" w:hAnsi="Arial"/>
                <w:sz w:val="17"/>
                <w:szCs w:val="17"/>
                <w:color w:val="auto"/>
              </w:rPr>
              <w:t>March 1, 2001</w:t>
            </w:r>
          </w:p>
        </w:tc>
        <w:tc>
          <w:tcPr>
            <w:tcW w:w="40" w:type="dxa"/>
            <w:vAlign w:val="bottom"/>
            <w:shd w:val="clear" w:color="auto" w:fill="C0C0C0"/>
          </w:tcPr>
          <w:p>
            <w:pPr>
              <w:spacing w:after="0"/>
              <w:rPr>
                <w:sz w:val="19"/>
                <w:szCs w:val="19"/>
                <w:color w:val="auto"/>
              </w:rPr>
            </w:pPr>
          </w:p>
        </w:tc>
      </w:tr>
      <w:tr>
        <w:trPr>
          <w:trHeight w:val="216"/>
        </w:trPr>
        <w:tc>
          <w:tcPr>
            <w:tcW w:w="40" w:type="dxa"/>
            <w:vAlign w:val="bottom"/>
            <w:shd w:val="clear" w:color="auto" w:fill="C0C0C0"/>
          </w:tcPr>
          <w:p>
            <w:pPr>
              <w:spacing w:after="0"/>
              <w:rPr>
                <w:sz w:val="18"/>
                <w:szCs w:val="18"/>
                <w:color w:val="auto"/>
              </w:rPr>
            </w:pPr>
          </w:p>
        </w:tc>
        <w:tc>
          <w:tcPr>
            <w:tcW w:w="270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2840" w:type="dxa"/>
            <w:vAlign w:val="bottom"/>
            <w:shd w:val="clear" w:color="auto" w:fill="C0C0C0"/>
          </w:tcPr>
          <w:p>
            <w:pPr>
              <w:ind w:left="380"/>
              <w:spacing w:after="0"/>
              <w:rPr>
                <w:sz w:val="20"/>
                <w:szCs w:val="20"/>
                <w:color w:val="auto"/>
              </w:rPr>
            </w:pPr>
            <w:r>
              <w:rPr>
                <w:rFonts w:ascii="Arial" w:cs="Arial" w:eastAsia="Arial" w:hAnsi="Arial"/>
                <w:sz w:val="17"/>
                <w:szCs w:val="17"/>
                <w:color w:val="auto"/>
              </w:rPr>
              <w:t>Accounting Officer</w:t>
            </w:r>
          </w:p>
        </w:tc>
        <w:tc>
          <w:tcPr>
            <w:tcW w:w="60" w:type="dxa"/>
            <w:vAlign w:val="bottom"/>
            <w:shd w:val="clear" w:color="auto" w:fill="C0C0C0"/>
          </w:tcPr>
          <w:p>
            <w:pPr>
              <w:spacing w:after="0"/>
              <w:rPr>
                <w:sz w:val="18"/>
                <w:szCs w:val="18"/>
                <w:color w:val="auto"/>
              </w:rPr>
            </w:pPr>
          </w:p>
        </w:tc>
        <w:tc>
          <w:tcPr>
            <w:tcW w:w="260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r>
      <w:tr>
        <w:trPr>
          <w:trHeight w:val="120"/>
        </w:trPr>
        <w:tc>
          <w:tcPr>
            <w:tcW w:w="40" w:type="dxa"/>
            <w:vAlign w:val="bottom"/>
            <w:shd w:val="clear" w:color="auto" w:fill="C0C0C0"/>
          </w:tcPr>
          <w:p>
            <w:pPr>
              <w:spacing w:after="0"/>
              <w:rPr>
                <w:sz w:val="10"/>
                <w:szCs w:val="10"/>
                <w:color w:val="auto"/>
              </w:rPr>
            </w:pPr>
          </w:p>
        </w:tc>
        <w:tc>
          <w:tcPr>
            <w:tcW w:w="2700" w:type="dxa"/>
            <w:vAlign w:val="bottom"/>
            <w:shd w:val="clear" w:color="auto" w:fill="C0C0C0"/>
          </w:tcPr>
          <w:p>
            <w:pPr>
              <w:spacing w:after="0"/>
              <w:rPr>
                <w:sz w:val="10"/>
                <w:szCs w:val="10"/>
                <w:color w:val="auto"/>
              </w:rPr>
            </w:pPr>
          </w:p>
        </w:tc>
        <w:tc>
          <w:tcPr>
            <w:tcW w:w="60" w:type="dxa"/>
            <w:vAlign w:val="bottom"/>
            <w:shd w:val="clear" w:color="auto" w:fill="C0C0C0"/>
          </w:tcPr>
          <w:p>
            <w:pPr>
              <w:spacing w:after="0"/>
              <w:rPr>
                <w:sz w:val="10"/>
                <w:szCs w:val="10"/>
                <w:color w:val="auto"/>
              </w:rPr>
            </w:pPr>
          </w:p>
        </w:tc>
        <w:tc>
          <w:tcPr>
            <w:tcW w:w="2840" w:type="dxa"/>
            <w:vAlign w:val="bottom"/>
            <w:shd w:val="clear" w:color="auto" w:fill="C0C0C0"/>
          </w:tcPr>
          <w:p>
            <w:pPr>
              <w:spacing w:after="0"/>
              <w:rPr>
                <w:sz w:val="10"/>
                <w:szCs w:val="10"/>
                <w:color w:val="auto"/>
              </w:rPr>
            </w:pPr>
          </w:p>
        </w:tc>
        <w:tc>
          <w:tcPr>
            <w:tcW w:w="60" w:type="dxa"/>
            <w:vAlign w:val="bottom"/>
            <w:shd w:val="clear" w:color="auto" w:fill="C0C0C0"/>
          </w:tcPr>
          <w:p>
            <w:pPr>
              <w:spacing w:after="0"/>
              <w:rPr>
                <w:sz w:val="10"/>
                <w:szCs w:val="10"/>
                <w:color w:val="auto"/>
              </w:rPr>
            </w:pPr>
          </w:p>
        </w:tc>
        <w:tc>
          <w:tcPr>
            <w:tcW w:w="2600" w:type="dxa"/>
            <w:vAlign w:val="bottom"/>
            <w:shd w:val="clear" w:color="auto" w:fill="C0C0C0"/>
          </w:tcPr>
          <w:p>
            <w:pPr>
              <w:spacing w:after="0"/>
              <w:rPr>
                <w:sz w:val="10"/>
                <w:szCs w:val="10"/>
                <w:color w:val="auto"/>
              </w:rPr>
            </w:pPr>
          </w:p>
        </w:tc>
        <w:tc>
          <w:tcPr>
            <w:tcW w:w="40" w:type="dxa"/>
            <w:vAlign w:val="bottom"/>
            <w:shd w:val="clear" w:color="auto" w:fill="C0C0C0"/>
          </w:tcPr>
          <w:p>
            <w:pPr>
              <w:spacing w:after="0"/>
              <w:rPr>
                <w:sz w:val="10"/>
                <w:szCs w:val="10"/>
                <w:color w:val="auto"/>
              </w:rPr>
            </w:pPr>
          </w:p>
        </w:tc>
      </w:tr>
      <w:tr>
        <w:trPr>
          <w:trHeight w:val="233"/>
        </w:trPr>
        <w:tc>
          <w:tcPr>
            <w:tcW w:w="40" w:type="dxa"/>
            <w:vAlign w:val="bottom"/>
          </w:tcPr>
          <w:p>
            <w:pPr>
              <w:spacing w:after="0"/>
              <w:rPr>
                <w:sz w:val="20"/>
                <w:szCs w:val="20"/>
                <w:color w:val="auto"/>
              </w:rPr>
            </w:pPr>
          </w:p>
        </w:tc>
        <w:tc>
          <w:tcPr>
            <w:tcW w:w="2700" w:type="dxa"/>
            <w:vAlign w:val="bottom"/>
          </w:tcPr>
          <w:p>
            <w:pPr>
              <w:ind w:left="280"/>
              <w:spacing w:after="0"/>
              <w:rPr>
                <w:sz w:val="20"/>
                <w:szCs w:val="20"/>
                <w:color w:val="auto"/>
              </w:rPr>
            </w:pPr>
            <w:r>
              <w:rPr>
                <w:rFonts w:ascii="Arial" w:cs="Arial" w:eastAsia="Arial" w:hAnsi="Arial"/>
                <w:sz w:val="17"/>
                <w:szCs w:val="17"/>
                <w:color w:val="auto"/>
              </w:rPr>
              <w:t>William Kromberg</w:t>
            </w:r>
          </w:p>
        </w:tc>
        <w:tc>
          <w:tcPr>
            <w:tcW w:w="60" w:type="dxa"/>
            <w:vAlign w:val="bottom"/>
          </w:tcPr>
          <w:p>
            <w:pPr>
              <w:spacing w:after="0"/>
              <w:rPr>
                <w:sz w:val="20"/>
                <w:szCs w:val="20"/>
                <w:color w:val="auto"/>
              </w:rPr>
            </w:pPr>
          </w:p>
        </w:tc>
        <w:tc>
          <w:tcPr>
            <w:tcW w:w="2840" w:type="dxa"/>
            <w:vAlign w:val="bottom"/>
          </w:tcPr>
          <w:p>
            <w:pPr>
              <w:ind w:left="240"/>
              <w:spacing w:after="0"/>
              <w:rPr>
                <w:sz w:val="20"/>
                <w:szCs w:val="20"/>
                <w:color w:val="auto"/>
              </w:rPr>
            </w:pPr>
            <w:r>
              <w:rPr>
                <w:rFonts w:ascii="Arial" w:cs="Arial" w:eastAsia="Arial" w:hAnsi="Arial"/>
                <w:sz w:val="17"/>
                <w:szCs w:val="17"/>
                <w:color w:val="auto"/>
              </w:rPr>
              <w:t>Vice President - Taxes</w:t>
            </w:r>
          </w:p>
        </w:tc>
        <w:tc>
          <w:tcPr>
            <w:tcW w:w="60" w:type="dxa"/>
            <w:vAlign w:val="bottom"/>
          </w:tcPr>
          <w:p>
            <w:pPr>
              <w:spacing w:after="0"/>
              <w:rPr>
                <w:sz w:val="20"/>
                <w:szCs w:val="20"/>
                <w:color w:val="auto"/>
              </w:rPr>
            </w:pPr>
          </w:p>
        </w:tc>
        <w:tc>
          <w:tcPr>
            <w:tcW w:w="2600" w:type="dxa"/>
            <w:vAlign w:val="bottom"/>
          </w:tcPr>
          <w:p>
            <w:pPr>
              <w:ind w:left="800"/>
              <w:spacing w:after="0"/>
              <w:rPr>
                <w:sz w:val="20"/>
                <w:szCs w:val="20"/>
                <w:color w:val="auto"/>
              </w:rPr>
            </w:pPr>
            <w:r>
              <w:rPr>
                <w:rFonts w:ascii="Arial" w:cs="Arial" w:eastAsia="Arial" w:hAnsi="Arial"/>
                <w:sz w:val="17"/>
                <w:szCs w:val="17"/>
                <w:color w:val="auto"/>
              </w:rPr>
              <w:t>March 1, 2001</w:t>
            </w:r>
          </w:p>
        </w:tc>
        <w:tc>
          <w:tcPr>
            <w:tcW w:w="40" w:type="dxa"/>
            <w:vAlign w:val="bottom"/>
          </w:tcPr>
          <w:p>
            <w:pPr>
              <w:spacing w:after="0"/>
              <w:rPr>
                <w:sz w:val="20"/>
                <w:szCs w:val="20"/>
                <w:color w:val="auto"/>
              </w:rPr>
            </w:pPr>
          </w:p>
        </w:tc>
      </w:tr>
      <w:tr>
        <w:trPr>
          <w:trHeight w:val="330"/>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40" w:type="dxa"/>
            <w:vAlign w:val="bottom"/>
            <w:shd w:val="clear" w:color="auto" w:fill="C0C0C0"/>
          </w:tcPr>
          <w:p>
            <w:pPr>
              <w:spacing w:after="0"/>
              <w:rPr>
                <w:sz w:val="19"/>
                <w:szCs w:val="19"/>
                <w:color w:val="auto"/>
              </w:rPr>
            </w:pPr>
          </w:p>
        </w:tc>
        <w:tc>
          <w:tcPr>
            <w:tcW w:w="2700" w:type="dxa"/>
            <w:vAlign w:val="bottom"/>
            <w:shd w:val="clear" w:color="auto" w:fill="C0C0C0"/>
          </w:tcPr>
          <w:p>
            <w:pPr>
              <w:ind w:left="280"/>
              <w:spacing w:after="0"/>
              <w:rPr>
                <w:sz w:val="20"/>
                <w:szCs w:val="20"/>
                <w:color w:val="auto"/>
              </w:rPr>
            </w:pPr>
            <w:r>
              <w:rPr>
                <w:rFonts w:ascii="Arial" w:cs="Arial" w:eastAsia="Arial" w:hAnsi="Arial"/>
                <w:sz w:val="17"/>
                <w:szCs w:val="17"/>
                <w:color w:val="auto"/>
              </w:rPr>
              <w:t>S. Garrett Gray</w:t>
            </w:r>
          </w:p>
        </w:tc>
        <w:tc>
          <w:tcPr>
            <w:tcW w:w="60" w:type="dxa"/>
            <w:vAlign w:val="bottom"/>
            <w:shd w:val="clear" w:color="auto" w:fill="C0C0C0"/>
          </w:tcPr>
          <w:p>
            <w:pPr>
              <w:spacing w:after="0"/>
              <w:rPr>
                <w:sz w:val="19"/>
                <w:szCs w:val="19"/>
                <w:color w:val="auto"/>
              </w:rPr>
            </w:pPr>
          </w:p>
        </w:tc>
        <w:tc>
          <w:tcPr>
            <w:tcW w:w="2840" w:type="dxa"/>
            <w:vAlign w:val="bottom"/>
            <w:shd w:val="clear" w:color="auto" w:fill="C0C0C0"/>
          </w:tcPr>
          <w:p>
            <w:pPr>
              <w:ind w:left="240"/>
              <w:spacing w:after="0"/>
              <w:rPr>
                <w:sz w:val="20"/>
                <w:szCs w:val="20"/>
                <w:color w:val="auto"/>
              </w:rPr>
            </w:pPr>
            <w:r>
              <w:rPr>
                <w:rFonts w:ascii="Arial" w:cs="Arial" w:eastAsia="Arial" w:hAnsi="Arial"/>
                <w:sz w:val="17"/>
                <w:szCs w:val="17"/>
                <w:color w:val="auto"/>
              </w:rPr>
              <w:t>Vice President, General</w:t>
            </w:r>
          </w:p>
        </w:tc>
        <w:tc>
          <w:tcPr>
            <w:tcW w:w="60" w:type="dxa"/>
            <w:vAlign w:val="bottom"/>
            <w:shd w:val="clear" w:color="auto" w:fill="C0C0C0"/>
          </w:tcPr>
          <w:p>
            <w:pPr>
              <w:spacing w:after="0"/>
              <w:rPr>
                <w:sz w:val="19"/>
                <w:szCs w:val="19"/>
                <w:color w:val="auto"/>
              </w:rPr>
            </w:pPr>
          </w:p>
        </w:tc>
        <w:tc>
          <w:tcPr>
            <w:tcW w:w="2600" w:type="dxa"/>
            <w:vAlign w:val="bottom"/>
            <w:shd w:val="clear" w:color="auto" w:fill="C0C0C0"/>
          </w:tcPr>
          <w:p>
            <w:pPr>
              <w:ind w:left="800"/>
              <w:spacing w:after="0"/>
              <w:rPr>
                <w:sz w:val="20"/>
                <w:szCs w:val="20"/>
                <w:color w:val="auto"/>
              </w:rPr>
            </w:pPr>
            <w:r>
              <w:rPr>
                <w:rFonts w:ascii="Arial" w:cs="Arial" w:eastAsia="Arial" w:hAnsi="Arial"/>
                <w:sz w:val="17"/>
                <w:szCs w:val="17"/>
                <w:color w:val="auto"/>
              </w:rPr>
              <w:t>March 1, 2001</w:t>
            </w:r>
          </w:p>
        </w:tc>
        <w:tc>
          <w:tcPr>
            <w:tcW w:w="40" w:type="dxa"/>
            <w:vAlign w:val="bottom"/>
            <w:shd w:val="clear" w:color="auto" w:fill="C0C0C0"/>
          </w:tcPr>
          <w:p>
            <w:pPr>
              <w:spacing w:after="0"/>
              <w:rPr>
                <w:sz w:val="19"/>
                <w:szCs w:val="19"/>
                <w:color w:val="auto"/>
              </w:rPr>
            </w:pPr>
          </w:p>
        </w:tc>
      </w:tr>
      <w:tr>
        <w:trPr>
          <w:trHeight w:val="216"/>
        </w:trPr>
        <w:tc>
          <w:tcPr>
            <w:tcW w:w="40" w:type="dxa"/>
            <w:vAlign w:val="bottom"/>
            <w:shd w:val="clear" w:color="auto" w:fill="C0C0C0"/>
          </w:tcPr>
          <w:p>
            <w:pPr>
              <w:spacing w:after="0"/>
              <w:rPr>
                <w:sz w:val="18"/>
                <w:szCs w:val="18"/>
                <w:color w:val="auto"/>
              </w:rPr>
            </w:pPr>
          </w:p>
        </w:tc>
        <w:tc>
          <w:tcPr>
            <w:tcW w:w="270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2840" w:type="dxa"/>
            <w:vAlign w:val="bottom"/>
            <w:shd w:val="clear" w:color="auto" w:fill="C0C0C0"/>
          </w:tcPr>
          <w:p>
            <w:pPr>
              <w:ind w:left="340"/>
              <w:spacing w:after="0"/>
              <w:rPr>
                <w:sz w:val="20"/>
                <w:szCs w:val="20"/>
                <w:color w:val="auto"/>
              </w:rPr>
            </w:pPr>
            <w:r>
              <w:rPr>
                <w:rFonts w:ascii="Arial" w:cs="Arial" w:eastAsia="Arial" w:hAnsi="Arial"/>
                <w:sz w:val="17"/>
                <w:szCs w:val="17"/>
                <w:color w:val="auto"/>
              </w:rPr>
              <w:t>Counsel and Secretary</w:t>
            </w:r>
          </w:p>
        </w:tc>
        <w:tc>
          <w:tcPr>
            <w:tcW w:w="60" w:type="dxa"/>
            <w:vAlign w:val="bottom"/>
            <w:shd w:val="clear" w:color="auto" w:fill="C0C0C0"/>
          </w:tcPr>
          <w:p>
            <w:pPr>
              <w:spacing w:after="0"/>
              <w:rPr>
                <w:sz w:val="18"/>
                <w:szCs w:val="18"/>
                <w:color w:val="auto"/>
              </w:rPr>
            </w:pPr>
          </w:p>
        </w:tc>
        <w:tc>
          <w:tcPr>
            <w:tcW w:w="260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r>
      <w:tr>
        <w:trPr>
          <w:trHeight w:val="133"/>
        </w:trPr>
        <w:tc>
          <w:tcPr>
            <w:tcW w:w="40" w:type="dxa"/>
            <w:vAlign w:val="bottom"/>
            <w:shd w:val="clear" w:color="auto" w:fill="C0C0C0"/>
          </w:tcPr>
          <w:p>
            <w:pPr>
              <w:spacing w:after="0"/>
              <w:rPr>
                <w:sz w:val="11"/>
                <w:szCs w:val="11"/>
                <w:color w:val="auto"/>
              </w:rPr>
            </w:pPr>
          </w:p>
        </w:tc>
        <w:tc>
          <w:tcPr>
            <w:tcW w:w="2700" w:type="dxa"/>
            <w:vAlign w:val="bottom"/>
            <w:shd w:val="clear" w:color="auto" w:fill="C0C0C0"/>
          </w:tcPr>
          <w:p>
            <w:pPr>
              <w:spacing w:after="0"/>
              <w:rPr>
                <w:sz w:val="11"/>
                <w:szCs w:val="11"/>
                <w:color w:val="auto"/>
              </w:rPr>
            </w:pPr>
          </w:p>
        </w:tc>
        <w:tc>
          <w:tcPr>
            <w:tcW w:w="60" w:type="dxa"/>
            <w:vAlign w:val="bottom"/>
            <w:shd w:val="clear" w:color="auto" w:fill="C0C0C0"/>
          </w:tcPr>
          <w:p>
            <w:pPr>
              <w:spacing w:after="0"/>
              <w:rPr>
                <w:sz w:val="11"/>
                <w:szCs w:val="11"/>
                <w:color w:val="auto"/>
              </w:rPr>
            </w:pPr>
          </w:p>
        </w:tc>
        <w:tc>
          <w:tcPr>
            <w:tcW w:w="2840" w:type="dxa"/>
            <w:vAlign w:val="bottom"/>
            <w:shd w:val="clear" w:color="auto" w:fill="C0C0C0"/>
          </w:tcPr>
          <w:p>
            <w:pPr>
              <w:spacing w:after="0"/>
              <w:rPr>
                <w:sz w:val="11"/>
                <w:szCs w:val="11"/>
                <w:color w:val="auto"/>
              </w:rPr>
            </w:pPr>
          </w:p>
        </w:tc>
        <w:tc>
          <w:tcPr>
            <w:tcW w:w="60" w:type="dxa"/>
            <w:vAlign w:val="bottom"/>
            <w:shd w:val="clear" w:color="auto" w:fill="C0C0C0"/>
          </w:tcPr>
          <w:p>
            <w:pPr>
              <w:spacing w:after="0"/>
              <w:rPr>
                <w:sz w:val="11"/>
                <w:szCs w:val="11"/>
                <w:color w:val="auto"/>
              </w:rPr>
            </w:pPr>
          </w:p>
        </w:tc>
        <w:tc>
          <w:tcPr>
            <w:tcW w:w="2600" w:type="dxa"/>
            <w:vAlign w:val="bottom"/>
            <w:shd w:val="clear" w:color="auto" w:fill="C0C0C0"/>
          </w:tcPr>
          <w:p>
            <w:pPr>
              <w:spacing w:after="0"/>
              <w:rPr>
                <w:sz w:val="11"/>
                <w:szCs w:val="11"/>
                <w:color w:val="auto"/>
              </w:rPr>
            </w:pPr>
          </w:p>
        </w:tc>
        <w:tc>
          <w:tcPr>
            <w:tcW w:w="40" w:type="dxa"/>
            <w:vAlign w:val="bottom"/>
            <w:shd w:val="clear" w:color="auto" w:fill="C0C0C0"/>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-1192530</wp:posOffset>
            </wp:positionV>
            <wp:extent cx="52806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8066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Mr.____________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Minerals Technologies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405 Lexington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10174-1901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Dear Mr. _____________:</w:t>
      </w:r>
    </w:p>
    <w:p>
      <w:pPr>
        <w:spacing w:after="0" w:line="184" w:lineRule="exact"/>
        <w:rPr>
          <w:sz w:val="20"/>
          <w:szCs w:val="20"/>
          <w:color w:val="auto"/>
        </w:rPr>
      </w:pPr>
    </w:p>
    <w:p>
      <w:pPr>
        <w:ind w:right="20" w:firstLine="393"/>
        <w:spacing w:after="0" w:line="263" w:lineRule="auto"/>
        <w:rPr>
          <w:sz w:val="20"/>
          <w:szCs w:val="20"/>
          <w:color w:val="auto"/>
        </w:rPr>
      </w:pPr>
      <w:r>
        <w:rPr>
          <w:rFonts w:ascii="Arial" w:cs="Arial" w:eastAsia="Arial" w:hAnsi="Arial"/>
          <w:sz w:val="17"/>
          <w:szCs w:val="17"/>
          <w:color w:val="auto"/>
        </w:rPr>
        <w:t>Minerals Technologies Inc. (the "Company") considers it essential to the best interests of its stockholders to foster the continuous employment of key management personnel. In this connection, should the Company receive a proposal from a third party, whether solicited by the Company or unsolicited, concerning a possible business combination with, or the acquisition of a substantial share of the equity or voting securities of, the Company, the Board of Directors of the Company (the "Board") has determined that it is imperative that it and the Company be able to rely upon your continued services without concern that you might be distracted by the personal uncertainties and risks that such a proposal might otherwise entail.</w:t>
      </w:r>
    </w:p>
    <w:p>
      <w:pPr>
        <w:spacing w:after="0" w:line="147" w:lineRule="exact"/>
        <w:rPr>
          <w:sz w:val="20"/>
          <w:szCs w:val="20"/>
          <w:color w:val="auto"/>
        </w:rPr>
      </w:pPr>
    </w:p>
    <w:p>
      <w:pPr>
        <w:ind w:right="160" w:firstLine="393"/>
        <w:spacing w:after="0" w:line="311" w:lineRule="auto"/>
        <w:rPr>
          <w:sz w:val="20"/>
          <w:szCs w:val="20"/>
          <w:color w:val="auto"/>
        </w:rPr>
      </w:pPr>
      <w:r>
        <w:rPr>
          <w:rFonts w:ascii="Arial" w:cs="Arial" w:eastAsia="Arial" w:hAnsi="Arial"/>
          <w:sz w:val="15"/>
          <w:szCs w:val="15"/>
          <w:color w:val="auto"/>
        </w:rPr>
        <w:t>Accordingly, the Board has determined that appropriate steps should be taken to reinforce and encourage the continued attention and dedication of members of the Company's management, yourself included, to their assigned duties without distraction in the face of potentially disturbing circumstances that could arise out of a proposal for a change in control of the Company. The Board has also determined that it is in the best interests of the Company and its stockholders to ensure your continued availability to the Company and its subsidiaries in the event of a "potential change in control" (as defined in Section 2 hereof).</w:t>
      </w:r>
    </w:p>
    <w:p>
      <w:pPr>
        <w:spacing w:after="0" w:line="127" w:lineRule="exact"/>
        <w:rPr>
          <w:sz w:val="20"/>
          <w:szCs w:val="20"/>
          <w:color w:val="auto"/>
        </w:rPr>
      </w:pPr>
    </w:p>
    <w:p>
      <w:pPr>
        <w:ind w:right="100" w:firstLine="393"/>
        <w:spacing w:after="0" w:line="293" w:lineRule="auto"/>
        <w:rPr>
          <w:sz w:val="20"/>
          <w:szCs w:val="20"/>
          <w:color w:val="auto"/>
        </w:rPr>
      </w:pPr>
      <w:r>
        <w:rPr>
          <w:rFonts w:ascii="Arial" w:cs="Arial" w:eastAsia="Arial" w:hAnsi="Arial"/>
          <w:sz w:val="16"/>
          <w:szCs w:val="16"/>
          <w:color w:val="auto"/>
        </w:rPr>
        <w:t>In order to induce you to remain in the employ of the Company and its subsidiaries and in consideration of your agreement set forth in Section 2(ii) hereof, the Company agrees that you shall receive the severance benefits set forth in this letter agreement ("Agreement") in the event your employment with the Company and its subsidiaries is terminated subsequent to a Change in Control (as defined in Section 2 hereof) under the circumstances described below.</w:t>
      </w:r>
    </w:p>
    <w:p>
      <w:pPr>
        <w:spacing w:after="0" w:line="125" w:lineRule="exact"/>
        <w:rPr>
          <w:sz w:val="20"/>
          <w:szCs w:val="20"/>
          <w:color w:val="auto"/>
        </w:rPr>
      </w:pPr>
    </w:p>
    <w:p>
      <w:pPr>
        <w:ind w:right="20" w:firstLine="398"/>
        <w:spacing w:after="0" w:line="306" w:lineRule="auto"/>
        <w:tabs>
          <w:tab w:leader="none" w:pos="563"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Term of Agreement</w:t>
      </w:r>
      <w:r>
        <w:rPr>
          <w:rFonts w:ascii="Arial" w:cs="Arial" w:eastAsia="Arial" w:hAnsi="Arial"/>
          <w:sz w:val="15"/>
          <w:szCs w:val="15"/>
          <w:color w:val="auto"/>
        </w:rPr>
        <w:t>. This Agreement shall commence as of March 1, 2001, and shall continue in effect through December 31, 2001; provided, however, the term of this Agreement shall automatically be extended for one additional year commencing on January, 2002 and each January 1 thereafter, unless, not later than June 30 of the preceding year, the Company shall have given notice that it does not wish to extend this Agreement; provided, further, that, notwithstanding any such notice by the Company not to extend, if a Change in Control shall have occurred during the original or any extended term of this Agreement, this Agreement shall continue in effect for a period of forty-eight (48) months beyond the expiration of the term in effect immediately before such Change in Control.</w:t>
      </w:r>
    </w:p>
    <w:p>
      <w:pPr>
        <w:spacing w:after="0" w:line="118" w:lineRule="exact"/>
        <w:rPr>
          <w:rFonts w:ascii="Arial" w:cs="Arial" w:eastAsia="Arial" w:hAnsi="Arial"/>
          <w:sz w:val="15"/>
          <w:szCs w:val="15"/>
          <w:color w:val="auto"/>
        </w:rPr>
      </w:pPr>
    </w:p>
    <w:p>
      <w:pPr>
        <w:ind w:left="560" w:hanging="162"/>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 No benefits shall be payable hereunder unless there shall have been a Change in Control of the Company, as set forth below. For</w:t>
      </w:r>
    </w:p>
    <w:p>
      <w:pPr>
        <w:spacing w:after="0" w:line="31" w:lineRule="exact"/>
        <w:rPr>
          <w:rFonts w:ascii="Arial" w:cs="Arial" w:eastAsia="Arial" w:hAnsi="Arial"/>
          <w:sz w:val="16"/>
          <w:szCs w:val="16"/>
          <w:color w:val="auto"/>
        </w:rPr>
      </w:pPr>
    </w:p>
    <w:p>
      <w:pPr>
        <w:spacing w:after="0" w:line="297" w:lineRule="auto"/>
        <w:rPr>
          <w:rFonts w:ascii="Arial" w:cs="Arial" w:eastAsia="Arial" w:hAnsi="Arial"/>
          <w:sz w:val="16"/>
          <w:szCs w:val="16"/>
          <w:color w:val="auto"/>
        </w:rPr>
      </w:pPr>
      <w:r>
        <w:rPr>
          <w:rFonts w:ascii="Arial" w:cs="Arial" w:eastAsia="Arial" w:hAnsi="Arial"/>
          <w:sz w:val="15"/>
          <w:szCs w:val="15"/>
          <w:color w:val="auto"/>
        </w:rPr>
        <w:t>purposes of this Agreement, a "Change in Control" of the Company shall mean a change in control of a nature that would be required to be reported in response to Item 6(e) of Schedule 14A of Regulation 14A promulgated under the Securities Exchange Act of 1934, as amended (the "Exchange Act"), whether or not the Company is then subject to such reporting requirement; provided that, without limitation, such a Change in Control shall be deemed to have occurred if (A) any "person" (as such term is used in Sections 13(d) and 14(d) of the Exchange Act) is or becomes the "beneficial owner" (as determined for purpose of Regulation 13D-G under the Exchange Act as currently in effect), directly or indirectly, of securities of the Company representing 15% or more of the combined voting power of the Company's then outstanding securities; or (B) during any period of two consecutive years (not including any period prior to the execution of this Agreement), individuals who at the beginning of such period constitute the Board and any new director, whose election to the Board or nomination for election to the Board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of the Board; or (C) the stockholders of the Company approve a merger or consolidation of the Company with any other corporation, other than a merger or consolidation which would result in the holders of the voting</w:t>
      </w:r>
    </w:p>
    <w:p>
      <w:pPr>
        <w:sectPr>
          <w:pgSz w:w="11900" w:h="16838" w:orient="portrait"/>
          <w:cols w:equalWidth="0" w:num="1">
            <w:col w:w="11420"/>
          </w:cols>
          <w:pgMar w:left="240" w:top="127" w:right="239" w:bottom="0" w:gutter="0" w:footer="0" w:header="0"/>
        </w:sectPr>
      </w:pPr>
    </w:p>
    <w:bookmarkStart w:id="52" w:name="page53"/>
    <w:bookmarkEnd w:id="52"/>
    <w:p>
      <w:pPr>
        <w:jc w:val="both"/>
        <w:ind w:right="120"/>
        <w:spacing w:after="0" w:line="321" w:lineRule="auto"/>
        <w:rPr>
          <w:sz w:val="20"/>
          <w:szCs w:val="20"/>
          <w:color w:val="auto"/>
        </w:rPr>
      </w:pPr>
      <w:r>
        <w:rPr>
          <w:rFonts w:ascii="Arial" w:cs="Arial" w:eastAsia="Arial" w:hAnsi="Arial"/>
          <w:sz w:val="15"/>
          <w:szCs w:val="15"/>
          <w:color w:val="auto"/>
        </w:rPr>
        <w:t>securities of the Company outstanding immediately prior thereto holding immediately thereafter securities representing more than 80% of the combined voting power of the voting securities of the Company or such surviving entity outstanding immediately after such merger or consolidation; or (D) the stockholders of the Company approve a plan of complete liquidation of the Company or an agreement for the sale or disposition by the Company of all or substantially all of the Company's assets.</w:t>
      </w:r>
    </w:p>
    <w:p>
      <w:pPr>
        <w:spacing w:after="0" w:line="107" w:lineRule="exact"/>
        <w:rPr>
          <w:sz w:val="20"/>
          <w:szCs w:val="20"/>
          <w:color w:val="auto"/>
        </w:rPr>
      </w:pPr>
    </w:p>
    <w:p>
      <w:pPr>
        <w:ind w:firstLine="398"/>
        <w:spacing w:after="0" w:line="278" w:lineRule="auto"/>
        <w:tabs>
          <w:tab w:leader="none" w:pos="6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You agree that, subject to the terms and conditions of this Agreement, in the event of a potential change in control of the Company occurring after the date hereof, you will not voluntarily terminate your employment with the Company and its subsidiaries for a period of six (6) months from the occurrence of such potential change in control of the Company. If more than one potential change in control occurs during the term of this Agreement, the provisions of the preceding sentence shall be applicable to each potential change in control occurring prior to the occurrence of a Change in Control. For purposes of this Agreement, a "potential change in control of the Company" shall be deemed to have occurred if (A) the Company enters into an agreement, the consummation of which would result in the occurrence of a Change in Control; (B) any person (including the Company) publicly announces an intention to take or to consider taking actions which if consummated would constitute a Change in Control; (C) any person becomes the beneficial owner, directly or indirectly, of securities of the Company representing 9.5% or more of the combined voting power of the Company's then outstanding securities; or (D) the Board adopts a resolution to the effect that, for purposes of this Agreement, a potential change in control of the Company has occurred.</w:t>
      </w:r>
    </w:p>
    <w:p>
      <w:pPr>
        <w:spacing w:after="0" w:line="151" w:lineRule="exact"/>
        <w:rPr>
          <w:sz w:val="20"/>
          <w:szCs w:val="20"/>
          <w:color w:val="auto"/>
        </w:rPr>
      </w:pPr>
    </w:p>
    <w:p>
      <w:pPr>
        <w:jc w:val="both"/>
        <w:ind w:right="40" w:firstLine="398"/>
        <w:spacing w:after="0" w:line="265" w:lineRule="auto"/>
        <w:tabs>
          <w:tab w:leader="none" w:pos="56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Termination Following Change in Control</w:t>
      </w:r>
      <w:r>
        <w:rPr>
          <w:rFonts w:ascii="Arial" w:cs="Arial" w:eastAsia="Arial" w:hAnsi="Arial"/>
          <w:sz w:val="17"/>
          <w:szCs w:val="17"/>
          <w:color w:val="auto"/>
        </w:rPr>
        <w:t>. If any of the events described in Section 2(i) hereof constituting a Change in Control shall have occurred, you shall be entitled to the benefits provided in Section 4(iv) hereof upon the subsequent termination of your employment with the Company and its subsidiaries during the term of this Agreement unless such termination is (A) a result of your death or Retirement, or (B) your termination for other than Good Reason, or (C) your being terminated by the Company or any of its subsidiaries for Disability or for Cause.</w:t>
      </w:r>
    </w:p>
    <w:p>
      <w:pPr>
        <w:spacing w:after="0" w:line="145" w:lineRule="exact"/>
        <w:rPr>
          <w:sz w:val="20"/>
          <w:szCs w:val="20"/>
          <w:color w:val="auto"/>
        </w:rPr>
      </w:pPr>
    </w:p>
    <w:p>
      <w:pPr>
        <w:ind w:right="140" w:firstLine="398"/>
        <w:spacing w:after="0" w:line="301" w:lineRule="auto"/>
        <w:tabs>
          <w:tab w:leader="none" w:pos="596"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Disability; Retirement</w:t>
      </w:r>
      <w:r>
        <w:rPr>
          <w:rFonts w:ascii="Arial" w:cs="Arial" w:eastAsia="Arial" w:hAnsi="Arial"/>
          <w:sz w:val="15"/>
          <w:szCs w:val="15"/>
          <w:color w:val="auto"/>
        </w:rPr>
        <w:t>. For purposes of this Agreement, "Disability" shall mean permanent and total disability as such term is defined under Section 22(e)(3) of the Internal Revenue Code of 1986, as amended (the "Code"). Any question as to the existence of your Disability upon which you and the Company cannot agree shall be determined by a qualified independent physician selected by you (or, if you are unable to make such selection, such selection shall be made by any adult member of your immediate family or your legal representative), and approved by the Company, said approval not to be unreasonably withheld. The determination of such physician made in writing to the Company and to you shall be final and conclusive for all purposes of this Agreement. For purposes of this Agreement, "Retirement" shall mean your voluntary termination of employment with the Company in accordance with the Company's retirement policy (excluding early retirement) generally applicable to its salaried employees or in accordance with any retirement arrangement established with your consent with respect to you.</w:t>
      </w:r>
    </w:p>
    <w:p>
      <w:pPr>
        <w:spacing w:after="0" w:line="122" w:lineRule="exact"/>
        <w:rPr>
          <w:rFonts w:ascii="Arial" w:cs="Arial" w:eastAsia="Arial" w:hAnsi="Arial"/>
          <w:sz w:val="15"/>
          <w:szCs w:val="15"/>
          <w:color w:val="auto"/>
        </w:rPr>
      </w:pPr>
    </w:p>
    <w:p>
      <w:pPr>
        <w:ind w:right="100" w:firstLine="398"/>
        <w:spacing w:after="0" w:line="280" w:lineRule="auto"/>
        <w:tabs>
          <w:tab w:leader="none" w:pos="64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For purposes of this Agreement, "Cause" shall mean your willful breach of duty in the course of your employment, or your habitual neglect of your employment duties. For purposes of this Section 3(ii), no act, or failure to act, on your part shall be deemed "willful" unless done, or omitted to be done, by you not in good faith and without reasonable belief that your action or omission was in the best interest of the Company and its subsidiaries. Notwithstanding the foregoing, you shall not be deemed to have been terminated for Cause unless and until there shall have been delivered to you a copy of a resolution duly adopted by the affirmative vote of not less than three-quarters (3/4) of the entire membership of the Board at a meeting of the Board called and held for such purpose (after reasonable notice to you and an opportunity for you, together with your counsel, to be heard before the Board), finding that in the good faith opinion of the Board you were guilty of conduct set forth above in this Section 3(ii) and specifying the particulars thereof in detail.</w:t>
      </w:r>
    </w:p>
    <w:p>
      <w:pPr>
        <w:spacing w:after="0" w:line="147" w:lineRule="exact"/>
        <w:rPr>
          <w:rFonts w:ascii="Arial" w:cs="Arial" w:eastAsia="Arial" w:hAnsi="Arial"/>
          <w:sz w:val="16"/>
          <w:szCs w:val="16"/>
          <w:color w:val="auto"/>
        </w:rPr>
      </w:pPr>
    </w:p>
    <w:p>
      <w:pPr>
        <w:ind w:right="20" w:firstLine="398"/>
        <w:spacing w:after="0" w:line="265" w:lineRule="auto"/>
        <w:tabs>
          <w:tab w:leader="none" w:pos="69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You shall be entitled to terminate your employment for Good Reason. For the purpose of this Agreement, "Good Reason" shall mean the occurrence, without your express written consent, of any of the following circumstances unless, in the case of paragraphs 3(iii)(A), (E), (F), (G), or (H), such circumstances are fully corrected prior to the Date of Termination (as defined in Section 3(v)) specified in the Notice of Termination (as defined in Section 3(iv)) given in respect thereof:</w:t>
      </w:r>
    </w:p>
    <w:p>
      <w:pPr>
        <w:spacing w:after="0" w:line="144" w:lineRule="exact"/>
        <w:rPr>
          <w:rFonts w:ascii="Arial" w:cs="Arial" w:eastAsia="Arial" w:hAnsi="Arial"/>
          <w:sz w:val="17"/>
          <w:szCs w:val="17"/>
          <w:color w:val="auto"/>
        </w:rPr>
      </w:pPr>
    </w:p>
    <w:p>
      <w:pPr>
        <w:ind w:left="1060" w:right="100" w:firstLine="385"/>
        <w:spacing w:after="0" w:line="314" w:lineRule="auto"/>
        <w:tabs>
          <w:tab w:leader="none" w:pos="1732"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assignment to you of any duties inconsistent with your status as [TITLE] of Minerals Technologies Inc., your removal from that position, or a substantial diminution in the nature or status of your responsibilities from those in effect immediately prior to the Change in Control;</w:t>
      </w:r>
    </w:p>
    <w:p>
      <w:pPr>
        <w:spacing w:after="0" w:line="107" w:lineRule="exact"/>
        <w:rPr>
          <w:rFonts w:ascii="Arial" w:cs="Arial" w:eastAsia="Arial" w:hAnsi="Arial"/>
          <w:sz w:val="16"/>
          <w:szCs w:val="16"/>
          <w:color w:val="auto"/>
        </w:rPr>
      </w:pPr>
    </w:p>
    <w:p>
      <w:pPr>
        <w:ind w:left="1060" w:right="20" w:firstLine="385"/>
        <w:spacing w:after="0" w:line="282" w:lineRule="auto"/>
        <w:tabs>
          <w:tab w:leader="none" w:pos="1722" w:val="left"/>
        </w:tabs>
        <w:numPr>
          <w:ilvl w:val="1"/>
          <w:numId w:val="42"/>
        </w:numPr>
        <w:rPr>
          <w:rFonts w:ascii="Arial" w:cs="Arial" w:eastAsia="Arial" w:hAnsi="Arial"/>
          <w:sz w:val="17"/>
          <w:szCs w:val="17"/>
          <w:color w:val="auto"/>
        </w:rPr>
      </w:pPr>
      <w:r>
        <w:rPr>
          <w:rFonts w:ascii="Arial" w:cs="Arial" w:eastAsia="Arial" w:hAnsi="Arial"/>
          <w:sz w:val="17"/>
          <w:szCs w:val="17"/>
          <w:color w:val="auto"/>
        </w:rPr>
        <w:t>a reduction by the Company or any of its subsidiaries in your annual base salary or bonus as in effect on the date hereof or as the same may be increased from time to time;</w:t>
      </w:r>
    </w:p>
    <w:p>
      <w:pPr>
        <w:spacing w:after="0" w:line="142" w:lineRule="exact"/>
        <w:rPr>
          <w:rFonts w:ascii="Arial" w:cs="Arial" w:eastAsia="Arial" w:hAnsi="Arial"/>
          <w:sz w:val="17"/>
          <w:szCs w:val="17"/>
          <w:color w:val="auto"/>
        </w:rPr>
      </w:pPr>
    </w:p>
    <w:p>
      <w:pPr>
        <w:jc w:val="both"/>
        <w:ind w:left="1060" w:right="20" w:firstLine="385"/>
        <w:spacing w:after="0" w:line="265" w:lineRule="auto"/>
        <w:tabs>
          <w:tab w:leader="none" w:pos="1722"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relocation of the executive office in which you are located prior to the Change in Control to a location more than fifty miles therefrom or the Company or any of its subsidiaries requiring you to be based anywhere other than the executive office in which you are located prior to the Change in Control except for required travel on the business of the Company and its subsidiaries to an extent substantially consistent with your present business travel obligations;</w:t>
      </w:r>
    </w:p>
    <w:p>
      <w:pPr>
        <w:spacing w:after="0" w:line="144" w:lineRule="exact"/>
        <w:rPr>
          <w:rFonts w:ascii="Arial" w:cs="Arial" w:eastAsia="Arial" w:hAnsi="Arial"/>
          <w:sz w:val="17"/>
          <w:szCs w:val="17"/>
          <w:color w:val="auto"/>
        </w:rPr>
      </w:pPr>
    </w:p>
    <w:p>
      <w:pPr>
        <w:ind w:left="1060" w:right="120" w:firstLine="385"/>
        <w:spacing w:after="0" w:line="282" w:lineRule="auto"/>
        <w:tabs>
          <w:tab w:leader="none" w:pos="1732"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failure by the Company to pay to you any portion of an installment of deferred compensation under any preferred compensation program of the Company within seven (7) days of the date such compensation is due;</w:t>
      </w:r>
    </w:p>
    <w:p>
      <w:pPr>
        <w:spacing w:after="0" w:line="129" w:lineRule="exact"/>
        <w:rPr>
          <w:rFonts w:ascii="Arial" w:cs="Arial" w:eastAsia="Arial" w:hAnsi="Arial"/>
          <w:sz w:val="17"/>
          <w:szCs w:val="17"/>
          <w:color w:val="auto"/>
        </w:rPr>
      </w:pPr>
    </w:p>
    <w:p>
      <w:pPr>
        <w:ind w:left="1060" w:right="80" w:firstLine="385"/>
        <w:spacing w:after="0" w:line="263" w:lineRule="auto"/>
        <w:tabs>
          <w:tab w:leader="none" w:pos="1713"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failure by the Company or any of its subsidiaries to continue in effect any incentive compensation plan in which you participate prior to the Change in Control, unless an equitable alternative compensation arrangement (embodied in an ongoing substitute or alternative plan) has been provided for you, or the failure by the Company or any of its subsidiaries to continue your participation in any such incentive plan on the same basis, both in terms of the amount of benefits provided and the level of your participation relative to other participants, as existed at the time of the Change in Control;</w:t>
      </w:r>
    </w:p>
    <w:p>
      <w:pPr>
        <w:spacing w:after="0" w:line="159" w:lineRule="exact"/>
        <w:rPr>
          <w:rFonts w:ascii="Arial" w:cs="Arial" w:eastAsia="Arial" w:hAnsi="Arial"/>
          <w:sz w:val="17"/>
          <w:szCs w:val="17"/>
          <w:color w:val="auto"/>
        </w:rPr>
      </w:pPr>
    </w:p>
    <w:p>
      <w:pPr>
        <w:ind w:left="1060" w:firstLine="385"/>
        <w:spacing w:after="0" w:line="303" w:lineRule="auto"/>
        <w:tabs>
          <w:tab w:leader="none" w:pos="1703" w:val="left"/>
        </w:tabs>
        <w:numPr>
          <w:ilvl w:val="1"/>
          <w:numId w:val="42"/>
        </w:numPr>
        <w:rPr>
          <w:rFonts w:ascii="Arial" w:cs="Arial" w:eastAsia="Arial" w:hAnsi="Arial"/>
          <w:sz w:val="15"/>
          <w:szCs w:val="15"/>
          <w:color w:val="auto"/>
        </w:rPr>
      </w:pPr>
      <w:r>
        <w:rPr>
          <w:rFonts w:ascii="Arial" w:cs="Arial" w:eastAsia="Arial" w:hAnsi="Arial"/>
          <w:sz w:val="15"/>
          <w:szCs w:val="15"/>
          <w:color w:val="auto"/>
        </w:rPr>
        <w:t>except as required by law, the failure by the Company or any of its subsidiaries to continue to provide you with benefits at least as favorable as those enjoyed by you under the employee benefit and welfare plans of the Company and its subsidiaries, including, without limitation, the pension, life insurance, medical, dental, health and accident, disability, deferred compensation retirement and savings plans, in which you were participating at the time of the Change in Control, the taking of any action by the Company or any of its subsidiaries which would directly or indirectly materially reduce any of such benefits or deprive you of any material fringe benefit enjoyed by you at the time of the Change in Control, or the failure by the Company or any of its subsidiaries to provide you with the number of paid vacation days to which you are entitled at the time of the Change in Control;</w:t>
      </w:r>
    </w:p>
    <w:p>
      <w:pPr>
        <w:spacing w:after="0" w:line="120" w:lineRule="exact"/>
        <w:rPr>
          <w:rFonts w:ascii="Arial" w:cs="Arial" w:eastAsia="Arial" w:hAnsi="Arial"/>
          <w:sz w:val="15"/>
          <w:szCs w:val="15"/>
          <w:color w:val="auto"/>
        </w:rPr>
      </w:pPr>
    </w:p>
    <w:p>
      <w:pPr>
        <w:ind w:left="1060" w:right="660" w:firstLine="385"/>
        <w:spacing w:after="0" w:line="282" w:lineRule="auto"/>
        <w:tabs>
          <w:tab w:leader="none" w:pos="1732"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failure of the Company to obtain a satisfactory agreement from any successor to assume and agree to perform this Agreement, as contemplated in Section 5 hereof; or</w:t>
      </w:r>
    </w:p>
    <w:p>
      <w:pPr>
        <w:spacing w:after="0" w:line="129" w:lineRule="exact"/>
        <w:rPr>
          <w:rFonts w:ascii="Arial" w:cs="Arial" w:eastAsia="Arial" w:hAnsi="Arial"/>
          <w:sz w:val="17"/>
          <w:szCs w:val="17"/>
          <w:color w:val="auto"/>
        </w:rPr>
      </w:pPr>
    </w:p>
    <w:p>
      <w:pPr>
        <w:ind w:left="1060" w:right="20" w:firstLine="385"/>
        <w:spacing w:after="0" w:line="269" w:lineRule="auto"/>
        <w:tabs>
          <w:tab w:leader="none" w:pos="1732"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purported termination of your employment which is not effected pursuant to a Notice of Termination satisfying the requirements of Section 3(iv) below (and, if applicable, the requirements of Section 3(ii) above); for purposes of this Agreement, no such purported termination shall be effective.</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Your continued employment shall not constitute consent to, or a waiver of rights with respect to, any circumstance constituting Good Reason hereunder.</w:t>
      </w:r>
    </w:p>
    <w:p>
      <w:pPr>
        <w:spacing w:after="0" w:line="196" w:lineRule="exact"/>
        <w:rPr>
          <w:sz w:val="20"/>
          <w:szCs w:val="20"/>
          <w:color w:val="auto"/>
        </w:rPr>
      </w:pPr>
    </w:p>
    <w:p>
      <w:pPr>
        <w:jc w:val="both"/>
        <w:ind w:right="300" w:firstLine="398"/>
        <w:spacing w:after="0" w:line="265" w:lineRule="auto"/>
        <w:tabs>
          <w:tab w:leader="none" w:pos="681"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purported termination of your employment by the Company and its subsidiaries or by you shall be communicated by written Notice of Termination to the other party hereto in accordance with Section 6 hereof. For purposes of this Agreement, a "Notice of Termination" shall mean a notice which shall indicate the specific termination provision in this Agreement relied upon and shall set forth in reasonable detail the facts and circumstances claimed to provide a basis for termination of your employment under the provision so indicated.</w:t>
      </w:r>
    </w:p>
    <w:p>
      <w:pPr>
        <w:sectPr>
          <w:pgSz w:w="11900" w:h="16838" w:orient="portrait"/>
          <w:cols w:equalWidth="0" w:num="1">
            <w:col w:w="11420"/>
          </w:cols>
          <w:pgMar w:left="240" w:top="131" w:right="239" w:bottom="0" w:gutter="0" w:footer="0" w:header="0"/>
        </w:sectPr>
      </w:pPr>
    </w:p>
    <w:bookmarkStart w:id="53" w:name="page54"/>
    <w:bookmarkEnd w:id="53"/>
    <w:p>
      <w:pPr>
        <w:spacing w:after="0" w:line="130" w:lineRule="exact"/>
        <w:rPr>
          <w:sz w:val="20"/>
          <w:szCs w:val="20"/>
          <w:color w:val="auto"/>
        </w:rPr>
      </w:pPr>
    </w:p>
    <w:p>
      <w:pPr>
        <w:ind w:left="-398" w:right="20" w:firstLine="398"/>
        <w:spacing w:after="0" w:line="296" w:lineRule="auto"/>
        <w:tabs>
          <w:tab w:leader="none" w:pos="236"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Date of Termination, Etc.</w:t>
      </w:r>
      <w:r>
        <w:rPr>
          <w:rFonts w:ascii="Arial" w:cs="Arial" w:eastAsia="Arial" w:hAnsi="Arial"/>
          <w:sz w:val="15"/>
          <w:szCs w:val="15"/>
          <w:color w:val="auto"/>
        </w:rPr>
        <w:t xml:space="preserve"> "Date of Termination" shall mean (A) if your employment is terminated for Disability, thirty (30) days after Notice of Termination is given (provided that you shall not have returned to the full-time performance of your duties during such thirty (30) day period), and (B) if your employment is terminated pursuant to Section 3(ii) or (iii) above or for any other reason (other than Disability), the date specified in the Notice of Termination (which, in the case of a termination pursuant to Section 3(ii) above shall not be less than thirty (30) days, and in the case of a termination pursuant to Section 3(iii) above shall not be less than thirty (30) nor more than sixty (60) days, respectively, from the date such Notice of Termination is given); provided that, if within thirty (30) days after any Notice of Termination is given the party receiving such Notice of Termination notifies the other party that a dispute exists concerning the grounds for termination, the Date of Termination shall be the date on which the dispute is finally determined, either by mutual written agreement of the parties, by a binding arbitration award or by a final judgment, order or decree of a court of competent jurisdiction (which is not appealable or the time for appeal therefrom having expired and no appeal having been perfected); provided further that the Date of Termination shall be extended by a notice of dispute only if such notice is given in good faith and the party giving such notice pursues the resolution of such dispute with reasonable diligence. Notwithstanding the pendency of any such dispute, the Company and its subsidiaries will continue to pay you your full compensation in effect when the notice giving rise to the dispute was given (including, but not limited to, base salary and bonus) and continue you as a participant in all incentive compensation, benefit and insurance plans in which you were participating when the notice giving rise to the dispute was given, until the dispute is finally resolved in accordance with this Section 3(v). Amounts paid under this Section 3(v) are in addition to all other amounts due under this Agreement and shall not be offset against or reduce any other amounts due under this Agreement.</w:t>
      </w:r>
    </w:p>
    <w:p>
      <w:pPr>
        <w:spacing w:after="0" w:line="125" w:lineRule="exact"/>
        <w:rPr>
          <w:sz w:val="20"/>
          <w:szCs w:val="20"/>
          <w:color w:val="auto"/>
        </w:rPr>
      </w:pPr>
    </w:p>
    <w:p>
      <w:pPr>
        <w:ind w:left="-398" w:right="200" w:firstLine="398"/>
        <w:spacing w:after="0" w:line="269" w:lineRule="auto"/>
        <w:tabs>
          <w:tab w:leader="none" w:pos="16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Compensation Upon Termination or During Disability</w:t>
      </w:r>
      <w:r>
        <w:rPr>
          <w:rFonts w:ascii="Arial" w:cs="Arial" w:eastAsia="Arial" w:hAnsi="Arial"/>
          <w:sz w:val="17"/>
          <w:szCs w:val="17"/>
          <w:color w:val="auto"/>
        </w:rPr>
        <w:t>. Following a Change in Control of the Company, as defined by Section 2(i), upon termination of your employment or during a period of Disability you shall be entitled to the following benefits, provided that such period of Disability or Date of Termination occurs during the term of this Agreement:</w:t>
      </w:r>
    </w:p>
    <w:p>
      <w:pPr>
        <w:spacing w:after="0" w:line="155" w:lineRule="exact"/>
        <w:rPr>
          <w:sz w:val="20"/>
          <w:szCs w:val="20"/>
          <w:color w:val="auto"/>
        </w:rPr>
      </w:pPr>
    </w:p>
    <w:p>
      <w:pPr>
        <w:ind w:left="-398" w:right="300" w:firstLine="398"/>
        <w:spacing w:after="0" w:line="293" w:lineRule="auto"/>
        <w:tabs>
          <w:tab w:leader="none" w:pos="198"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any period that you fail to perform your full-time duties with the Company and its subsidiaries as a result of your Disability, you shall continue to receive an amount equal to your base salary and bonus at the rate in effect at the commencement of any such period through the Date of Termination for Disability. Thereafter, your benefits shall be determined in accordance with the insurance programs of the Company and its subsidiaries then in effect.</w:t>
      </w:r>
    </w:p>
    <w:p>
      <w:pPr>
        <w:spacing w:after="0" w:line="124" w:lineRule="exact"/>
        <w:rPr>
          <w:rFonts w:ascii="Arial" w:cs="Arial" w:eastAsia="Arial" w:hAnsi="Arial"/>
          <w:sz w:val="16"/>
          <w:szCs w:val="16"/>
          <w:color w:val="auto"/>
        </w:rPr>
      </w:pPr>
    </w:p>
    <w:p>
      <w:pPr>
        <w:ind w:left="-398" w:right="160" w:firstLine="398"/>
        <w:spacing w:after="0" w:line="265" w:lineRule="auto"/>
        <w:tabs>
          <w:tab w:leader="none" w:pos="2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your employment shall be terminated by the Company or any of its subsidiaries for Cause or by you other than for Good Reason, the Company (or one of its subsidiaries, if applicable) shall pay you your full base salary and bonus through the Date of Termination at the rate in effect at the time Notice of Termination is given and shall pay any amounts to be paid to you pursuant to any other compensation plans, programs or employment agreements then in effect, and the Company shall have no further obligations to you under this Agreement.</w:t>
      </w:r>
    </w:p>
    <w:p>
      <w:pPr>
        <w:spacing w:after="0" w:line="144" w:lineRule="exact"/>
        <w:rPr>
          <w:rFonts w:ascii="Arial" w:cs="Arial" w:eastAsia="Arial" w:hAnsi="Arial"/>
          <w:sz w:val="17"/>
          <w:szCs w:val="17"/>
          <w:color w:val="auto"/>
        </w:rPr>
      </w:pPr>
    </w:p>
    <w:p>
      <w:pPr>
        <w:ind w:left="-398" w:right="420" w:firstLine="398"/>
        <w:spacing w:after="0" w:line="282" w:lineRule="auto"/>
        <w:tabs>
          <w:tab w:leader="none" w:pos="293"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your employment shall be terminated by reason of your death or Retirement, your benefits shall be determined in accordance with the retirement and insurance programs of the Company and its subsidiaries then in effect.</w:t>
      </w:r>
    </w:p>
    <w:p>
      <w:pPr>
        <w:spacing w:after="0" w:line="142" w:lineRule="exact"/>
        <w:rPr>
          <w:rFonts w:ascii="Arial" w:cs="Arial" w:eastAsia="Arial" w:hAnsi="Arial"/>
          <w:sz w:val="17"/>
          <w:szCs w:val="17"/>
          <w:color w:val="auto"/>
        </w:rPr>
      </w:pPr>
    </w:p>
    <w:p>
      <w:pPr>
        <w:ind w:left="-398" w:right="520" w:firstLine="398"/>
        <w:spacing w:after="0" w:line="282" w:lineRule="auto"/>
        <w:tabs>
          <w:tab w:leader="none" w:pos="2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your employment by the Company and its subsidiaries shall be terminated by (a) the Company and its subsidiaries other than for Cause, your death, Retirement, or Disability or (b) by you for Good Reason, then you shall be entitled to the benefits provided below:</w:t>
      </w:r>
    </w:p>
    <w:p>
      <w:pPr>
        <w:spacing w:after="0" w:line="129" w:lineRule="exact"/>
        <w:rPr>
          <w:rFonts w:ascii="Arial" w:cs="Arial" w:eastAsia="Arial" w:hAnsi="Arial"/>
          <w:sz w:val="17"/>
          <w:szCs w:val="17"/>
          <w:color w:val="auto"/>
        </w:rPr>
      </w:pPr>
    </w:p>
    <w:p>
      <w:pPr>
        <w:ind w:left="662" w:right="200" w:firstLine="385"/>
        <w:spacing w:after="0" w:line="293" w:lineRule="auto"/>
        <w:tabs>
          <w:tab w:leader="none" w:pos="1334"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Company (or one of its subsidiaries, if applicable) shall pay you your full base salary and bonus through the Date of Termination at the rate in effect at the time the Notice of Termination is given, no later than the fifth day following the Date of Termination, plus all other amounts to which you are entitled under any compensation plan of the Company applicable to you, at the time such payments are due.</w:t>
      </w:r>
    </w:p>
    <w:p>
      <w:pPr>
        <w:spacing w:after="0" w:line="124" w:lineRule="exact"/>
        <w:rPr>
          <w:rFonts w:ascii="Arial" w:cs="Arial" w:eastAsia="Arial" w:hAnsi="Arial"/>
          <w:sz w:val="16"/>
          <w:szCs w:val="16"/>
          <w:color w:val="auto"/>
        </w:rPr>
      </w:pPr>
    </w:p>
    <w:p>
      <w:pPr>
        <w:ind w:left="662" w:firstLine="385"/>
        <w:spacing w:after="0" w:line="296" w:lineRule="auto"/>
        <w:tabs>
          <w:tab w:leader="none" w:pos="1325" w:val="left"/>
        </w:tabs>
        <w:numPr>
          <w:ilvl w:val="1"/>
          <w:numId w:val="46"/>
        </w:numPr>
        <w:rPr>
          <w:rFonts w:ascii="Arial" w:cs="Arial" w:eastAsia="Arial" w:hAnsi="Arial"/>
          <w:sz w:val="15"/>
          <w:szCs w:val="15"/>
          <w:color w:val="auto"/>
        </w:rPr>
      </w:pPr>
      <w:r>
        <w:rPr>
          <w:rFonts w:ascii="Arial" w:cs="Arial" w:eastAsia="Arial" w:hAnsi="Arial"/>
          <w:sz w:val="15"/>
          <w:szCs w:val="15"/>
          <w:color w:val="auto"/>
        </w:rPr>
        <w:t>The Company shall pay as severance pay to you a severance payment (the "Unadjusted Severance Payment") equal to 1.5 times your "Base Amount" as such term is defined under Section 280G(b)(3) of the Code. Your Base Amount shall be determined in accordance with Section 280G(b)(3) of the Code and with the proposed, temporary or final regulations promulgated under that Section in effect, if any. In the absence of such regulations, if you were not employed by the Company (or any corporation affiliated with the Company (an "Affiliate") within the meaning of Section 1504 of the Code or a predecessor of the Company) during the entire five calendar years (the "Base Period") preceding the calendar year in which a Change in Control of the Company occurred, your average annual compensation for the purposes of such determination shall be the average of your annual compensation for both complete and partial calendar years during the Base Period during which you were so employed, determined by annualizing any compensation (other than nonrecurring items) includible in your gross income for any partial calendar year. For purposes of the preceding sentence, compensation payable to you by the Company or any Affiliate or predecessor of the Company shall include every type and form of compensation includible in your gross income in respect of your employment by the Company or any Affiliate or predecessor of the Company, including compensation income recognized as a result of your exercise of stock options or sale of the stock so acquired, except to the extent otherwise provided in proposed, temporary or final regulations promulgated under Section 280G of the Code defining base amount.</w:t>
      </w:r>
    </w:p>
    <w:p>
      <w:pPr>
        <w:spacing w:after="0" w:line="144" w:lineRule="exact"/>
        <w:rPr>
          <w:rFonts w:ascii="Arial" w:cs="Arial" w:eastAsia="Arial" w:hAnsi="Arial"/>
          <w:sz w:val="15"/>
          <w:szCs w:val="15"/>
          <w:color w:val="auto"/>
        </w:rPr>
      </w:pPr>
    </w:p>
    <w:p>
      <w:pPr>
        <w:ind w:left="662" w:right="40" w:firstLine="385"/>
        <w:spacing w:after="0" w:line="276" w:lineRule="auto"/>
        <w:tabs>
          <w:tab w:leader="none" w:pos="1325"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Unadjusted Severance Payment shall not be reduced by the amount of any other payment or the value of any benefit received or to be received by you in connection with your termination of employment or contingent upon a Change in Control of the Company (whether payable pursuant to the terms of this Agreement or any other agreement, plan or arrangement with the Company or an Affiliate, predecessor or successor of the Company or any person whose actions result in a Change in Control of the Company or an Affiliate of such person) unless (1) in the opinion of tax counsel selected by the Company's Vice President-General Counsel and reasonably acceptable to you, such other payment or benefit constitutes a "parachute payment" within the meaning of Section 280G(b)(2) of the Code, and (2) in the opinion of such tax counsel, the Unadjusted Severance Payment plus all other payments or benefits which constitute "parachute payments" within the meaning of Section 280G(b)(2) of the Code would result in a portion of the Unadjusted Severance Payment being subject to the excise tax under Section 4999 of the Code. In such event, the amount of the Unadjusted Severance Payment shall be reduced by the minimum amount necessary such that no portion thereof will be subject to the excise tax under Section 4999 of the Code. The Unadjusted Severance Payment, as reduced, if at all, pursuant to the provisions of this paragraph shall be referred to as the Adjusted Severance Payment. In determining whether the Unadjusted Severance Payment shall be reduced under this paragraph, (i) there shall not be included in the computation any payment if you shall have effectively waived your receipt or enjoyment of such payment or benefit, and (ii) the value of any non-cash benefit or any deferred cash payment shall be determined by the Company's independent auditors in accordance with the principles of Sections 280G(d)(3) and (4) of the Code.</w:t>
      </w:r>
    </w:p>
    <w:p>
      <w:pPr>
        <w:spacing w:after="0" w:line="141" w:lineRule="exact"/>
        <w:rPr>
          <w:rFonts w:ascii="Arial" w:cs="Arial" w:eastAsia="Arial" w:hAnsi="Arial"/>
          <w:sz w:val="16"/>
          <w:szCs w:val="16"/>
          <w:color w:val="auto"/>
        </w:rPr>
      </w:pPr>
    </w:p>
    <w:p>
      <w:pPr>
        <w:ind w:left="1322" w:hanging="275"/>
        <w:spacing w:after="0"/>
        <w:tabs>
          <w:tab w:leader="none" w:pos="1322" w:val="left"/>
        </w:tabs>
        <w:numPr>
          <w:ilvl w:val="1"/>
          <w:numId w:val="46"/>
        </w:numPr>
        <w:rPr>
          <w:rFonts w:ascii="Arial" w:cs="Arial" w:eastAsia="Arial" w:hAnsi="Arial"/>
          <w:sz w:val="16"/>
          <w:szCs w:val="16"/>
          <w:color w:val="auto"/>
        </w:rPr>
      </w:pPr>
      <w:r>
        <w:rPr>
          <w:rFonts w:ascii="Arial" w:cs="Arial" w:eastAsia="Arial" w:hAnsi="Arial"/>
          <w:sz w:val="16"/>
          <w:szCs w:val="16"/>
          <w:color w:val="auto"/>
        </w:rPr>
        <w:t>Except to the extent that the payment thereof would subject any payment hereunder to the excise tax under Section 4999 of the Code:</w:t>
      </w:r>
    </w:p>
    <w:p>
      <w:pPr>
        <w:spacing w:after="0" w:line="196" w:lineRule="exact"/>
        <w:rPr>
          <w:sz w:val="20"/>
          <w:szCs w:val="20"/>
          <w:color w:val="auto"/>
        </w:rPr>
      </w:pPr>
    </w:p>
    <w:p>
      <w:pPr>
        <w:jc w:val="both"/>
        <w:ind w:left="662" w:right="220" w:firstLine="385"/>
        <w:spacing w:after="0" w:line="269" w:lineRule="auto"/>
        <w:tabs>
          <w:tab w:leader="none" w:pos="129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shall also pay to you all legal fees and expenses reasonably incurred by you in connection with this Agreement (including all such fees and expenses, if any, incurred in contesting or disputing the nature of any such termination for purposes of this Agreement or in seeking to obtain or enforce any right or benefit provided by this Agreement); and</w:t>
      </w:r>
    </w:p>
    <w:p>
      <w:pPr>
        <w:spacing w:after="0" w:line="154" w:lineRule="exact"/>
        <w:rPr>
          <w:rFonts w:ascii="Arial" w:cs="Arial" w:eastAsia="Arial" w:hAnsi="Arial"/>
          <w:sz w:val="17"/>
          <w:szCs w:val="17"/>
          <w:color w:val="auto"/>
        </w:rPr>
      </w:pPr>
    </w:p>
    <w:p>
      <w:pPr>
        <w:ind w:left="662" w:right="240" w:firstLine="385"/>
        <w:spacing w:after="0" w:line="281" w:lineRule="auto"/>
        <w:tabs>
          <w:tab w:leader="none" w:pos="12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a twenty-four (24) month period after termination of your employment, the Company shall arrange to provide you with life, disability, accident and health insurance benefits substantially similar to those which you are receiving or entitled to receive immediately prior to the Notice of Termination; provided, however, that this Agreement in no way diminishes any rights to those benefits to which you would be entitled if you were to retire as an employee of Minerals Technologies Inc. Benefits otherwise receivable by you pursuant to this Section 4(iv)(D)(2) shall be reduced to the extent comparable benefits are actually provided to you by a subsequent employer during the twenty-four (24) month period following your termination, and any such benefits actually provided to you shall be reported to the Company.</w:t>
      </w:r>
    </w:p>
    <w:p>
      <w:pPr>
        <w:spacing w:after="0" w:line="135" w:lineRule="exact"/>
        <w:rPr>
          <w:sz w:val="20"/>
          <w:szCs w:val="20"/>
          <w:color w:val="auto"/>
        </w:rPr>
      </w:pPr>
    </w:p>
    <w:p>
      <w:pPr>
        <w:ind w:left="662" w:right="140" w:firstLine="385"/>
        <w:spacing w:after="0" w:line="351" w:lineRule="auto"/>
        <w:tabs>
          <w:tab w:leader="none" w:pos="1315" w:val="left"/>
        </w:tabs>
        <w:numPr>
          <w:ilvl w:val="0"/>
          <w:numId w:val="48"/>
        </w:numPr>
        <w:rPr>
          <w:rFonts w:ascii="Arial" w:cs="Arial" w:eastAsia="Arial" w:hAnsi="Arial"/>
          <w:sz w:val="15"/>
          <w:szCs w:val="15"/>
          <w:color w:val="auto"/>
        </w:rPr>
      </w:pPr>
      <w:r>
        <w:rPr>
          <w:rFonts w:ascii="Arial" w:cs="Arial" w:eastAsia="Arial" w:hAnsi="Arial"/>
          <w:sz w:val="15"/>
          <w:szCs w:val="15"/>
          <w:color w:val="auto"/>
        </w:rPr>
        <w:t>If it is established pursuant to a final determination of a court or an Internal Revenue Service proceeding that, notwithstanding the good faith of you and the Company in applying the terms of this Section 4(iv), the aggregate "parachute payments" paid to or for your benefit are in an amount</w:t>
      </w:r>
    </w:p>
    <w:p>
      <w:pPr>
        <w:sectPr>
          <w:pgSz w:w="11900" w:h="16969" w:orient="portrait"/>
          <w:cols w:equalWidth="0" w:num="1">
            <w:col w:w="11022"/>
          </w:cols>
          <w:pgMar w:left="638" w:top="131" w:right="239" w:bottom="0" w:gutter="0" w:footer="0" w:header="0"/>
        </w:sectPr>
      </w:pPr>
    </w:p>
    <w:bookmarkStart w:id="54" w:name="page55"/>
    <w:bookmarkEnd w:id="54"/>
    <w:p>
      <w:pPr>
        <w:ind w:left="1060" w:right="40"/>
        <w:spacing w:after="0" w:line="261" w:lineRule="auto"/>
        <w:rPr>
          <w:sz w:val="20"/>
          <w:szCs w:val="20"/>
          <w:color w:val="auto"/>
        </w:rPr>
      </w:pPr>
      <w:r>
        <w:rPr>
          <w:rFonts w:ascii="Arial" w:cs="Arial" w:eastAsia="Arial" w:hAnsi="Arial"/>
          <w:sz w:val="17"/>
          <w:szCs w:val="17"/>
          <w:color w:val="auto"/>
        </w:rPr>
        <w:t>that would result in any portion of such "parachute payments" being subject to the excise tax under Section 4999 of the Code, then you shall have an obligation to pay the Company upon demand an amount equal to the sum of (1) the excess of the aggregate "parachute payments" paid to or for your benefit over the aggregate "parachute payments" that would have been paid to or for your benefit without any portion of such "parachute payments" being subject to the excise tax under Section 4999 of the Code; and (2) interest on the amount set forth in clause (1) of this sentence at the applicable Federal rate (as defined in Section 1274(d) of the Code) from the date of your receipt of such excess until the date of such payment; provided, however, that in the event and to the extent that an excise tax is nevertheless imposed on said amount your obligation to pay said amount to the Company is hereby waived.</w:t>
      </w:r>
    </w:p>
    <w:p>
      <w:pPr>
        <w:spacing w:after="0" w:line="149" w:lineRule="exact"/>
        <w:rPr>
          <w:sz w:val="20"/>
          <w:szCs w:val="20"/>
          <w:color w:val="auto"/>
        </w:rPr>
      </w:pPr>
    </w:p>
    <w:p>
      <w:pPr>
        <w:ind w:left="1060" w:right="40" w:firstLine="385"/>
        <w:spacing w:after="0" w:line="321" w:lineRule="auto"/>
        <w:tabs>
          <w:tab w:leader="none" w:pos="1703" w:val="left"/>
        </w:tabs>
        <w:numPr>
          <w:ilvl w:val="1"/>
          <w:numId w:val="49"/>
        </w:numPr>
        <w:rPr>
          <w:rFonts w:ascii="Arial" w:cs="Arial" w:eastAsia="Arial" w:hAnsi="Arial"/>
          <w:sz w:val="15"/>
          <w:szCs w:val="15"/>
          <w:color w:val="auto"/>
        </w:rPr>
      </w:pPr>
      <w:r>
        <w:rPr>
          <w:rFonts w:ascii="Arial" w:cs="Arial" w:eastAsia="Arial" w:hAnsi="Arial"/>
          <w:sz w:val="15"/>
          <w:szCs w:val="15"/>
          <w:color w:val="auto"/>
        </w:rPr>
        <w:t>You shall not be required to mitigate the amount of any payment provided for in this Section 4 by seeking other employment or otherwise, nor shall the amount of any payment or benefit provided for in this Section 4 be reduced by any compensation earned by you as the result of employment by another employer or by retirement benefits received after the Date of Termination or otherwise, except as specifically provided in this Section 4.</w:t>
      </w:r>
    </w:p>
    <w:p>
      <w:pPr>
        <w:spacing w:after="0" w:line="119" w:lineRule="exact"/>
        <w:rPr>
          <w:rFonts w:ascii="Arial" w:cs="Arial" w:eastAsia="Arial" w:hAnsi="Arial"/>
          <w:sz w:val="15"/>
          <w:szCs w:val="15"/>
          <w:color w:val="auto"/>
        </w:rPr>
      </w:pPr>
    </w:p>
    <w:p>
      <w:pPr>
        <w:ind w:left="1060" w:right="20" w:firstLine="385"/>
        <w:spacing w:after="0" w:line="299" w:lineRule="auto"/>
        <w:tabs>
          <w:tab w:leader="none" w:pos="1732"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Company shall pay you the Unadjusted Severance Payment in a lump sum no later than the fifth day following the Date of Termination; provided, however, that if the Company in good faith believes that the Unadjusted Severance Payment shall be reduced under the provisions of Section 4(iv)(C) hereof, the Company shall pay to you at such time a good faith estimate of the Adjusted Severance Payment (the "Estimated Adjusted Severance Payment," the computation of which shall be given to you in writing together with a written explanation of the basis for making such adjustment) which amount shall in no event be less than 50% of the Unadjusted Severance Payment. The Company shall, within 60 days of the Date of Termination, either pay to you the balance of the Unadjusted Severance Payment together with interest thereon at the applicable Federal rate (as defined in Section 1274(d) of the Code) or deliver to you a copy of the opinion of the tax counsel referred to in Section 4(iv)(C) hereof establishing the amount of the Adjusted Severance Payment. If the Adjusted Severance Payment exceeds the Estimated Adjusted Severance Payment, the difference shall be paid to you at such time together with interest thereon at the applicable Federal rate (as defined in Section 1274(d) of the Code).</w:t>
      </w:r>
    </w:p>
    <w:p>
      <w:pPr>
        <w:spacing w:after="0" w:line="121" w:lineRule="exact"/>
        <w:rPr>
          <w:rFonts w:ascii="Arial" w:cs="Arial" w:eastAsia="Arial" w:hAnsi="Arial"/>
          <w:sz w:val="15"/>
          <w:szCs w:val="15"/>
          <w:color w:val="auto"/>
        </w:rPr>
      </w:pPr>
    </w:p>
    <w:p>
      <w:pPr>
        <w:ind w:left="560" w:hanging="162"/>
        <w:spacing w:after="0"/>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w:t>
      </w:r>
    </w:p>
    <w:p>
      <w:pPr>
        <w:spacing w:after="0" w:line="184" w:lineRule="exact"/>
        <w:rPr>
          <w:sz w:val="20"/>
          <w:szCs w:val="20"/>
          <w:color w:val="auto"/>
        </w:rPr>
      </w:pPr>
    </w:p>
    <w:p>
      <w:pPr>
        <w:ind w:right="40" w:firstLine="398"/>
        <w:spacing w:after="0" w:line="301" w:lineRule="auto"/>
        <w:tabs>
          <w:tab w:leader="none" w:pos="596"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is required to perform it. Failure of the Company to obtain such assumption and agreement prior to the effectiveness of any such succession shall be a breach of this Agreement and shall entitle you to compensation from the Company in the same amount and on the same terms as you would be entitled hereunder if you had terminated your employment for Good Reason following a Change in Control, except that for purposes of implementing the foregoing, the date on which any such succession becomes effective shall be deemed the Date of Termination. As used in this Agreement, "Company" shall mean the Company as hereinbefore defined and any successor to its business and/or assets as aforesaid which assumes and agrees to perform this Agreement by operation of law, or otherwise.</w:t>
      </w:r>
    </w:p>
    <w:p>
      <w:pPr>
        <w:spacing w:after="0" w:line="135" w:lineRule="exact"/>
        <w:rPr>
          <w:rFonts w:ascii="Arial" w:cs="Arial" w:eastAsia="Arial" w:hAnsi="Arial"/>
          <w:sz w:val="15"/>
          <w:szCs w:val="15"/>
          <w:color w:val="auto"/>
        </w:rPr>
      </w:pPr>
    </w:p>
    <w:p>
      <w:pPr>
        <w:ind w:right="180" w:firstLine="398"/>
        <w:spacing w:after="0" w:line="265" w:lineRule="auto"/>
        <w:tabs>
          <w:tab w:leader="none" w:pos="6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your personal or legal representatives, executors, administrators, successors, heirs, distributees, devisees and legatees. If you should die while any amount would still be payable to you hereunder if you had continued to live, all such amounts, unless otherwise provided herein, shall be paid in accordance with the terms of this Agreement to your devisee, legatee or other designee or, if there is no such designee, to your estate.</w:t>
      </w:r>
    </w:p>
    <w:p>
      <w:pPr>
        <w:spacing w:after="0" w:line="145" w:lineRule="exact"/>
        <w:rPr>
          <w:sz w:val="20"/>
          <w:szCs w:val="20"/>
          <w:color w:val="auto"/>
        </w:rPr>
      </w:pPr>
    </w:p>
    <w:p>
      <w:pPr>
        <w:ind w:right="20" w:firstLine="398"/>
        <w:spacing w:after="0" w:line="263" w:lineRule="auto"/>
        <w:tabs>
          <w:tab w:leader="none" w:pos="56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For the purpose of this Agreement, notices and all other communications provided for in this Agreement shall be in writing and shall be deemed to have been duly given when delivered or mailed by United States registered mail, return receipt requested, postage prepaid, addressed to the respective addresses set forth on the first page of this Agreement, provided that all notices to the Company shall be directed to the attention of the Office of the Vice President-General Counsel of the Company, or to such other address as either party may have furnished to the other in writing in accordance herewith, except that notice of change of address shall be effective only upon receipt.</w:t>
      </w:r>
    </w:p>
    <w:p>
      <w:pPr>
        <w:spacing w:after="0" w:line="146" w:lineRule="exact"/>
        <w:rPr>
          <w:rFonts w:ascii="Arial" w:cs="Arial" w:eastAsia="Arial" w:hAnsi="Arial"/>
          <w:sz w:val="17"/>
          <w:szCs w:val="17"/>
          <w:color w:val="auto"/>
        </w:rPr>
      </w:pPr>
    </w:p>
    <w:p>
      <w:pPr>
        <w:ind w:firstLine="398"/>
        <w:spacing w:after="0" w:line="300" w:lineRule="auto"/>
        <w:tabs>
          <w:tab w:leader="none" w:pos="563"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No provision of this Agreement may be modified, waived or discharged unless such waiver, modification or discharge is agreed to in writing and signed by you and such officer as may be specifically designated by the Board. No waiver by either party hereto at any time of any breach by the other party hereto of, or compliance with, any conditions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Agreement. The validity, interpretation, construction and performance of this Agreement shall be governed by the laws of the State of New York, including Section 198 (1-a) of the New York Labor Law. All references to sections of the Code shall be deemed also to refer to any successor provisions to such sections. Any payments provided for hereunder shall be paid net of any applicable withholding required under federal, state or local law. The obligations of the Company under Section 4 shall survive the expiration of the term of this Agreement.</w:t>
      </w:r>
    </w:p>
    <w:p>
      <w:pPr>
        <w:spacing w:after="0" w:line="134" w:lineRule="exact"/>
        <w:rPr>
          <w:rFonts w:ascii="Arial" w:cs="Arial" w:eastAsia="Arial" w:hAnsi="Arial"/>
          <w:sz w:val="15"/>
          <w:szCs w:val="15"/>
          <w:color w:val="auto"/>
        </w:rPr>
      </w:pPr>
    </w:p>
    <w:p>
      <w:pPr>
        <w:ind w:right="440" w:firstLine="398"/>
        <w:spacing w:after="0" w:line="282" w:lineRule="auto"/>
        <w:tabs>
          <w:tab w:leader="none" w:pos="56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Validity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which shall remain in full force and effect.</w:t>
      </w:r>
    </w:p>
    <w:p>
      <w:pPr>
        <w:spacing w:after="0" w:line="129" w:lineRule="exact"/>
        <w:rPr>
          <w:rFonts w:ascii="Arial" w:cs="Arial" w:eastAsia="Arial" w:hAnsi="Arial"/>
          <w:sz w:val="17"/>
          <w:szCs w:val="17"/>
          <w:color w:val="auto"/>
        </w:rPr>
      </w:pPr>
    </w:p>
    <w:p>
      <w:pPr>
        <w:ind w:right="660" w:firstLine="398"/>
        <w:spacing w:after="0" w:line="282" w:lineRule="auto"/>
        <w:tabs>
          <w:tab w:leader="none" w:pos="56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several counterparts, each of which shall be deemed to be an original but all of which together will constitute one and the same instrument.</w:t>
      </w:r>
    </w:p>
    <w:p>
      <w:pPr>
        <w:spacing w:after="0" w:line="129" w:lineRule="exact"/>
        <w:rPr>
          <w:rFonts w:ascii="Arial" w:cs="Arial" w:eastAsia="Arial" w:hAnsi="Arial"/>
          <w:sz w:val="17"/>
          <w:szCs w:val="17"/>
          <w:color w:val="auto"/>
        </w:rPr>
      </w:pPr>
    </w:p>
    <w:p>
      <w:pPr>
        <w:ind w:right="120" w:firstLine="398"/>
        <w:spacing w:after="0" w:line="265" w:lineRule="auto"/>
        <w:tabs>
          <w:tab w:leader="none" w:pos="64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dispute or controversy arising under or in connection with this Agreement shall be settled exclusively by arbitration in accordance with the rules of the American Arbitration Association then in effect. Judgment may be entered on the arbitrator's award in any court having jurisdiction; provided, however, that you shall be entitled to seek specific performance of your right to be paid until the Date of Termination during the pendency of any dispute or controversy arising under or in connection with this Agreement.</w:t>
      </w:r>
    </w:p>
    <w:p>
      <w:pPr>
        <w:spacing w:after="0" w:line="158" w:lineRule="exact"/>
        <w:rPr>
          <w:sz w:val="20"/>
          <w:szCs w:val="20"/>
          <w:color w:val="auto"/>
        </w:rPr>
      </w:pPr>
    </w:p>
    <w:p>
      <w:pPr>
        <w:ind w:right="640" w:firstLine="393"/>
        <w:spacing w:after="0" w:line="282" w:lineRule="auto"/>
        <w:rPr>
          <w:sz w:val="20"/>
          <w:szCs w:val="20"/>
          <w:color w:val="auto"/>
        </w:rPr>
      </w:pPr>
      <w:r>
        <w:rPr>
          <w:rFonts w:ascii="Arial" w:cs="Arial" w:eastAsia="Arial" w:hAnsi="Arial"/>
          <w:sz w:val="17"/>
          <w:szCs w:val="17"/>
          <w:color w:val="auto"/>
        </w:rPr>
        <w:t>If this letter sets forth our agreement on the subject matter hereof, kindly sign and return to the Company the enclosed copy of this letter which will then constitute our agreement on this subject.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Paul R. Saueracker</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131" w:right="239" w:bottom="581" w:gutter="0" w:footer="0" w:header="0"/>
        </w:sectPr>
      </w:pPr>
    </w:p>
    <w:bookmarkStart w:id="55" w:name="page56"/>
    <w:bookmarkEnd w:id="55"/>
    <w:p>
      <w:pPr>
        <w:spacing w:after="0"/>
        <w:rPr>
          <w:sz w:val="20"/>
          <w:szCs w:val="20"/>
          <w:color w:val="auto"/>
        </w:rPr>
      </w:pPr>
      <w:r>
        <w:rPr>
          <w:rFonts w:ascii="Arial" w:cs="Arial" w:eastAsia="Arial" w:hAnsi="Arial"/>
          <w:sz w:val="15"/>
          <w:szCs w:val="15"/>
          <w:color w:val="auto"/>
        </w:rPr>
        <w:t>Agreed to as of the___day of_________, 200____.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ectPr>
          <w:pgSz w:w="11900" w:h="16838" w:orient="portrait"/>
          <w:cols w:equalWidth="0" w:num="1">
            <w:col w:w="10219"/>
          </w:cols>
          <w:pgMar w:left="240" w:top="131" w:right="1440" w:bottom="1440" w:gutter="0" w:footer="0" w:header="0"/>
        </w:sectPr>
      </w:pPr>
    </w:p>
    <w:bookmarkStart w:id="56" w:name="page57"/>
    <w:bookmarkEnd w:id="56"/>
    <w:p>
      <w:pPr>
        <w:jc w:val="right"/>
        <w:ind w:right="119"/>
        <w:spacing w:after="0"/>
        <w:rPr>
          <w:sz w:val="20"/>
          <w:szCs w:val="20"/>
          <w:color w:val="auto"/>
        </w:rPr>
      </w:pPr>
      <w:r>
        <w:rPr>
          <w:rFonts w:ascii="Arial" w:cs="Arial" w:eastAsia="Arial" w:hAnsi="Arial"/>
          <w:sz w:val="17"/>
          <w:szCs w:val="17"/>
          <w:b w:val="1"/>
          <w:bCs w:val="1"/>
          <w:color w:val="auto"/>
        </w:rPr>
        <w:t>EXHIBIT 21.1</w:t>
      </w:r>
    </w:p>
    <w:p>
      <w:pPr>
        <w:spacing w:after="0" w:line="276" w:lineRule="exact"/>
        <w:rPr>
          <w:sz w:val="20"/>
          <w:szCs w:val="20"/>
          <w:color w:val="auto"/>
        </w:rPr>
      </w:pPr>
    </w:p>
    <w:tbl>
      <w:tblPr>
        <w:tblLayout w:type="fixed"/>
        <w:tblInd w:w="140" w:type="dxa"/>
        <w:tblCellMar>
          <w:top w:w="0" w:type="dxa"/>
          <w:left w:w="0" w:type="dxa"/>
          <w:bottom w:w="0" w:type="dxa"/>
          <w:right w:w="0" w:type="dxa"/>
        </w:tblCellMar>
      </w:tblPr>
      <w:tr>
        <w:trPr>
          <w:trHeight w:val="220"/>
        </w:trPr>
        <w:tc>
          <w:tcPr>
            <w:tcW w:w="1620" w:type="dxa"/>
            <w:vAlign w:val="bottom"/>
          </w:tcPr>
          <w:p>
            <w:pPr>
              <w:spacing w:after="0"/>
              <w:rPr>
                <w:sz w:val="19"/>
                <w:szCs w:val="19"/>
                <w:color w:val="auto"/>
              </w:rPr>
            </w:pPr>
          </w:p>
        </w:tc>
        <w:tc>
          <w:tcPr>
            <w:tcW w:w="4160" w:type="dxa"/>
            <w:vAlign w:val="bottom"/>
          </w:tcPr>
          <w:p>
            <w:pPr>
              <w:ind w:left="1360"/>
              <w:spacing w:after="0"/>
              <w:rPr>
                <w:sz w:val="20"/>
                <w:szCs w:val="20"/>
                <w:color w:val="auto"/>
              </w:rPr>
            </w:pPr>
            <w:r>
              <w:rPr>
                <w:rFonts w:ascii="Arial" w:cs="Arial" w:eastAsia="Arial" w:hAnsi="Arial"/>
                <w:sz w:val="17"/>
                <w:szCs w:val="17"/>
                <w:b w:val="1"/>
                <w:bCs w:val="1"/>
                <w:color w:val="auto"/>
                <w:w w:val="99"/>
              </w:rPr>
              <w:t>SUBSIDIARIES OF THE COMPANY</w:t>
            </w:r>
          </w:p>
        </w:tc>
        <w:tc>
          <w:tcPr>
            <w:tcW w:w="1640" w:type="dxa"/>
            <w:vAlign w:val="bottom"/>
          </w:tcPr>
          <w:p>
            <w:pPr>
              <w:spacing w:after="0"/>
              <w:rPr>
                <w:sz w:val="19"/>
                <w:szCs w:val="19"/>
                <w:color w:val="auto"/>
              </w:rPr>
            </w:pPr>
          </w:p>
        </w:tc>
      </w:tr>
      <w:tr>
        <w:trPr>
          <w:trHeight w:val="408"/>
        </w:trPr>
        <w:tc>
          <w:tcPr>
            <w:tcW w:w="5780" w:type="dxa"/>
            <w:vAlign w:val="bottom"/>
            <w:gridSpan w:val="2"/>
          </w:tcPr>
          <w:p>
            <w:pPr>
              <w:spacing w:after="0"/>
              <w:rPr>
                <w:sz w:val="20"/>
                <w:szCs w:val="20"/>
                <w:color w:val="auto"/>
              </w:rPr>
            </w:pPr>
            <w:r>
              <w:rPr>
                <w:rFonts w:ascii="Arial" w:cs="Arial" w:eastAsia="Arial" w:hAnsi="Arial"/>
                <w:sz w:val="17"/>
                <w:szCs w:val="17"/>
                <w:b w:val="1"/>
                <w:bCs w:val="1"/>
                <w:color w:val="auto"/>
              </w:rPr>
              <w:t>Name of the Company</w:t>
            </w:r>
          </w:p>
        </w:tc>
        <w:tc>
          <w:tcPr>
            <w:tcW w:w="1640" w:type="dxa"/>
            <w:vAlign w:val="bottom"/>
          </w:tcPr>
          <w:p>
            <w:pPr>
              <w:spacing w:after="0"/>
              <w:rPr>
                <w:sz w:val="20"/>
                <w:szCs w:val="20"/>
                <w:color w:val="auto"/>
              </w:rPr>
            </w:pPr>
            <w:r>
              <w:rPr>
                <w:rFonts w:ascii="Arial" w:cs="Arial" w:eastAsia="Arial" w:hAnsi="Arial"/>
                <w:sz w:val="17"/>
                <w:szCs w:val="17"/>
                <w:b w:val="1"/>
                <w:bCs w:val="1"/>
                <w:color w:val="auto"/>
                <w:w w:val="90"/>
              </w:rPr>
              <w:t>Place of Incorporation</w:t>
            </w:r>
          </w:p>
        </w:tc>
      </w:tr>
      <w:tr>
        <w:trPr>
          <w:trHeight w:val="20"/>
        </w:trPr>
        <w:tc>
          <w:tcPr>
            <w:tcW w:w="16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456"/>
        </w:trPr>
        <w:tc>
          <w:tcPr>
            <w:tcW w:w="5780" w:type="dxa"/>
            <w:vAlign w:val="bottom"/>
            <w:gridSpan w:val="2"/>
          </w:tcPr>
          <w:p>
            <w:pPr>
              <w:spacing w:after="0"/>
              <w:rPr>
                <w:sz w:val="20"/>
                <w:szCs w:val="20"/>
                <w:color w:val="auto"/>
              </w:rPr>
            </w:pPr>
            <w:r>
              <w:rPr>
                <w:rFonts w:ascii="Arial" w:cs="Arial" w:eastAsia="Arial" w:hAnsi="Arial"/>
                <w:sz w:val="17"/>
                <w:szCs w:val="17"/>
                <w:color w:val="auto"/>
              </w:rPr>
              <w:t>APP China Specialty Minerals Pte Ltd.</w:t>
            </w:r>
          </w:p>
        </w:tc>
        <w:tc>
          <w:tcPr>
            <w:tcW w:w="1640" w:type="dxa"/>
            <w:vAlign w:val="bottom"/>
          </w:tcPr>
          <w:p>
            <w:pPr>
              <w:spacing w:after="0"/>
              <w:rPr>
                <w:sz w:val="20"/>
                <w:szCs w:val="20"/>
                <w:color w:val="auto"/>
              </w:rPr>
            </w:pPr>
            <w:r>
              <w:rPr>
                <w:rFonts w:ascii="Arial" w:cs="Arial" w:eastAsia="Arial" w:hAnsi="Arial"/>
                <w:sz w:val="17"/>
                <w:szCs w:val="17"/>
                <w:color w:val="auto"/>
              </w:rPr>
              <w:t>Singapore</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Barretts Minerals Inc.</w:t>
            </w:r>
          </w:p>
        </w:tc>
        <w:tc>
          <w:tcPr>
            <w:tcW w:w="1640" w:type="dxa"/>
            <w:vAlign w:val="bottom"/>
          </w:tcPr>
          <w:p>
            <w:pPr>
              <w:spacing w:after="0"/>
              <w:rPr>
                <w:sz w:val="20"/>
                <w:szCs w:val="20"/>
                <w:color w:val="auto"/>
              </w:rPr>
            </w:pPr>
            <w:r>
              <w:rPr>
                <w:rFonts w:ascii="Arial" w:cs="Arial" w:eastAsia="Arial" w:hAnsi="Arial"/>
                <w:sz w:val="17"/>
                <w:szCs w:val="17"/>
                <w:color w:val="auto"/>
              </w:rPr>
              <w:t>Delaware</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ComSource Trading Ltd.</w:t>
            </w:r>
          </w:p>
        </w:tc>
        <w:tc>
          <w:tcPr>
            <w:tcW w:w="1640" w:type="dxa"/>
            <w:vAlign w:val="bottom"/>
          </w:tcPr>
          <w:p>
            <w:pPr>
              <w:spacing w:after="0"/>
              <w:rPr>
                <w:sz w:val="20"/>
                <w:szCs w:val="20"/>
                <w:color w:val="auto"/>
              </w:rPr>
            </w:pPr>
            <w:r>
              <w:rPr>
                <w:rFonts w:ascii="Arial" w:cs="Arial" w:eastAsia="Arial" w:hAnsi="Arial"/>
                <w:sz w:val="17"/>
                <w:szCs w:val="17"/>
                <w:color w:val="auto"/>
              </w:rPr>
              <w:t>Delaware</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Ferrotron Technologies GmbH</w:t>
            </w:r>
          </w:p>
        </w:tc>
        <w:tc>
          <w:tcPr>
            <w:tcW w:w="1640" w:type="dxa"/>
            <w:vAlign w:val="bottom"/>
          </w:tcPr>
          <w:p>
            <w:pPr>
              <w:spacing w:after="0"/>
              <w:rPr>
                <w:sz w:val="20"/>
                <w:szCs w:val="20"/>
                <w:color w:val="auto"/>
              </w:rPr>
            </w:pPr>
            <w:r>
              <w:rPr>
                <w:rFonts w:ascii="Arial" w:cs="Arial" w:eastAsia="Arial" w:hAnsi="Arial"/>
                <w:sz w:val="17"/>
                <w:szCs w:val="17"/>
                <w:color w:val="auto"/>
              </w:rPr>
              <w:t>Germany</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Gold Sheng Chemicals (Zhenjiang) Co., Ltd.</w:t>
            </w:r>
          </w:p>
        </w:tc>
        <w:tc>
          <w:tcPr>
            <w:tcW w:w="1640" w:type="dxa"/>
            <w:vAlign w:val="bottom"/>
          </w:tcPr>
          <w:p>
            <w:pPr>
              <w:spacing w:after="0"/>
              <w:rPr>
                <w:sz w:val="20"/>
                <w:szCs w:val="20"/>
                <w:color w:val="auto"/>
              </w:rPr>
            </w:pPr>
            <w:r>
              <w:rPr>
                <w:rFonts w:ascii="Arial" w:cs="Arial" w:eastAsia="Arial" w:hAnsi="Arial"/>
                <w:sz w:val="17"/>
                <w:szCs w:val="17"/>
                <w:color w:val="auto"/>
              </w:rPr>
              <w:t>China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Hi-Tech Specialty Minerals Company, Limited</w:t>
            </w:r>
          </w:p>
        </w:tc>
        <w:tc>
          <w:tcPr>
            <w:tcW w:w="1640" w:type="dxa"/>
            <w:vAlign w:val="bottom"/>
          </w:tcPr>
          <w:p>
            <w:pPr>
              <w:spacing w:after="0"/>
              <w:rPr>
                <w:sz w:val="20"/>
                <w:szCs w:val="20"/>
                <w:color w:val="auto"/>
              </w:rPr>
            </w:pPr>
            <w:r>
              <w:rPr>
                <w:rFonts w:ascii="Arial" w:cs="Arial" w:eastAsia="Arial" w:hAnsi="Arial"/>
                <w:sz w:val="17"/>
                <w:szCs w:val="17"/>
                <w:color w:val="auto"/>
              </w:rPr>
              <w:t>Thailand</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Huzhou Minteq Refractory Co. Ltd.</w:t>
            </w:r>
          </w:p>
        </w:tc>
        <w:tc>
          <w:tcPr>
            <w:tcW w:w="1640" w:type="dxa"/>
            <w:vAlign w:val="bottom"/>
          </w:tcPr>
          <w:p>
            <w:pPr>
              <w:spacing w:after="0"/>
              <w:rPr>
                <w:sz w:val="20"/>
                <w:szCs w:val="20"/>
                <w:color w:val="auto"/>
              </w:rPr>
            </w:pPr>
            <w:r>
              <w:rPr>
                <w:rFonts w:ascii="Arial" w:cs="Arial" w:eastAsia="Arial" w:hAnsi="Arial"/>
                <w:sz w:val="17"/>
                <w:szCs w:val="17"/>
                <w:color w:val="auto"/>
              </w:rPr>
              <w:t>China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Minerals Technologies Europe N.V.</w:t>
            </w:r>
          </w:p>
        </w:tc>
        <w:tc>
          <w:tcPr>
            <w:tcW w:w="1640" w:type="dxa"/>
            <w:vAlign w:val="bottom"/>
          </w:tcPr>
          <w:p>
            <w:pPr>
              <w:spacing w:after="0"/>
              <w:rPr>
                <w:sz w:val="20"/>
                <w:szCs w:val="20"/>
                <w:color w:val="auto"/>
              </w:rPr>
            </w:pPr>
            <w:r>
              <w:rPr>
                <w:rFonts w:ascii="Arial" w:cs="Arial" w:eastAsia="Arial" w:hAnsi="Arial"/>
                <w:sz w:val="17"/>
                <w:szCs w:val="17"/>
                <w:color w:val="auto"/>
              </w:rPr>
              <w:t>Belgium</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Minerals Technologies Holdings Ltd.</w:t>
            </w:r>
          </w:p>
        </w:tc>
        <w:tc>
          <w:tcPr>
            <w:tcW w:w="1640" w:type="dxa"/>
            <w:vAlign w:val="bottom"/>
          </w:tcPr>
          <w:p>
            <w:pPr>
              <w:spacing w:after="0"/>
              <w:rPr>
                <w:sz w:val="20"/>
                <w:szCs w:val="20"/>
                <w:color w:val="auto"/>
              </w:rPr>
            </w:pPr>
            <w:r>
              <w:rPr>
                <w:rFonts w:ascii="Arial" w:cs="Arial" w:eastAsia="Arial" w:hAnsi="Arial"/>
                <w:sz w:val="17"/>
                <w:szCs w:val="17"/>
                <w:color w:val="auto"/>
              </w:rPr>
              <w:t>United Kingdom</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Minerals Technologies Holdings, S. de R. L. de C.V.</w:t>
            </w:r>
          </w:p>
        </w:tc>
        <w:tc>
          <w:tcPr>
            <w:tcW w:w="1640" w:type="dxa"/>
            <w:vAlign w:val="bottom"/>
          </w:tcPr>
          <w:p>
            <w:pPr>
              <w:spacing w:after="0"/>
              <w:rPr>
                <w:sz w:val="20"/>
                <w:szCs w:val="20"/>
                <w:color w:val="auto"/>
              </w:rPr>
            </w:pPr>
            <w:r>
              <w:rPr>
                <w:rFonts w:ascii="Arial" w:cs="Arial" w:eastAsia="Arial" w:hAnsi="Arial"/>
                <w:sz w:val="17"/>
                <w:szCs w:val="17"/>
                <w:color w:val="auto"/>
              </w:rPr>
              <w:t>Mexico</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Minerals Technologies South Africa (Pty) Ltd.</w:t>
            </w:r>
          </w:p>
        </w:tc>
        <w:tc>
          <w:tcPr>
            <w:tcW w:w="1640" w:type="dxa"/>
            <w:vAlign w:val="bottom"/>
          </w:tcPr>
          <w:p>
            <w:pPr>
              <w:spacing w:after="0"/>
              <w:rPr>
                <w:sz w:val="20"/>
                <w:szCs w:val="20"/>
                <w:color w:val="auto"/>
              </w:rPr>
            </w:pPr>
            <w:r>
              <w:rPr>
                <w:rFonts w:ascii="Arial" w:cs="Arial" w:eastAsia="Arial" w:hAnsi="Arial"/>
                <w:sz w:val="17"/>
                <w:szCs w:val="17"/>
                <w:color w:val="auto"/>
              </w:rPr>
              <w:t>South Africa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Mintech Canada Inc.</w:t>
            </w:r>
          </w:p>
        </w:tc>
        <w:tc>
          <w:tcPr>
            <w:tcW w:w="1640" w:type="dxa"/>
            <w:vAlign w:val="bottom"/>
          </w:tcPr>
          <w:p>
            <w:pPr>
              <w:spacing w:after="0"/>
              <w:rPr>
                <w:sz w:val="20"/>
                <w:szCs w:val="20"/>
                <w:color w:val="auto"/>
              </w:rPr>
            </w:pPr>
            <w:r>
              <w:rPr>
                <w:rFonts w:ascii="Arial" w:cs="Arial" w:eastAsia="Arial" w:hAnsi="Arial"/>
                <w:sz w:val="17"/>
                <w:szCs w:val="17"/>
                <w:color w:val="auto"/>
              </w:rPr>
              <w:t>Canada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Mintech do Brasil Comercio Ltda.</w:t>
            </w:r>
          </w:p>
        </w:tc>
        <w:tc>
          <w:tcPr>
            <w:tcW w:w="1640" w:type="dxa"/>
            <w:vAlign w:val="bottom"/>
          </w:tcPr>
          <w:p>
            <w:pPr>
              <w:spacing w:after="0"/>
              <w:rPr>
                <w:sz w:val="20"/>
                <w:szCs w:val="20"/>
                <w:color w:val="auto"/>
              </w:rPr>
            </w:pPr>
            <w:r>
              <w:rPr>
                <w:rFonts w:ascii="Arial" w:cs="Arial" w:eastAsia="Arial" w:hAnsi="Arial"/>
                <w:sz w:val="17"/>
                <w:szCs w:val="17"/>
                <w:color w:val="auto"/>
              </w:rPr>
              <w:t>Brazil</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Mintech Japan K.K.</w:t>
            </w:r>
          </w:p>
        </w:tc>
        <w:tc>
          <w:tcPr>
            <w:tcW w:w="1640" w:type="dxa"/>
            <w:vAlign w:val="bottom"/>
          </w:tcPr>
          <w:p>
            <w:pPr>
              <w:spacing w:after="0"/>
              <w:rPr>
                <w:sz w:val="20"/>
                <w:szCs w:val="20"/>
                <w:color w:val="auto"/>
              </w:rPr>
            </w:pPr>
            <w:r>
              <w:rPr>
                <w:rFonts w:ascii="Arial" w:cs="Arial" w:eastAsia="Arial" w:hAnsi="Arial"/>
                <w:sz w:val="17"/>
                <w:szCs w:val="17"/>
                <w:color w:val="auto"/>
              </w:rPr>
              <w:t>Japan</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Minteq Australia Pty Ltd.</w:t>
            </w:r>
          </w:p>
        </w:tc>
        <w:tc>
          <w:tcPr>
            <w:tcW w:w="1640" w:type="dxa"/>
            <w:vAlign w:val="bottom"/>
          </w:tcPr>
          <w:p>
            <w:pPr>
              <w:spacing w:after="0"/>
              <w:rPr>
                <w:sz w:val="20"/>
                <w:szCs w:val="20"/>
                <w:color w:val="auto"/>
              </w:rPr>
            </w:pPr>
            <w:r>
              <w:rPr>
                <w:rFonts w:ascii="Arial" w:cs="Arial" w:eastAsia="Arial" w:hAnsi="Arial"/>
                <w:sz w:val="17"/>
                <w:szCs w:val="17"/>
                <w:color w:val="auto"/>
              </w:rPr>
              <w:t>Australia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Minteq Europe Limited.</w:t>
            </w:r>
          </w:p>
        </w:tc>
        <w:tc>
          <w:tcPr>
            <w:tcW w:w="1640" w:type="dxa"/>
            <w:vAlign w:val="bottom"/>
          </w:tcPr>
          <w:p>
            <w:pPr>
              <w:spacing w:after="0"/>
              <w:rPr>
                <w:sz w:val="20"/>
                <w:szCs w:val="20"/>
                <w:color w:val="auto"/>
              </w:rPr>
            </w:pPr>
            <w:r>
              <w:rPr>
                <w:rFonts w:ascii="Arial" w:cs="Arial" w:eastAsia="Arial" w:hAnsi="Arial"/>
                <w:sz w:val="17"/>
                <w:szCs w:val="17"/>
                <w:color w:val="auto"/>
              </w:rPr>
              <w:t>Ireland</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Minteq International GmbH</w:t>
            </w:r>
          </w:p>
        </w:tc>
        <w:tc>
          <w:tcPr>
            <w:tcW w:w="1640" w:type="dxa"/>
            <w:vAlign w:val="bottom"/>
          </w:tcPr>
          <w:p>
            <w:pPr>
              <w:spacing w:after="0"/>
              <w:rPr>
                <w:sz w:val="20"/>
                <w:szCs w:val="20"/>
                <w:color w:val="auto"/>
              </w:rPr>
            </w:pPr>
            <w:r>
              <w:rPr>
                <w:rFonts w:ascii="Arial" w:cs="Arial" w:eastAsia="Arial" w:hAnsi="Arial"/>
                <w:sz w:val="17"/>
                <w:szCs w:val="17"/>
                <w:color w:val="auto"/>
              </w:rPr>
              <w:t>Germany</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Minteq International Inc.</w:t>
            </w:r>
          </w:p>
        </w:tc>
        <w:tc>
          <w:tcPr>
            <w:tcW w:w="1640" w:type="dxa"/>
            <w:vAlign w:val="bottom"/>
          </w:tcPr>
          <w:p>
            <w:pPr>
              <w:spacing w:after="0"/>
              <w:rPr>
                <w:sz w:val="20"/>
                <w:szCs w:val="20"/>
                <w:color w:val="auto"/>
              </w:rPr>
            </w:pPr>
            <w:r>
              <w:rPr>
                <w:rFonts w:ascii="Arial" w:cs="Arial" w:eastAsia="Arial" w:hAnsi="Arial"/>
                <w:sz w:val="17"/>
                <w:szCs w:val="17"/>
                <w:color w:val="auto"/>
              </w:rPr>
              <w:t>Delaware</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Minteq Italiana S.p.A.</w:t>
            </w:r>
          </w:p>
        </w:tc>
        <w:tc>
          <w:tcPr>
            <w:tcW w:w="1640" w:type="dxa"/>
            <w:vAlign w:val="bottom"/>
          </w:tcPr>
          <w:p>
            <w:pPr>
              <w:spacing w:after="0"/>
              <w:rPr>
                <w:sz w:val="20"/>
                <w:szCs w:val="20"/>
                <w:color w:val="auto"/>
              </w:rPr>
            </w:pPr>
            <w:r>
              <w:rPr>
                <w:rFonts w:ascii="Arial" w:cs="Arial" w:eastAsia="Arial" w:hAnsi="Arial"/>
                <w:sz w:val="17"/>
                <w:szCs w:val="17"/>
                <w:color w:val="auto"/>
              </w:rPr>
              <w:t>Italy</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Minteq Korea Inc.</w:t>
            </w:r>
          </w:p>
        </w:tc>
        <w:tc>
          <w:tcPr>
            <w:tcW w:w="1640" w:type="dxa"/>
            <w:vAlign w:val="bottom"/>
          </w:tcPr>
          <w:p>
            <w:pPr>
              <w:spacing w:after="0"/>
              <w:rPr>
                <w:sz w:val="20"/>
                <w:szCs w:val="20"/>
                <w:color w:val="auto"/>
              </w:rPr>
            </w:pPr>
            <w:r>
              <w:rPr>
                <w:rFonts w:ascii="Arial" w:cs="Arial" w:eastAsia="Arial" w:hAnsi="Arial"/>
                <w:sz w:val="17"/>
                <w:szCs w:val="17"/>
                <w:color w:val="auto"/>
              </w:rPr>
              <w:t>Korea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Minteq Magnesite Limited</w:t>
            </w:r>
          </w:p>
        </w:tc>
        <w:tc>
          <w:tcPr>
            <w:tcW w:w="1640" w:type="dxa"/>
            <w:vAlign w:val="bottom"/>
          </w:tcPr>
          <w:p>
            <w:pPr>
              <w:spacing w:after="0"/>
              <w:rPr>
                <w:sz w:val="20"/>
                <w:szCs w:val="20"/>
                <w:color w:val="auto"/>
              </w:rPr>
            </w:pPr>
            <w:r>
              <w:rPr>
                <w:rFonts w:ascii="Arial" w:cs="Arial" w:eastAsia="Arial" w:hAnsi="Arial"/>
                <w:sz w:val="17"/>
                <w:szCs w:val="17"/>
                <w:color w:val="auto"/>
              </w:rPr>
              <w:t>Ireland</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Minteq UK Limited.</w:t>
            </w:r>
          </w:p>
        </w:tc>
        <w:tc>
          <w:tcPr>
            <w:tcW w:w="1640" w:type="dxa"/>
            <w:vAlign w:val="bottom"/>
          </w:tcPr>
          <w:p>
            <w:pPr>
              <w:spacing w:after="0"/>
              <w:rPr>
                <w:sz w:val="20"/>
                <w:szCs w:val="20"/>
                <w:color w:val="auto"/>
              </w:rPr>
            </w:pPr>
            <w:r>
              <w:rPr>
                <w:rFonts w:ascii="Arial" w:cs="Arial" w:eastAsia="Arial" w:hAnsi="Arial"/>
                <w:sz w:val="17"/>
                <w:szCs w:val="17"/>
                <w:color w:val="auto"/>
              </w:rPr>
              <w:t>United Kingdom</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MTI Holdings GmbH</w:t>
            </w:r>
          </w:p>
        </w:tc>
        <w:tc>
          <w:tcPr>
            <w:tcW w:w="1640" w:type="dxa"/>
            <w:vAlign w:val="bottom"/>
          </w:tcPr>
          <w:p>
            <w:pPr>
              <w:spacing w:after="0"/>
              <w:rPr>
                <w:sz w:val="20"/>
                <w:szCs w:val="20"/>
                <w:color w:val="auto"/>
              </w:rPr>
            </w:pPr>
            <w:r>
              <w:rPr>
                <w:rFonts w:ascii="Arial" w:cs="Arial" w:eastAsia="Arial" w:hAnsi="Arial"/>
                <w:sz w:val="17"/>
                <w:szCs w:val="17"/>
                <w:color w:val="auto"/>
              </w:rPr>
              <w:t>Germany</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MTX Finance Inc.</w:t>
            </w:r>
          </w:p>
        </w:tc>
        <w:tc>
          <w:tcPr>
            <w:tcW w:w="1640" w:type="dxa"/>
            <w:vAlign w:val="bottom"/>
          </w:tcPr>
          <w:p>
            <w:pPr>
              <w:spacing w:after="0"/>
              <w:rPr>
                <w:sz w:val="20"/>
                <w:szCs w:val="20"/>
                <w:color w:val="auto"/>
              </w:rPr>
            </w:pPr>
            <w:r>
              <w:rPr>
                <w:rFonts w:ascii="Arial" w:cs="Arial" w:eastAsia="Arial" w:hAnsi="Arial"/>
                <w:sz w:val="17"/>
                <w:szCs w:val="17"/>
                <w:color w:val="auto"/>
              </w:rPr>
              <w:t>Delaware</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MTX Finance Ireland</w:t>
            </w:r>
          </w:p>
        </w:tc>
        <w:tc>
          <w:tcPr>
            <w:tcW w:w="1640" w:type="dxa"/>
            <w:vAlign w:val="bottom"/>
          </w:tcPr>
          <w:p>
            <w:pPr>
              <w:spacing w:after="0"/>
              <w:rPr>
                <w:sz w:val="20"/>
                <w:szCs w:val="20"/>
                <w:color w:val="auto"/>
              </w:rPr>
            </w:pPr>
            <w:r>
              <w:rPr>
                <w:rFonts w:ascii="Arial" w:cs="Arial" w:eastAsia="Arial" w:hAnsi="Arial"/>
                <w:sz w:val="17"/>
                <w:szCs w:val="17"/>
                <w:color w:val="auto"/>
              </w:rPr>
              <w:t>Ireland</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PT Sinar Mas Specialty Minerals</w:t>
            </w:r>
          </w:p>
        </w:tc>
        <w:tc>
          <w:tcPr>
            <w:tcW w:w="1640" w:type="dxa"/>
            <w:vAlign w:val="bottom"/>
          </w:tcPr>
          <w:p>
            <w:pPr>
              <w:spacing w:after="0"/>
              <w:rPr>
                <w:sz w:val="20"/>
                <w:szCs w:val="20"/>
                <w:color w:val="auto"/>
              </w:rPr>
            </w:pPr>
            <w:r>
              <w:rPr>
                <w:rFonts w:ascii="Arial" w:cs="Arial" w:eastAsia="Arial" w:hAnsi="Arial"/>
                <w:sz w:val="17"/>
                <w:szCs w:val="17"/>
                <w:color w:val="auto"/>
              </w:rPr>
              <w:t>Indonesia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do Brasil - Comercio e Industria Ltda.</w:t>
            </w:r>
          </w:p>
        </w:tc>
        <w:tc>
          <w:tcPr>
            <w:tcW w:w="1640" w:type="dxa"/>
            <w:vAlign w:val="bottom"/>
          </w:tcPr>
          <w:p>
            <w:pPr>
              <w:spacing w:after="0"/>
              <w:rPr>
                <w:sz w:val="20"/>
                <w:szCs w:val="20"/>
                <w:color w:val="auto"/>
              </w:rPr>
            </w:pPr>
            <w:r>
              <w:rPr>
                <w:rFonts w:ascii="Arial" w:cs="Arial" w:eastAsia="Arial" w:hAnsi="Arial"/>
                <w:sz w:val="17"/>
                <w:szCs w:val="17"/>
                <w:color w:val="auto"/>
              </w:rPr>
              <w:t>Brazil</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FMT K.K.</w:t>
            </w:r>
          </w:p>
        </w:tc>
        <w:tc>
          <w:tcPr>
            <w:tcW w:w="1640" w:type="dxa"/>
            <w:vAlign w:val="bottom"/>
          </w:tcPr>
          <w:p>
            <w:pPr>
              <w:spacing w:after="0"/>
              <w:rPr>
                <w:sz w:val="20"/>
                <w:szCs w:val="20"/>
                <w:color w:val="auto"/>
              </w:rPr>
            </w:pPr>
            <w:r>
              <w:rPr>
                <w:rFonts w:ascii="Arial" w:cs="Arial" w:eastAsia="Arial" w:hAnsi="Arial"/>
                <w:sz w:val="17"/>
                <w:szCs w:val="17"/>
                <w:color w:val="auto"/>
              </w:rPr>
              <w:t>Japan</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France S.A.R.L.</w:t>
            </w:r>
          </w:p>
        </w:tc>
        <w:tc>
          <w:tcPr>
            <w:tcW w:w="1640" w:type="dxa"/>
            <w:vAlign w:val="bottom"/>
          </w:tcPr>
          <w:p>
            <w:pPr>
              <w:spacing w:after="0"/>
              <w:rPr>
                <w:sz w:val="20"/>
                <w:szCs w:val="20"/>
                <w:color w:val="auto"/>
              </w:rPr>
            </w:pPr>
            <w:r>
              <w:rPr>
                <w:rFonts w:ascii="Arial" w:cs="Arial" w:eastAsia="Arial" w:hAnsi="Arial"/>
                <w:sz w:val="17"/>
                <w:szCs w:val="17"/>
                <w:color w:val="auto"/>
              </w:rPr>
              <w:t>France</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Inc.</w:t>
            </w:r>
          </w:p>
        </w:tc>
        <w:tc>
          <w:tcPr>
            <w:tcW w:w="1640" w:type="dxa"/>
            <w:vAlign w:val="bottom"/>
          </w:tcPr>
          <w:p>
            <w:pPr>
              <w:spacing w:after="0"/>
              <w:rPr>
                <w:sz w:val="20"/>
                <w:szCs w:val="20"/>
                <w:color w:val="auto"/>
              </w:rPr>
            </w:pPr>
            <w:r>
              <w:rPr>
                <w:rFonts w:ascii="Arial" w:cs="Arial" w:eastAsia="Arial" w:hAnsi="Arial"/>
                <w:sz w:val="17"/>
                <w:szCs w:val="17"/>
                <w:color w:val="auto"/>
              </w:rPr>
              <w:t>Delaware</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Inc. Poland Sp. z o.o.</w:t>
            </w:r>
          </w:p>
        </w:tc>
        <w:tc>
          <w:tcPr>
            <w:tcW w:w="1640" w:type="dxa"/>
            <w:vAlign w:val="bottom"/>
          </w:tcPr>
          <w:p>
            <w:pPr>
              <w:spacing w:after="0"/>
              <w:rPr>
                <w:sz w:val="20"/>
                <w:szCs w:val="20"/>
                <w:color w:val="auto"/>
              </w:rPr>
            </w:pPr>
            <w:r>
              <w:rPr>
                <w:rFonts w:ascii="Arial" w:cs="Arial" w:eastAsia="Arial" w:hAnsi="Arial"/>
                <w:sz w:val="17"/>
                <w:szCs w:val="17"/>
                <w:color w:val="auto"/>
              </w:rPr>
              <w:t>Poland</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International Inc.</w:t>
            </w:r>
          </w:p>
        </w:tc>
        <w:tc>
          <w:tcPr>
            <w:tcW w:w="1640" w:type="dxa"/>
            <w:vAlign w:val="bottom"/>
          </w:tcPr>
          <w:p>
            <w:pPr>
              <w:spacing w:after="0"/>
              <w:rPr>
                <w:sz w:val="20"/>
                <w:szCs w:val="20"/>
                <w:color w:val="auto"/>
              </w:rPr>
            </w:pPr>
            <w:r>
              <w:rPr>
                <w:rFonts w:ascii="Arial" w:cs="Arial" w:eastAsia="Arial" w:hAnsi="Arial"/>
                <w:sz w:val="17"/>
                <w:szCs w:val="17"/>
                <w:color w:val="auto"/>
              </w:rPr>
              <w:t>Delaware</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Israel Limited</w:t>
            </w:r>
          </w:p>
        </w:tc>
        <w:tc>
          <w:tcPr>
            <w:tcW w:w="1640" w:type="dxa"/>
            <w:vAlign w:val="bottom"/>
          </w:tcPr>
          <w:p>
            <w:pPr>
              <w:spacing w:after="0"/>
              <w:rPr>
                <w:sz w:val="20"/>
                <w:szCs w:val="20"/>
                <w:color w:val="auto"/>
              </w:rPr>
            </w:pPr>
            <w:r>
              <w:rPr>
                <w:rFonts w:ascii="Arial" w:cs="Arial" w:eastAsia="Arial" w:hAnsi="Arial"/>
                <w:sz w:val="17"/>
                <w:szCs w:val="17"/>
                <w:color w:val="auto"/>
              </w:rPr>
              <w:t>Israel</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Malaysia Sdn. Bhd.</w:t>
            </w:r>
          </w:p>
        </w:tc>
        <w:tc>
          <w:tcPr>
            <w:tcW w:w="1640" w:type="dxa"/>
            <w:vAlign w:val="bottom"/>
          </w:tcPr>
          <w:p>
            <w:pPr>
              <w:spacing w:after="0"/>
              <w:rPr>
                <w:sz w:val="20"/>
                <w:szCs w:val="20"/>
                <w:color w:val="auto"/>
              </w:rPr>
            </w:pPr>
            <w:r>
              <w:rPr>
                <w:rFonts w:ascii="Arial" w:cs="Arial" w:eastAsia="Arial" w:hAnsi="Arial"/>
                <w:sz w:val="17"/>
                <w:szCs w:val="17"/>
                <w:color w:val="auto"/>
              </w:rPr>
              <w:t>Malaysia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(Mauritius) Private Limited</w:t>
            </w:r>
          </w:p>
        </w:tc>
        <w:tc>
          <w:tcPr>
            <w:tcW w:w="1640" w:type="dxa"/>
            <w:vAlign w:val="bottom"/>
          </w:tcPr>
          <w:p>
            <w:pPr>
              <w:spacing w:after="0"/>
              <w:rPr>
                <w:sz w:val="20"/>
                <w:szCs w:val="20"/>
                <w:color w:val="auto"/>
              </w:rPr>
            </w:pPr>
            <w:r>
              <w:rPr>
                <w:rFonts w:ascii="Arial" w:cs="Arial" w:eastAsia="Arial" w:hAnsi="Arial"/>
                <w:sz w:val="17"/>
                <w:szCs w:val="17"/>
                <w:color w:val="auto"/>
              </w:rPr>
              <w:t>Mauritius</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(Michigan) Inc.</w:t>
            </w:r>
          </w:p>
        </w:tc>
        <w:tc>
          <w:tcPr>
            <w:tcW w:w="1640" w:type="dxa"/>
            <w:vAlign w:val="bottom"/>
          </w:tcPr>
          <w:p>
            <w:pPr>
              <w:spacing w:after="0"/>
              <w:rPr>
                <w:sz w:val="20"/>
                <w:szCs w:val="20"/>
                <w:color w:val="auto"/>
              </w:rPr>
            </w:pPr>
            <w:r>
              <w:rPr>
                <w:rFonts w:ascii="Arial" w:cs="Arial" w:eastAsia="Arial" w:hAnsi="Arial"/>
                <w:sz w:val="17"/>
                <w:szCs w:val="17"/>
                <w:color w:val="auto"/>
              </w:rPr>
              <w:t>Michigan</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Mississippi Inc.</w:t>
            </w:r>
          </w:p>
        </w:tc>
        <w:tc>
          <w:tcPr>
            <w:tcW w:w="1640" w:type="dxa"/>
            <w:vAlign w:val="bottom"/>
          </w:tcPr>
          <w:p>
            <w:pPr>
              <w:spacing w:after="0"/>
              <w:rPr>
                <w:sz w:val="20"/>
                <w:szCs w:val="20"/>
                <w:color w:val="auto"/>
              </w:rPr>
            </w:pPr>
            <w:r>
              <w:rPr>
                <w:rFonts w:ascii="Arial" w:cs="Arial" w:eastAsia="Arial" w:hAnsi="Arial"/>
                <w:sz w:val="17"/>
                <w:szCs w:val="17"/>
                <w:color w:val="auto"/>
              </w:rPr>
              <w:t>Delaware</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Nordic Oy Ab</w:t>
            </w:r>
          </w:p>
        </w:tc>
        <w:tc>
          <w:tcPr>
            <w:tcW w:w="1640" w:type="dxa"/>
            <w:vAlign w:val="bottom"/>
          </w:tcPr>
          <w:p>
            <w:pPr>
              <w:spacing w:after="0"/>
              <w:rPr>
                <w:sz w:val="20"/>
                <w:szCs w:val="20"/>
                <w:color w:val="auto"/>
              </w:rPr>
            </w:pPr>
            <w:r>
              <w:rPr>
                <w:rFonts w:ascii="Arial" w:cs="Arial" w:eastAsia="Arial" w:hAnsi="Arial"/>
                <w:sz w:val="17"/>
                <w:szCs w:val="17"/>
                <w:color w:val="auto"/>
              </w:rPr>
              <w:t>Finland</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Philippines, Inc.</w:t>
            </w:r>
          </w:p>
        </w:tc>
        <w:tc>
          <w:tcPr>
            <w:tcW w:w="1640" w:type="dxa"/>
            <w:vAlign w:val="bottom"/>
          </w:tcPr>
          <w:p>
            <w:pPr>
              <w:spacing w:after="0"/>
              <w:rPr>
                <w:sz w:val="20"/>
                <w:szCs w:val="20"/>
                <w:color w:val="auto"/>
              </w:rPr>
            </w:pPr>
            <w:r>
              <w:rPr>
                <w:rFonts w:ascii="Arial" w:cs="Arial" w:eastAsia="Arial" w:hAnsi="Arial"/>
                <w:sz w:val="17"/>
                <w:szCs w:val="17"/>
                <w:color w:val="auto"/>
              </w:rPr>
              <w:t>Philippines</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(Portugal) Especialidades Minerais, S.A.</w:t>
            </w:r>
          </w:p>
        </w:tc>
        <w:tc>
          <w:tcPr>
            <w:tcW w:w="1640" w:type="dxa"/>
            <w:vAlign w:val="bottom"/>
          </w:tcPr>
          <w:p>
            <w:pPr>
              <w:spacing w:after="0"/>
              <w:rPr>
                <w:sz w:val="20"/>
                <w:szCs w:val="20"/>
                <w:color w:val="auto"/>
              </w:rPr>
            </w:pPr>
            <w:r>
              <w:rPr>
                <w:rFonts w:ascii="Arial" w:cs="Arial" w:eastAsia="Arial" w:hAnsi="Arial"/>
                <w:sz w:val="17"/>
                <w:szCs w:val="17"/>
                <w:color w:val="auto"/>
              </w:rPr>
              <w:t>Portugal</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S.A. de C.V.</w:t>
            </w:r>
          </w:p>
        </w:tc>
        <w:tc>
          <w:tcPr>
            <w:tcW w:w="1640" w:type="dxa"/>
            <w:vAlign w:val="bottom"/>
          </w:tcPr>
          <w:p>
            <w:pPr>
              <w:spacing w:after="0"/>
              <w:rPr>
                <w:sz w:val="20"/>
                <w:szCs w:val="20"/>
                <w:color w:val="auto"/>
              </w:rPr>
            </w:pPr>
            <w:r>
              <w:rPr>
                <w:rFonts w:ascii="Arial" w:cs="Arial" w:eastAsia="Arial" w:hAnsi="Arial"/>
                <w:sz w:val="17"/>
                <w:szCs w:val="17"/>
                <w:color w:val="auto"/>
              </w:rPr>
              <w:t>Mexico</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Servicios, S. de R. L. de C.V.</w:t>
            </w:r>
          </w:p>
        </w:tc>
        <w:tc>
          <w:tcPr>
            <w:tcW w:w="1640" w:type="dxa"/>
            <w:vAlign w:val="bottom"/>
          </w:tcPr>
          <w:p>
            <w:pPr>
              <w:spacing w:after="0"/>
              <w:rPr>
                <w:sz w:val="20"/>
                <w:szCs w:val="20"/>
                <w:color w:val="auto"/>
              </w:rPr>
            </w:pPr>
            <w:r>
              <w:rPr>
                <w:rFonts w:ascii="Arial" w:cs="Arial" w:eastAsia="Arial" w:hAnsi="Arial"/>
                <w:sz w:val="17"/>
                <w:szCs w:val="17"/>
                <w:color w:val="auto"/>
              </w:rPr>
              <w:t>Mexico</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Slovakia, spol. sr.o.</w:t>
            </w:r>
          </w:p>
        </w:tc>
        <w:tc>
          <w:tcPr>
            <w:tcW w:w="1640" w:type="dxa"/>
            <w:vAlign w:val="bottom"/>
          </w:tcPr>
          <w:p>
            <w:pPr>
              <w:spacing w:after="0"/>
              <w:rPr>
                <w:sz w:val="20"/>
                <w:szCs w:val="20"/>
                <w:color w:val="auto"/>
              </w:rPr>
            </w:pPr>
            <w:r>
              <w:rPr>
                <w:rFonts w:ascii="Arial" w:cs="Arial" w:eastAsia="Arial" w:hAnsi="Arial"/>
                <w:sz w:val="17"/>
                <w:szCs w:val="17"/>
                <w:color w:val="auto"/>
              </w:rPr>
              <w:t>Slovakia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South Africa (Pty.) Limited</w:t>
            </w:r>
          </w:p>
        </w:tc>
        <w:tc>
          <w:tcPr>
            <w:tcW w:w="1640" w:type="dxa"/>
            <w:vAlign w:val="bottom"/>
          </w:tcPr>
          <w:p>
            <w:pPr>
              <w:spacing w:after="0"/>
              <w:rPr>
                <w:sz w:val="20"/>
                <w:szCs w:val="20"/>
                <w:color w:val="auto"/>
              </w:rPr>
            </w:pPr>
            <w:r>
              <w:rPr>
                <w:rFonts w:ascii="Arial" w:cs="Arial" w:eastAsia="Arial" w:hAnsi="Arial"/>
                <w:sz w:val="17"/>
                <w:szCs w:val="17"/>
                <w:color w:val="auto"/>
              </w:rPr>
              <w:t>South Africa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(Thailand) Limited</w:t>
            </w:r>
          </w:p>
        </w:tc>
        <w:tc>
          <w:tcPr>
            <w:tcW w:w="1640" w:type="dxa"/>
            <w:vAlign w:val="bottom"/>
          </w:tcPr>
          <w:p>
            <w:pPr>
              <w:spacing w:after="0"/>
              <w:rPr>
                <w:sz w:val="20"/>
                <w:szCs w:val="20"/>
                <w:color w:val="auto"/>
              </w:rPr>
            </w:pPr>
            <w:r>
              <w:rPr>
                <w:rFonts w:ascii="Arial" w:cs="Arial" w:eastAsia="Arial" w:hAnsi="Arial"/>
                <w:sz w:val="17"/>
                <w:szCs w:val="17"/>
                <w:color w:val="auto"/>
              </w:rPr>
              <w:t>Thailand</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Minerals UK Limited</w:t>
            </w:r>
          </w:p>
        </w:tc>
        <w:tc>
          <w:tcPr>
            <w:tcW w:w="1640" w:type="dxa"/>
            <w:vAlign w:val="bottom"/>
          </w:tcPr>
          <w:p>
            <w:pPr>
              <w:spacing w:after="0"/>
              <w:rPr>
                <w:sz w:val="20"/>
                <w:szCs w:val="20"/>
                <w:color w:val="auto"/>
              </w:rPr>
            </w:pPr>
            <w:r>
              <w:rPr>
                <w:rFonts w:ascii="Arial" w:cs="Arial" w:eastAsia="Arial" w:hAnsi="Arial"/>
                <w:sz w:val="17"/>
                <w:szCs w:val="17"/>
                <w:color w:val="auto"/>
              </w:rPr>
              <w:t>United Kingdom</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Specialty Pigments (India) Private Limited</w:t>
            </w:r>
          </w:p>
        </w:tc>
        <w:tc>
          <w:tcPr>
            <w:tcW w:w="1640" w:type="dxa"/>
            <w:vAlign w:val="bottom"/>
          </w:tcPr>
          <w:p>
            <w:pPr>
              <w:spacing w:after="0"/>
              <w:rPr>
                <w:sz w:val="20"/>
                <w:szCs w:val="20"/>
                <w:color w:val="auto"/>
              </w:rPr>
            </w:pPr>
            <w:r>
              <w:rPr>
                <w:rFonts w:ascii="Arial" w:cs="Arial" w:eastAsia="Arial" w:hAnsi="Arial"/>
                <w:sz w:val="17"/>
                <w:szCs w:val="17"/>
                <w:color w:val="auto"/>
              </w:rPr>
              <w:t>India</w:t>
            </w:r>
          </w:p>
        </w:tc>
      </w:tr>
      <w:tr>
        <w:trPr>
          <w:trHeight w:val="210"/>
        </w:trPr>
        <w:tc>
          <w:tcPr>
            <w:tcW w:w="5780" w:type="dxa"/>
            <w:vAlign w:val="bottom"/>
            <w:gridSpan w:val="2"/>
          </w:tcPr>
          <w:p>
            <w:pPr>
              <w:spacing w:after="0"/>
              <w:rPr>
                <w:sz w:val="20"/>
                <w:szCs w:val="20"/>
                <w:color w:val="auto"/>
              </w:rPr>
            </w:pPr>
            <w:r>
              <w:rPr>
                <w:rFonts w:ascii="Arial" w:cs="Arial" w:eastAsia="Arial" w:hAnsi="Arial"/>
                <w:sz w:val="17"/>
                <w:szCs w:val="17"/>
                <w:color w:val="auto"/>
              </w:rPr>
              <w:t>Synsil Products Inc.</w:t>
            </w:r>
          </w:p>
        </w:tc>
        <w:tc>
          <w:tcPr>
            <w:tcW w:w="1640" w:type="dxa"/>
            <w:vAlign w:val="bottom"/>
          </w:tcPr>
          <w:p>
            <w:pPr>
              <w:spacing w:after="0"/>
              <w:rPr>
                <w:sz w:val="20"/>
                <w:szCs w:val="20"/>
                <w:color w:val="auto"/>
              </w:rPr>
            </w:pPr>
            <w:r>
              <w:rPr>
                <w:rFonts w:ascii="Arial" w:cs="Arial" w:eastAsia="Arial" w:hAnsi="Arial"/>
                <w:sz w:val="17"/>
                <w:szCs w:val="17"/>
                <w:color w:val="auto"/>
              </w:rPr>
              <w:t>Delaware</w:t>
            </w:r>
          </w:p>
        </w:tc>
      </w:tr>
      <w:tr>
        <w:trPr>
          <w:trHeight w:val="216"/>
        </w:trPr>
        <w:tc>
          <w:tcPr>
            <w:tcW w:w="5780" w:type="dxa"/>
            <w:vAlign w:val="bottom"/>
            <w:gridSpan w:val="2"/>
          </w:tcPr>
          <w:p>
            <w:pPr>
              <w:spacing w:after="0"/>
              <w:rPr>
                <w:sz w:val="20"/>
                <w:szCs w:val="20"/>
                <w:color w:val="auto"/>
              </w:rPr>
            </w:pPr>
            <w:r>
              <w:rPr>
                <w:rFonts w:ascii="Arial" w:cs="Arial" w:eastAsia="Arial" w:hAnsi="Arial"/>
                <w:sz w:val="17"/>
                <w:szCs w:val="17"/>
                <w:color w:val="auto"/>
              </w:rPr>
              <w:t>Tecnologias Minerales de Mexico, S.A. de C.V.</w:t>
            </w:r>
          </w:p>
        </w:tc>
        <w:tc>
          <w:tcPr>
            <w:tcW w:w="1640" w:type="dxa"/>
            <w:vAlign w:val="bottom"/>
          </w:tcPr>
          <w:p>
            <w:pPr>
              <w:spacing w:after="0"/>
              <w:rPr>
                <w:sz w:val="20"/>
                <w:szCs w:val="20"/>
                <w:color w:val="auto"/>
              </w:rPr>
            </w:pPr>
            <w:r>
              <w:rPr>
                <w:rFonts w:ascii="Arial" w:cs="Arial" w:eastAsia="Arial" w:hAnsi="Arial"/>
                <w:sz w:val="17"/>
                <w:szCs w:val="17"/>
                <w:color w:val="auto"/>
              </w:rPr>
              <w:t>Mexico</w:t>
            </w:r>
          </w:p>
        </w:tc>
      </w:tr>
    </w:tbl>
    <w:p>
      <w:pPr>
        <w:sectPr>
          <w:pgSz w:w="11900" w:h="16838" w:orient="portrait"/>
          <w:cols w:equalWidth="0" w:num="1">
            <w:col w:w="9019"/>
          </w:cols>
          <w:pgMar w:left="1440" w:top="507"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REPORT AND CONSENT OF INDEPENDENT AUDITORS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Minerals Technologies Inc.:</w:t>
      </w:r>
    </w:p>
    <w:p>
      <w:pPr>
        <w:spacing w:after="0" w:line="178" w:lineRule="exact"/>
        <w:rPr>
          <w:sz w:val="20"/>
          <w:szCs w:val="20"/>
          <w:color w:val="auto"/>
        </w:rPr>
      </w:pPr>
    </w:p>
    <w:p>
      <w:pPr>
        <w:ind w:right="40" w:firstLine="422"/>
        <w:spacing w:after="0" w:line="311" w:lineRule="auto"/>
        <w:rPr>
          <w:sz w:val="20"/>
          <w:szCs w:val="20"/>
          <w:color w:val="auto"/>
        </w:rPr>
      </w:pPr>
      <w:r>
        <w:rPr>
          <w:rFonts w:ascii="Arial" w:cs="Arial" w:eastAsia="Arial" w:hAnsi="Arial"/>
          <w:sz w:val="15"/>
          <w:szCs w:val="15"/>
          <w:color w:val="auto"/>
        </w:rPr>
        <w:t>The audits referred to in our report dated January 18, 2001, included the related financial statement schedule for each of the years in the three-year period ended December 31, 2000, as listed in Item 14 of this Annual Report on Form 10-K. This financial statement schedule is the responsibility of the Company's management. Our responsibility is to express an opinion on this financial statement schedule based on our audits. In our opinion, such financial statement schedule, when considered in relation to the basic consolidated financial statements taken as a whole, presents fairly, in all material respects, the information set forth therein.</w:t>
      </w:r>
    </w:p>
    <w:p>
      <w:pPr>
        <w:spacing w:after="0" w:line="114" w:lineRule="exact"/>
        <w:rPr>
          <w:sz w:val="20"/>
          <w:szCs w:val="20"/>
          <w:color w:val="auto"/>
        </w:rPr>
      </w:pPr>
    </w:p>
    <w:p>
      <w:pPr>
        <w:ind w:right="220" w:firstLine="422"/>
        <w:spacing w:after="0" w:line="282" w:lineRule="auto"/>
        <w:rPr>
          <w:sz w:val="20"/>
          <w:szCs w:val="20"/>
          <w:color w:val="auto"/>
        </w:rPr>
      </w:pPr>
      <w:r>
        <w:rPr>
          <w:rFonts w:ascii="Arial" w:cs="Arial" w:eastAsia="Arial" w:hAnsi="Arial"/>
          <w:sz w:val="17"/>
          <w:szCs w:val="17"/>
          <w:color w:val="auto"/>
        </w:rPr>
        <w:t>We consent to the use of our reports included herein and incorporated by reference in the Registration Statements on Form S-8 (Nos. 33-59080, 33-65268, 33-96558 and 333-62739).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KPMG LLP</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20, 2001</w:t>
      </w:r>
    </w:p>
    <w:sectPr>
      <w:pgSz w:w="11900" w:h="16838" w:orient="portrait"/>
      <w:cols w:equalWidth="0" w:num="1">
        <w:col w:w="11420"/>
      </w:cols>
      <w:pgMar w:left="240" w:top="5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2"/>
      <w:numFmt w:val="bullet"/>
      <w:start w:val="1"/>
    </w:lvl>
  </w:abstractNum>
  <w:abstractNum w:abstractNumId="2">
    <w:nsid w:val="71F32454"/>
    <w:multiLevelType w:val="hybridMultilevel"/>
    <w:lvl w:ilvl="0">
      <w:lvlJc w:val="left"/>
      <w:lvlText w:val="3"/>
      <w:numFmt w:val="bullet"/>
      <w:start w:val="1"/>
    </w:lvl>
  </w:abstractNum>
  <w:abstractNum w:abstractNumId="3">
    <w:nsid w:val="2CA88611"/>
    <w:multiLevelType w:val="hybridMultilevel"/>
    <w:lvl w:ilvl="0">
      <w:lvlJc w:val="left"/>
      <w:lvlText w:val="2"/>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4"/>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1"/>
    </w:lvl>
  </w:abstractNum>
  <w:abstractNum w:abstractNumId="8">
    <w:nsid w:val="1E7FF521"/>
    <w:multiLevelType w:val="hybridMultilevel"/>
    <w:lvl w:ilvl="0">
      <w:lvlJc w:val="left"/>
      <w:lvlText w:val="%1."/>
      <w:numFmt w:val="decimal"/>
      <w:start w:val="12"/>
    </w:lvl>
  </w:abstractNum>
  <w:abstractNum w:abstractNumId="9">
    <w:nsid w:val="7C3DBD3D"/>
    <w:multiLevelType w:val="hybridMultilevel"/>
    <w:lvl w:ilvl="0">
      <w:lvlJc w:val="left"/>
      <w:lvlText w:val="(%1)"/>
      <w:numFmt w:val="lowerLetter"/>
      <w:start w:val="2"/>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1."/>
      <w:numFmt w:val="decimal"/>
      <w:start w:val="1"/>
    </w:lvl>
    <w:lvl w:ilvl="1">
      <w:lvlJc w:val="left"/>
      <w:lvlText w:val="(%2)"/>
      <w:numFmt w:val="lowerLetter"/>
      <w:start w:val="2"/>
    </w:lvl>
  </w:abstractNum>
  <w:abstractNum w:abstractNumId="12">
    <w:nsid w:val="22221A7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3">
    <w:nsid w:val="4516DDE9"/>
    <w:multiLevelType w:val="hybridMultilevel"/>
    <w:lvl w:ilvl="0">
      <w:lvlJc w:val="left"/>
      <w:lvlText w:val="(%1)"/>
      <w:numFmt w:val="decimal"/>
      <w:start w:val="90"/>
    </w:lvl>
    <w:lvl w:ilvl="1">
      <w:lvlJc w:val="left"/>
      <w:lvlText w:val="%2"/>
      <w:numFmt w:val="decimal"/>
      <w:start w:val="1"/>
    </w:lvl>
    <w:lvl w:ilvl="2">
      <w:lvlJc w:val="left"/>
      <w:lvlText w:val="(%3)"/>
      <w:numFmt w:val="lowerLetter"/>
      <w:start w:val="2"/>
    </w:lvl>
  </w:abstractNum>
  <w:abstractNum w:abstractNumId="14">
    <w:nsid w:val="3006C83E"/>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5">
    <w:nsid w:val="614FD4A1"/>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lvl w:ilvl="3">
      <w:lvlJc w:val="left"/>
      <w:lvlText w:val="%4"/>
      <w:numFmt w:val="upperLetter"/>
      <w:start w:val="1"/>
    </w:lvl>
  </w:abstractNum>
  <w:abstractNum w:abstractNumId="16">
    <w:nsid w:val="419AC241"/>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7">
    <w:nsid w:val="5577F8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8">
    <w:nsid w:val="440BADFC"/>
    <w:multiLevelType w:val="hybridMultilevel"/>
    <w:lvl w:ilvl="0">
      <w:lvlJc w:val="left"/>
      <w:lvlText w:val="%1"/>
      <w:numFmt w:val="decimal"/>
      <w:start w:val="1"/>
    </w:lvl>
    <w:lvl w:ilvl="1">
      <w:lvlJc w:val="left"/>
      <w:lvlText w:val="%2."/>
      <w:numFmt w:val="decimal"/>
      <w:start w:val="10"/>
    </w:lvl>
    <w:lvl w:ilvl="2">
      <w:lvlJc w:val="left"/>
      <w:lvlText w:val="(%3)"/>
      <w:numFmt w:val="lowerLetter"/>
      <w:start w:val="2"/>
    </w:lvl>
  </w:abstractNum>
  <w:abstractNum w:abstractNumId="19">
    <w:nsid w:val="5072367"/>
    <w:multiLevelType w:val="hybridMultilevel"/>
    <w:lvl w:ilvl="0">
      <w:lvlJc w:val="left"/>
      <w:lvlText w:val="%1."/>
      <w:numFmt w:val="decimal"/>
      <w:start w:val="14"/>
    </w:lvl>
    <w:lvl w:ilvl="1">
      <w:lvlJc w:val="left"/>
      <w:lvlText w:val="%2"/>
      <w:numFmt w:val="decimal"/>
      <w:start w:val="1"/>
    </w:lvl>
    <w:lvl w:ilvl="2">
      <w:lvlJc w:val="left"/>
      <w:lvlText w:val="%3"/>
      <w:numFmt w:val="lowerLetter"/>
      <w:start w:val="1"/>
    </w:lvl>
  </w:abstractNum>
  <w:abstractNum w:abstractNumId="20">
    <w:nsid w:val="3804823E"/>
    <w:multiLevelType w:val="hybridMultilevel"/>
    <w:lvl w:ilvl="0">
      <w:lvlJc w:val="left"/>
      <w:lvlText w:val="%1."/>
      <w:numFmt w:val="decimal"/>
      <w:start w:val="1"/>
    </w:lvl>
    <w:lvl w:ilvl="1">
      <w:lvlJc w:val="left"/>
      <w:lvlText w:val="(%2)"/>
      <w:numFmt w:val="lowerLetter"/>
      <w:start w:val="2"/>
    </w:lvl>
  </w:abstractNum>
  <w:abstractNum w:abstractNumId="21">
    <w:nsid w:val="77465F01"/>
    <w:multiLevelType w:val="hybridMultilevel"/>
    <w:lvl w:ilvl="0">
      <w:lvlJc w:val="left"/>
      <w:lvlText w:val="(%1)"/>
      <w:numFmt w:val="lowerLetter"/>
      <w:start w:val="2"/>
    </w:lvl>
  </w:abstractNum>
  <w:abstractNum w:abstractNumId="22">
    <w:nsid w:val="7724C67E"/>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lvl w:ilvl="4">
      <w:lvlJc w:val="left"/>
      <w:lvlText w:val="(%5)"/>
      <w:numFmt w:val="upperLetter"/>
      <w:start w:val="2"/>
    </w:lvl>
    <w:lvl w:ilvl="5">
      <w:lvlJc w:val="left"/>
      <w:lvlText w:val="(%6)"/>
      <w:numFmt w:val="upperLetter"/>
      <w:start w:val="1"/>
    </w:lvl>
  </w:abstractNum>
  <w:abstractNum w:abstractNumId="23">
    <w:nsid w:val="5C482A97"/>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lvl w:ilvl="3">
      <w:lvlJc w:val="left"/>
      <w:lvlText w:val="%4"/>
      <w:numFmt w:val="lowerLetter"/>
      <w:start w:val="1"/>
    </w:lvl>
    <w:lvl w:ilvl="4">
      <w:lvlJc w:val="left"/>
      <w:lvlText w:val="%5"/>
      <w:numFmt w:val="upperLetter"/>
      <w:start w:val="1"/>
    </w:lvl>
    <w:lvl w:ilvl="5">
      <w:lvlJc w:val="left"/>
      <w:lvlText w:val="%6"/>
      <w:numFmt w:val="upperLetter"/>
      <w:start w:val="1"/>
    </w:lvl>
  </w:abstractNum>
  <w:abstractNum w:abstractNumId="24">
    <w:nsid w:val="2463B9EA"/>
    <w:multiLevelType w:val="hybridMultilevel"/>
    <w:lvl w:ilvl="0">
      <w:lvlJc w:val="left"/>
      <w:lvlText w:val="(%1)"/>
      <w:numFmt w:val="decimal"/>
      <w:start w:val="2"/>
    </w:lvl>
    <w:lvl w:ilvl="1">
      <w:lvlJc w:val="left"/>
      <w:lvlText w:val="%2."/>
      <w:numFmt w:val="decimal"/>
      <w:start w:val="9"/>
    </w:lvl>
    <w:lvl w:ilvl="2">
      <w:lvlJc w:val="left"/>
      <w:lvlText w:val="%3"/>
      <w:numFmt w:val="lowerRoman"/>
      <w:start w:val="1"/>
    </w:lvl>
    <w:lvl w:ilvl="3">
      <w:lvlJc w:val="left"/>
      <w:lvlText w:val="(%4)"/>
      <w:numFmt w:val="lowerLetter"/>
      <w:start w:val="2"/>
    </w:lvl>
    <w:lvl w:ilvl="4">
      <w:lvlJc w:val="left"/>
      <w:lvlText w:val="%5"/>
      <w:numFmt w:val="upperLetter"/>
      <w:start w:val="1"/>
    </w:lvl>
    <w:lvl w:ilvl="5">
      <w:lvlJc w:val="left"/>
      <w:lvlText w:val="%6"/>
      <w:numFmt w:val="upperLetter"/>
      <w:start w:val="1"/>
    </w:lvl>
  </w:abstractNum>
  <w:abstractNum w:abstractNumId="25">
    <w:nsid w:val="5E884ADC"/>
    <w:multiLevelType w:val="hybridMultilevel"/>
    <w:lvl w:ilvl="0">
      <w:lvlJc w:val="left"/>
      <w:lvlText w:val="%1."/>
      <w:numFmt w:val="decimal"/>
      <w:start w:val="12"/>
    </w:lvl>
    <w:lvl w:ilvl="1">
      <w:lvlJc w:val="left"/>
      <w:lvlText w:val="(%2)"/>
      <w:numFmt w:val="lowerLetter"/>
      <w:start w:val="2"/>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lowerRoman"/>
      <w:start w:val="2"/>
    </w:lvl>
  </w:abstractNum>
  <w:abstractNum w:abstractNumId="28">
    <w:nsid w:val="580BD78F"/>
    <w:multiLevelType w:val="hybridMultilevel"/>
    <w:lvl w:ilvl="0">
      <w:lvlJc w:val="left"/>
      <w:lvlText w:val="%1."/>
      <w:numFmt w:val="decimal"/>
      <w:start w:val="3"/>
    </w:lvl>
  </w:abstractNum>
  <w:abstractNum w:abstractNumId="29">
    <w:nsid w:val="153EA438"/>
    <w:multiLevelType w:val="hybridMultilevel"/>
    <w:lvl w:ilvl="0">
      <w:lvlJc w:val="left"/>
      <w:lvlText w:val="(%1)"/>
      <w:numFmt w:val="lowerRoman"/>
      <w:start w:val="1"/>
    </w:lvl>
    <w:lvl w:ilvl="1">
      <w:lvlJc w:val="left"/>
      <w:lvlText w:val="(%2)"/>
      <w:numFmt w:val="upperLetter"/>
      <w:start w:val="1"/>
    </w:lvl>
  </w:abstractNum>
  <w:abstractNum w:abstractNumId="30">
    <w:nsid w:val="3855585C"/>
    <w:multiLevelType w:val="hybridMultilevel"/>
    <w:lvl w:ilvl="0">
      <w:lvlJc w:val="left"/>
      <w:lvlText w:val="(%1)"/>
      <w:numFmt w:val="lowerRoman"/>
      <w:start w:val="4"/>
    </w:lvl>
  </w:abstractNum>
  <w:abstractNum w:abstractNumId="31">
    <w:nsid w:val="70A64E2A"/>
    <w:multiLevelType w:val="hybridMultilevel"/>
    <w:lvl w:ilvl="0">
      <w:lvlJc w:val="left"/>
      <w:lvlText w:val="%1."/>
      <w:numFmt w:val="decimal"/>
      <w:start w:val="4"/>
    </w:lvl>
  </w:abstractNum>
  <w:abstractNum w:abstractNumId="32">
    <w:nsid w:val="6A2342EC"/>
    <w:multiLevelType w:val="hybridMultilevel"/>
    <w:lvl w:ilvl="0">
      <w:lvlJc w:val="left"/>
      <w:lvlText w:val="(%1)"/>
      <w:numFmt w:val="lowerRoman"/>
      <w:start w:val="1"/>
    </w:lvl>
    <w:lvl w:ilvl="1">
      <w:lvlJc w:val="left"/>
      <w:lvlText w:val="(%2)"/>
      <w:numFmt w:val="upperLetter"/>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lvl w:ilvl="1">
      <w:lvlJc w:val="left"/>
      <w:lvlText w:val="(%2)"/>
      <w:numFmt w:val="upperLetter"/>
      <w:start w:val="5"/>
    </w:lvl>
  </w:abstractNum>
  <w:abstractNum w:abstractNumId="35">
    <w:nsid w:val="725A06FB"/>
    <w:multiLevelType w:val="hybridMultilevel"/>
    <w:lvl w:ilvl="0">
      <w:lvlJc w:val="left"/>
      <w:lvlText w:val="%1."/>
      <w:numFmt w:val="decimal"/>
      <w:start w:val="5"/>
    </w:lvl>
    <w:lvl w:ilvl="1">
      <w:lvlJc w:val="left"/>
      <w:lvlText w:val="%2"/>
      <w:numFmt w:val="upperLetter"/>
      <w:start w:val="1"/>
    </w:lvl>
  </w:abstractNum>
  <w:abstractNum w:abstractNumId="36">
    <w:nsid w:val="2CD89A32"/>
    <w:multiLevelType w:val="hybridMultilevel"/>
    <w:lvl w:ilvl="0">
      <w:lvlJc w:val="left"/>
      <w:lvlText w:val="(%1)"/>
      <w:numFmt w:val="lowerRoman"/>
      <w:start w:val="1"/>
    </w:lvl>
  </w:abstractNum>
  <w:abstractNum w:abstractNumId="37">
    <w:nsid w:val="57E4CCAF"/>
    <w:multiLevelType w:val="hybridMultilevel"/>
    <w:lvl w:ilvl="0">
      <w:lvlJc w:val="left"/>
      <w:lvlText w:val="%1."/>
      <w:numFmt w:val="decimal"/>
      <w:start w:val="6"/>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lowerRoman"/>
      <w:start w:val="2"/>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lowerRoman"/>
      <w:start w:val="1"/>
    </w:lvl>
    <w:lvl w:ilvl="1">
      <w:lvlJc w:val="left"/>
      <w:lvlText w:val="(%2)"/>
      <w:numFmt w:val="upperLetter"/>
      <w:start w:val="1"/>
    </w:lvl>
  </w:abstractNum>
  <w:abstractNum w:abstractNumId="42">
    <w:nsid w:val="38437FDB"/>
    <w:multiLevelType w:val="hybridMultilevel"/>
    <w:lvl w:ilvl="0">
      <w:lvlJc w:val="left"/>
      <w:lvlText w:val="(%1)"/>
      <w:numFmt w:val="lowerRoman"/>
      <w:start w:val="4"/>
    </w:lvl>
  </w:abstractNum>
  <w:abstractNum w:abstractNumId="43">
    <w:nsid w:val="7644A45C"/>
    <w:multiLevelType w:val="hybridMultilevel"/>
    <w:lvl w:ilvl="0">
      <w:lvlJc w:val="left"/>
      <w:lvlText w:val="(%1)"/>
      <w:numFmt w:val="lowerRoman"/>
      <w:start w:val="5"/>
    </w:lvl>
  </w:abstractNum>
  <w:abstractNum w:abstractNumId="44">
    <w:nsid w:val="32FFF902"/>
    <w:multiLevelType w:val="hybridMultilevel"/>
    <w:lvl w:ilvl="0">
      <w:lvlJc w:val="left"/>
      <w:lvlText w:val="%1."/>
      <w:numFmt w:val="decimal"/>
      <w:start w:val="4"/>
    </w:lvl>
  </w:abstractNum>
  <w:abstractNum w:abstractNumId="45">
    <w:nsid w:val="684A481A"/>
    <w:multiLevelType w:val="hybridMultilevel"/>
    <w:lvl w:ilvl="0">
      <w:lvlJc w:val="left"/>
      <w:lvlText w:val="(%1)"/>
      <w:numFmt w:val="lowerRoman"/>
      <w:start w:val="1"/>
    </w:lvl>
    <w:lvl w:ilvl="1">
      <w:lvlJc w:val="left"/>
      <w:lvlText w:val="(%2)"/>
      <w:numFmt w:val="upp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upperLetter"/>
      <w:start w:val="5"/>
    </w:lvl>
  </w:abstractNum>
  <w:abstractNum w:abstractNumId="48">
    <w:nsid w:val="3DC240FB"/>
    <w:multiLevelType w:val="hybridMultilevel"/>
    <w:lvl w:ilvl="0">
      <w:lvlJc w:val="left"/>
      <w:lvlText w:val="%1"/>
      <w:numFmt w:val="decimal"/>
      <w:start w:val="1"/>
    </w:lvl>
    <w:lvl w:ilvl="1">
      <w:lvlJc w:val="left"/>
      <w:lvlText w:val="(%2)"/>
      <w:numFmt w:val="upperLetter"/>
      <w:start w:val="6"/>
    </w:lvl>
  </w:abstractNum>
  <w:abstractNum w:abstractNumId="49">
    <w:nsid w:val="1BA026FA"/>
    <w:multiLevelType w:val="hybridMultilevel"/>
    <w:lvl w:ilvl="0">
      <w:lvlJc w:val="left"/>
      <w:lvlText w:val="%1."/>
      <w:numFmt w:val="decimal"/>
      <w:start w:val="5"/>
    </w:lvl>
    <w:lvl w:ilvl="1">
      <w:lvlJc w:val="left"/>
      <w:lvlText w:val="%2"/>
      <w:numFmt w:val="upperLetter"/>
      <w:start w:val="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2019-12-13T23:25:37Z</dcterms:created>
  <dcterms:modified xsi:type="dcterms:W3CDTF">2019-12-13T23:25:37Z</dcterms:modified>
</cp:coreProperties>
</file>