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-228600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-570230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-616585</wp:posOffset>
            </wp:positionV>
            <wp:extent cx="57785" cy="6299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3949065</wp:posOffset>
            </wp:positionH>
            <wp:positionV relativeFrom="paragraph">
              <wp:posOffset>-616585</wp:posOffset>
            </wp:positionV>
            <wp:extent cx="57785" cy="629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730250</wp:posOffset>
            </wp:positionV>
            <wp:extent cx="7047230" cy="4578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78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PITTMAN CAROLYN K</w:t>
        </w:r>
      </w:hyperlink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622 THIRD AVE.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38TH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840" w:type="dxa"/>
            <w:vAlign w:val="bottom"/>
            <w:gridSpan w:val="4"/>
          </w:tcPr>
          <w:p>
            <w:pPr>
              <w:ind w:left="80"/>
              <w:spacing w:after="0" w:line="215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MINERALS TECHNOLOGIES INC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MTX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07/01/2026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NEW YORK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10017-6707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99.112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99.112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20,749.966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phantom stock unit is the economic equivalent of one share of Minerals Technologies Inc.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20"/>
        <w:spacing w:after="0" w:line="249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Minerals Technologies Inc. Non-Funded Deferred Compensation and Unit Award Plan for Non-Employee Directors and are to be settled in cash upon the reporting person's termination of service as a director.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TIMOTHY JORDAN FOR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07/02/2026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CAROLYN PITTMAN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14603" TargetMode="External"/><Relationship Id="rId14" Type="http://schemas.openxmlformats.org/officeDocument/2006/relationships/hyperlink" Target="http://www.sec.gov/cgi-bin/browse-edgar?action=getcompany&amp;CIK=00008910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2026-07-02T14:49:33Z</dcterms:created>
  <dcterms:modified xsi:type="dcterms:W3CDTF">2026-07-02T14:49:33Z</dcterms:modified>
</cp:coreProperties>
</file>