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10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6"/>
      <w:bookmarkEnd w:id="4"/>
      <w:r>
        <w:rPr>
          <w:rFonts w:ascii="Times New Roman;Times;Serif" w:hAnsi="Times New Roman;Times;Serif"/>
          <w:b/>
          <w:i w:val="false"/>
          <w:caps w:val="false"/>
          <w:smallCaps w:val="false"/>
          <w:sz w:val="48"/>
        </w:rPr>
        <w:t>MINERALS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43"/>
        <w:gridCol w:w="60"/>
        <w:gridCol w:w="3868"/>
        <w:gridCol w:w="60"/>
        <w:gridCol w:w="2974"/>
      </w:tblGrid>
      <w:tr>
        <w:trPr/>
        <w:tc>
          <w:tcPr>
            <w:tcW w:w="3243" w:type="dxa"/>
            <w:tcBorders>
              <w:bottom w:val="single" w:sz="8"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3868" w:type="dxa"/>
            <w:tcBorders>
              <w:bottom w:val="single" w:sz="8" w:space="0" w:color="000000"/>
            </w:tcBorders>
            <w:vAlign w:val="center"/>
          </w:tcPr>
          <w:p>
            <w:pPr>
              <w:pStyle w:val="TableContents"/>
              <w:bidi w:val="0"/>
              <w:spacing w:before="0" w:after="283"/>
              <w:jc w:val="center"/>
              <w:rPr>
                <w:b/>
                <w:sz w:val="20"/>
              </w:rPr>
            </w:pPr>
            <w:bookmarkStart w:id="6" w:name="xdx_909_edei--EntityFileNumber_c20261001"/>
            <w:bookmarkEnd w:id="6"/>
            <w:r>
              <w:rPr>
                <w:b/>
                <w:sz w:val="20"/>
              </w:rPr>
              <w:t>001-11430</w:t>
            </w:r>
          </w:p>
        </w:tc>
        <w:tc>
          <w:tcPr>
            <w:tcW w:w="60" w:type="dxa"/>
            <w:tcBorders/>
            <w:tcMar>
              <w:bottom w:w="0" w:type="dxa"/>
            </w:tcMar>
            <w:vAlign w:val="center"/>
          </w:tcPr>
          <w:p>
            <w:pPr>
              <w:pStyle w:val="TableContents"/>
              <w:bidi w:val="0"/>
              <w:spacing w:before="0" w:after="283"/>
              <w:jc w:val="center"/>
              <w:rPr/>
            </w:pPr>
            <w:r>
              <w:rPr/>
              <w:t> </w:t>
            </w:r>
          </w:p>
        </w:tc>
        <w:tc>
          <w:tcPr>
            <w:tcW w:w="2974" w:type="dxa"/>
            <w:tcBorders>
              <w:bottom w:val="single" w:sz="8"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25-1190717</w:t>
            </w:r>
          </w:p>
        </w:tc>
      </w:tr>
      <w:tr>
        <w:trPr/>
        <w:tc>
          <w:tcPr>
            <w:tcW w:w="3243"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sz w:val="20"/>
              </w:rPr>
            </w:pPr>
            <w:r>
              <w:rPr>
                <w:sz w:val="20"/>
              </w:rPr>
              <w:t>(I.R.S. Employer Identification Number)</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bottom w:val="single" w:sz="8" w:space="0" w:color="000000"/>
            </w:tcBorders>
            <w:vAlign w:val="center"/>
          </w:tcPr>
          <w:p>
            <w:pPr>
              <w:pStyle w:val="TableContents"/>
              <w:bidi w:val="0"/>
              <w:spacing w:before="0" w:after="283"/>
              <w:jc w:val="center"/>
              <w:rPr>
                <w:b/>
                <w:sz w:val="20"/>
              </w:rPr>
            </w:pPr>
            <w:bookmarkStart w:id="8" w:name="xdx_903_edei--EntityAddressAddressLine1_"/>
            <w:bookmarkEnd w:id="8"/>
            <w:r>
              <w:rPr>
                <w:b/>
                <w:sz w:val="20"/>
              </w:rPr>
              <w:t xml:space="preserve">622 Third Avenue, </w:t>
            </w:r>
            <w:bookmarkStart w:id="9" w:name="xdx_907_edei--EntityAddressCityOrTown_c2"/>
            <w:bookmarkEnd w:id="9"/>
            <w:r>
              <w:rPr>
                <w:b/>
                <w:sz w:val="20"/>
              </w:rPr>
              <w:t xml:space="preserve">New York, </w:t>
            </w:r>
            <w:bookmarkStart w:id="10" w:name="xdx_90B_edei--EntityAddressStateOrProvin"/>
            <w:bookmarkEnd w:id="10"/>
            <w:r>
              <w:rPr>
                <w:b/>
                <w:sz w:val="20"/>
              </w:rPr>
              <w:t>NY</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bottom w:val="single" w:sz="8" w:space="0" w:color="000000"/>
            </w:tcBorders>
            <w:vAlign w:val="center"/>
          </w:tcPr>
          <w:p>
            <w:pPr>
              <w:pStyle w:val="TableContents"/>
              <w:bidi w:val="0"/>
              <w:spacing w:before="0" w:after="283"/>
              <w:jc w:val="center"/>
              <w:rPr>
                <w:b/>
                <w:sz w:val="20"/>
              </w:rPr>
            </w:pPr>
            <w:bookmarkStart w:id="11" w:name="xdx_906_edei--EntityAddressPostalZipCode"/>
            <w:bookmarkEnd w:id="11"/>
            <w:r>
              <w:rPr>
                <w:b/>
                <w:sz w:val="20"/>
              </w:rPr>
              <w:t>10017-6707</w:t>
            </w:r>
          </w:p>
        </w:tc>
      </w:tr>
      <w:tr>
        <w:trPr/>
        <w:tc>
          <w:tcPr>
            <w:tcW w:w="3243"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sz w:val="20"/>
              </w:rPr>
            </w:pPr>
            <w:r>
              <w:rPr>
                <w:sz w:val="20"/>
              </w:rPr>
              <w:t>(Zip code)</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bottom w:val="single" w:sz="8" w:space="0" w:color="000000"/>
            </w:tcBorders>
            <w:vAlign w:val="center"/>
          </w:tcPr>
          <w:p>
            <w:pPr>
              <w:pStyle w:val="TableContents"/>
              <w:bidi w:val="0"/>
              <w:spacing w:before="0" w:after="283"/>
              <w:jc w:val="center"/>
              <w:rPr>
                <w:b/>
                <w:sz w:val="20"/>
              </w:rPr>
            </w:pPr>
            <w:bookmarkStart w:id="12" w:name="xdx_900_edei--CityAreaCode_c20261001__20"/>
            <w:bookmarkEnd w:id="12"/>
            <w:r>
              <w:rPr>
                <w:b/>
                <w:sz w:val="20"/>
              </w:rPr>
              <w:t xml:space="preserve">(212) </w:t>
            </w:r>
            <w:bookmarkStart w:id="13" w:name="xdx_903_edei--LocalPhoneNumber_c20261001"/>
            <w:bookmarkEnd w:id="13"/>
            <w:r>
              <w:rPr>
                <w:b/>
                <w:sz w:val="20"/>
              </w:rPr>
              <w:t>878-1800</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sz w:val="20"/>
              </w:rPr>
            </w:pPr>
            <w:r>
              <w:rPr>
                <w:sz w:val="20"/>
              </w:rPr>
              <w:t>(Registrant’s telephone number, including area code)</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pPr>
            <w:r>
              <w:rPr/>
              <w:t> </w:t>
            </w:r>
            <w:bookmarkStart w:id="14" w:name="xdx_904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bookmarkStart w:id="15" w:name="xdx_900_edei--SolicitingMaterial_c202610"/>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bookmarkStart w:id="16" w:name="xdx_901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r>
              <w:rPr/>
              <w:t> </w:t>
            </w:r>
            <w:bookmarkStart w:id="17" w:name="xdx_90C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color w:val="FF9900"/>
        </w:rPr>
      </w:pPr>
      <w:r>
        <w:rPr>
          <w:caps w:val="false"/>
          <w:smallCaps w:val="false"/>
          <w:color w:val="FF9900"/>
        </w:rPr>
        <w:t> </w:t>
      </w:r>
    </w:p>
    <w:tbl>
      <w:tblPr>
        <w:tblW w:w="8055" w:type="dxa"/>
        <w:jc w:val="left"/>
        <w:tblInd w:w="0" w:type="dxa"/>
        <w:tblLayout w:type="fixed"/>
        <w:tblCellMar>
          <w:top w:w="0" w:type="dxa"/>
          <w:left w:w="0" w:type="dxa"/>
          <w:bottom w:w="0" w:type="dxa"/>
          <w:right w:w="0" w:type="dxa"/>
        </w:tblCellMar>
      </w:tblPr>
      <w:tblGrid>
        <w:gridCol w:w="2645"/>
        <w:gridCol w:w="60"/>
        <w:gridCol w:w="1580"/>
        <w:gridCol w:w="60"/>
        <w:gridCol w:w="3710"/>
      </w:tblGrid>
      <w:tr>
        <w:trPr/>
        <w:tc>
          <w:tcPr>
            <w:tcW w:w="264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vAlign w:val="center"/>
          </w:tcPr>
          <w:p>
            <w:pPr>
              <w:pStyle w:val="TableContents"/>
              <w:bidi w:val="0"/>
              <w:spacing w:before="0" w:after="283"/>
              <w:jc w:val="center"/>
              <w:rPr>
                <w:sz w:val="20"/>
              </w:rPr>
            </w:pPr>
            <w:bookmarkStart w:id="18" w:name="xdx_90A_edei--Security12bTitle_c20261001"/>
            <w:bookmarkEnd w:id="18"/>
            <w:r>
              <w:rPr>
                <w:sz w:val="20"/>
              </w:rPr>
              <w:t>Common Stock, $0.10 par value</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sz w:val="20"/>
              </w:rPr>
            </w:pPr>
            <w:bookmarkStart w:id="19" w:name="xdx_908_edei--TradingSymbol_c20261001__2"/>
            <w:bookmarkEnd w:id="19"/>
            <w:r>
              <w:rPr>
                <w:sz w:val="20"/>
              </w:rPr>
              <w:t>MTX</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sz w:val="20"/>
              </w:rPr>
            </w:pPr>
            <w:bookmarkStart w:id="20" w:name="xdx_90E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040"/>
        <w:gridCol w:w="1445"/>
      </w:tblGrid>
      <w:tr>
        <w:trPr/>
        <w:tc>
          <w:tcPr>
            <w:tcW w:w="104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Announcement of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2026, Minerals Technologies Inc. (the “Company”) issued a press release announcing the commencement of a private offering of senior notes (the “Notes”) in a transaction exempt from registration under the Securities Act of 1933, as amended (the “Securities Act”), a copy of which is attached hereto as Exhibit 99.1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related guarantees have not been registered under the Securities Act or the securities laws of any other jurisdiction and may not be offered or sold in the United States absent registration or an applicable exemption from the registration requirements of the Securities Act and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does not constitute an offer to sell or a solicitation of an offer to buy the securities, nor shall there be any sale of the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“forward-looking statements” within the meaning of the Private Securities Litigation Reform Act of 1995, including statements regarding the offering and the intended use of the proceeds thereof.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 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 can be guaranteed.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including with respect to changes in tariffs;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and cautionary statements in our 2025 Annual Report on Form 10-K, Quarterly Reports on Form 10-Q, Current Reports on Form 8-K, and other reports filed with the Securities and Exchange Commission. The forward-looking statements contained in this current report speak only as of the date of this current report. The Company undertakes no obligation to publicly update any forward-looking statement, whether as a result of new information, future events, or otherwise. The Company may not consummate the offering and, if the offering is consummated, the Company cannot provide any assurances regarding the final terms of the offering.</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28" w:type="dxa"/>
          <w:right w:w="0" w:type="dxa"/>
        </w:tblCellMar>
      </w:tblPr>
      <w:tblGrid>
        <w:gridCol w:w="1145"/>
        <w:gridCol w:w="60"/>
        <w:gridCol w:w="7625"/>
      </w:tblGrid>
      <w:tr>
        <w:trPr/>
        <w:tc>
          <w:tcPr>
            <w:tcW w:w="1145" w:type="dxa"/>
            <w:tcBorders>
              <w:bottom w:val="single" w:sz="8"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left"/>
              <w:rPr/>
            </w:pPr>
            <w:r>
              <w:rPr/>
              <w:t>Description</w:t>
            </w:r>
          </w:p>
        </w:tc>
      </w:tr>
      <w:tr>
        <w:trPr/>
        <w:tc>
          <w:tcPr>
            <w:tcW w:w="11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both"/>
              <w:rPr/>
            </w:pPr>
            <w:r>
              <w:rPr/>
              <w:t> </w:t>
            </w:r>
          </w:p>
        </w:tc>
      </w:tr>
      <w:tr>
        <w:trPr/>
        <w:tc>
          <w:tcPr>
            <w:tcW w:w="1145" w:type="dxa"/>
            <w:tcBorders/>
            <w:tcMar>
              <w:bottom w:w="0" w:type="dxa"/>
            </w:tcMar>
            <w:vAlign w:val="center"/>
          </w:tcPr>
          <w:p>
            <w:pPr>
              <w:pStyle w:val="TableContents"/>
              <w:bidi w:val="0"/>
              <w:spacing w:before="0" w:after="283"/>
              <w:jc w:val="both"/>
              <w:rPr/>
            </w:pPr>
            <w:hyperlink w:anchor="ex99-1.htm">
              <w:r>
                <w:rPr>
                  <w:rStyle w:val="InternetLink"/>
                </w:rPr>
                <w:t>99.1</w:t>
              </w:r>
            </w:hyperlink>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both"/>
              <w:rPr/>
            </w:pPr>
            <w:hyperlink w:anchor="ex99-1.htm">
              <w:r>
                <w:rPr>
                  <w:rStyle w:val="InternetLink"/>
                </w:rPr>
                <w:t>Press Release dated October 1, 2026</w:t>
              </w:r>
            </w:hyperlink>
          </w:p>
        </w:tc>
      </w:tr>
      <w:tr>
        <w:trPr/>
        <w:tc>
          <w:tcPr>
            <w:tcW w:w="11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both"/>
              <w:rPr/>
            </w:pPr>
            <w:r>
              <w:rPr/>
              <w:t> </w:t>
            </w:r>
          </w:p>
        </w:tc>
      </w:tr>
      <w:tr>
        <w:trPr/>
        <w:tc>
          <w:tcPr>
            <w:tcW w:w="1145" w:type="dxa"/>
            <w:tcBorders/>
            <w:tcMar>
              <w:bottom w:w="0" w:type="dxa"/>
            </w:tcMar>
            <w:vAlign w:val="center"/>
          </w:tcPr>
          <w:p>
            <w:pPr>
              <w:pStyle w:val="TableContents"/>
              <w:bidi w:val="0"/>
              <w:spacing w:before="0" w:after="283"/>
              <w:jc w:val="both"/>
              <w:rPr/>
            </w:pPr>
            <w:r>
              <w:rPr/>
              <w:t>104</w:t>
            </w:r>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2075"/>
        <w:gridCol w:w="320"/>
        <w:gridCol w:w="545"/>
        <w:gridCol w:w="5945"/>
        <w:gridCol w:w="60"/>
      </w:tblGrid>
      <w:tr>
        <w:trPr/>
        <w:tc>
          <w:tcPr>
            <w:tcW w:w="2075" w:type="dxa"/>
            <w:tcBorders/>
            <w:vAlign w:val="center"/>
          </w:tcPr>
          <w:p>
            <w:pPr>
              <w:pStyle w:val="TableContents"/>
              <w:bidi w:val="0"/>
              <w:spacing w:before="0" w:after="283"/>
              <w:jc w:val="left"/>
              <w:rPr>
                <w:sz w:val="20"/>
              </w:rPr>
            </w:pPr>
            <w:r>
              <w:rPr>
                <w:sz w:val="20"/>
              </w:rPr>
              <w:t>DATED: October 1, 2026</w:t>
            </w:r>
          </w:p>
        </w:tc>
        <w:tc>
          <w:tcPr>
            <w:tcW w:w="6870" w:type="dxa"/>
            <w:gridSpan w:val="4"/>
            <w:tcBorders/>
            <w:vAlign w:val="center"/>
          </w:tcPr>
          <w:p>
            <w:pPr>
              <w:pStyle w:val="TableContents"/>
              <w:bidi w:val="0"/>
              <w:spacing w:before="0" w:after="283"/>
              <w:jc w:val="left"/>
              <w:rPr>
                <w:sz w:val="20"/>
              </w:rPr>
            </w:pPr>
            <w:r>
              <w:rPr>
                <w:sz w:val="20"/>
              </w:rPr>
              <w:t>Minerals Technologies Inc.</w:t>
            </w:r>
          </w:p>
        </w:tc>
      </w:tr>
      <w:tr>
        <w:trPr/>
        <w:tc>
          <w:tcPr>
            <w:tcW w:w="2075" w:type="dxa"/>
            <w:tcBorders/>
            <w:vAlign w:val="center"/>
          </w:tcPr>
          <w:p>
            <w:pPr>
              <w:pStyle w:val="TableContents"/>
              <w:bidi w:val="0"/>
              <w:spacing w:before="0" w:after="283"/>
              <w:jc w:val="left"/>
              <w:rPr/>
            </w:pPr>
            <w:r>
              <w:rPr/>
              <w:t> </w:t>
            </w:r>
          </w:p>
        </w:tc>
        <w:tc>
          <w:tcPr>
            <w:tcW w:w="6870" w:type="dxa"/>
            <w:gridSpan w:val="4"/>
            <w:tcBorders/>
            <w:vAlign w:val="center"/>
          </w:tcPr>
          <w:p>
            <w:pPr>
              <w:pStyle w:val="TableContents"/>
              <w:bidi w:val="0"/>
              <w:spacing w:before="0" w:after="283"/>
              <w:jc w:val="left"/>
              <w:rPr/>
            </w:pPr>
            <w:r>
              <w:rPr/>
              <w:t>(Registrant)</w:t>
            </w:r>
          </w:p>
        </w:tc>
      </w:tr>
      <w:tr>
        <w:trPr/>
        <w:tc>
          <w:tcPr>
            <w:tcW w:w="2075" w:type="dxa"/>
            <w:tcBorders/>
            <w:vAlign w:val="center"/>
          </w:tcPr>
          <w:p>
            <w:pPr>
              <w:pStyle w:val="TableContents"/>
              <w:bidi w:val="0"/>
              <w:spacing w:before="0" w:after="283"/>
              <w:jc w:val="left"/>
              <w:rPr/>
            </w:pPr>
            <w:r>
              <w:rPr/>
              <w:t> </w:t>
            </w:r>
          </w:p>
        </w:tc>
        <w:tc>
          <w:tcPr>
            <w:tcW w:w="6870" w:type="dxa"/>
            <w:gridSpan w:val="4"/>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870" w:type="dxa"/>
            <w:gridSpan w:val="4"/>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49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Timothy J. Jordan</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45" w:type="dxa"/>
            <w:tcBorders/>
            <w:vAlign w:val="center"/>
          </w:tcPr>
          <w:p>
            <w:pPr>
              <w:pStyle w:val="TableContents"/>
              <w:bidi w:val="0"/>
              <w:spacing w:before="0" w:after="283"/>
              <w:jc w:val="left"/>
              <w:rPr/>
            </w:pPr>
            <w:r>
              <w:rPr/>
              <w:t>Timothy J. Jordan</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45" w:type="dxa"/>
            <w:tcBorders/>
            <w:vAlign w:val="center"/>
          </w:tcPr>
          <w:p>
            <w:pPr>
              <w:pStyle w:val="TableContents"/>
              <w:bidi w:val="0"/>
              <w:spacing w:before="0" w:after="283"/>
              <w:jc w:val="left"/>
              <w:rPr>
                <w:sz w:val="20"/>
              </w:rPr>
            </w:pPr>
            <w:r>
              <w:rPr>
                <w:sz w:val="20"/>
              </w:rPr>
              <w:t>Vice President, General Counsel, Secretary and Chief Compliance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x99-1.htm"/>
      <w:bookmarkStart w:id="23" w:name="ks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3660"/>
        <w:gridCol w:w="2405"/>
      </w:tblGrid>
      <w:tr>
        <w:trPr/>
        <w:tc>
          <w:tcPr>
            <w:tcW w:w="3660" w:type="dxa"/>
            <w:tcBorders/>
            <w:vAlign w:val="center"/>
          </w:tcPr>
          <w:p>
            <w:pPr>
              <w:pStyle w:val="TableContents"/>
              <w:bidi w:val="0"/>
              <w:spacing w:before="0" w:after="283"/>
              <w:jc w:val="left"/>
              <w:rPr/>
            </w:pPr>
            <w:r>
              <w:rPr/>
              <w:t> </w:t>
            </w:r>
            <w:r>
              <w:rPr/>
              <w:drawing>
                <wp:inline distT="0" distB="0" distL="0" distR="0">
                  <wp:extent cx="22764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571500"/>
                          </a:xfrm>
                          <a:prstGeom prst="rect">
                            <a:avLst/>
                          </a:prstGeom>
                        </pic:spPr>
                      </pic:pic>
                    </a:graphicData>
                  </a:graphic>
                </wp:inline>
              </w:drawing>
            </w:r>
          </w:p>
        </w:tc>
        <w:tc>
          <w:tcPr>
            <w:tcW w:w="2405" w:type="dxa"/>
            <w:tcBorders/>
            <w:vAlign w:val="center"/>
          </w:tcPr>
          <w:p>
            <w:pPr>
              <w:pStyle w:val="TableContents"/>
              <w:bidi w:val="0"/>
              <w:spacing w:before="0" w:after="283"/>
              <w:jc w:val="right"/>
              <w:rPr>
                <w:rFonts w:ascii="Arial;Helvetica;Sans-Serif" w:hAnsi="Arial;Helvetica;Sans-Serif"/>
                <w:b/>
                <w:sz w:val="36"/>
              </w:rPr>
            </w:pPr>
            <w:r>
              <w:rPr>
                <w:rFonts w:ascii="Arial;Helvetica;Sans-Serif" w:hAnsi="Arial;Helvetica;Sans-Serif"/>
                <w:b/>
                <w:sz w:val="36"/>
              </w:rPr>
              <w:t>News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Minerals Technologies Inc. Announces Private Offering of $400 Million of Senior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Oct. 1, 2026 (GLOBE NEWSWIRE) -- Minerals Technologies Inc. (NYSE: MTX) (“MTI”), a leading, technology-driven specialty minerals company, today announced the commencement of a private offering (the “Offering”) of $400 million aggregate principal amount of senior notes due 2034 (the “Notes”), subject to market and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MTI intends to use the net proceeds from the Offering, together with cash on hand, (i) to redeem all of its outstanding 5.000% senior notes due 2028 (the “2028 Notes”) and (ii) to pay transaction fees and expenses related to the Offering and the concurrent amendment and extension of its revolving credit facility. This press release does not constitute a notice of redemption and does not constitute an offer to redeem or purchase, or the solicitation of an offer to sell, any of the 2028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and the guarantees thereof will be offered in a private offering exempt from the registration requirements of the Securities Act of 1933, as amended (the “Securities Act”). The Notes and the guarantees thereof will be offered only to persons reasonably believed to be qualified institutional buyers pursuant to Rule 144A under the Securities Act and to non-U.S. persons outside the United States in reliance on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and the guarantees thereof have not been registered under the Securities Act and may not be offered or sold in the United States absent registration or an applicable exemption from the registration requirements of the Securities Act and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does not constitute an offer to sell, or the solicitation of an offer to buy, the Notes, nor shall there be any sale of the Notes in any state or jurisdiction in which such offer, solicitation, or sale would be unlawful prior to registration or qualification under the securities laws of any such state or jurisdiction. No assurance can be made that the Offering will be consummated on its proposed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38" w:type="dxa"/>
        <w:jc w:val="left"/>
        <w:tblInd w:w="0" w:type="dxa"/>
        <w:tblLayout w:type="fixed"/>
        <w:tblCellMar>
          <w:top w:w="0" w:type="dxa"/>
          <w:left w:w="0" w:type="dxa"/>
          <w:bottom w:w="0" w:type="dxa"/>
          <w:right w:w="0" w:type="dxa"/>
        </w:tblCellMar>
      </w:tblPr>
      <w:tblGrid>
        <w:gridCol w:w="38"/>
        <w:gridCol w:w="3900"/>
      </w:tblGrid>
      <w:tr>
        <w:trPr/>
        <w:tc>
          <w:tcPr>
            <w:tcW w:w="38"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242887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28875" cy="533400"/>
                          </a:xfrm>
                          <a:prstGeom prst="rect">
                            <a:avLst/>
                          </a:prstGeom>
                        </pic:spPr>
                      </pic:pic>
                    </a:graphicData>
                  </a:graphic>
                </wp:inline>
              </w:drawing>
            </w: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This press release contains “forward-looking statements” within the meaning of the Private Securities Litigation Reform Act of 1995, including statements regarding the Offering and the intended use of the proceeds thereof.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 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 can be guaranteed.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including with respect to changes in tariffs;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and cautionary statements in our 2025 Annual Report on Form 10-K, Quarterly Reports on Form 10-Q, Current Reports on Form 8-K, and other reports filed with the Securities and Exchange Commission. The forward-looking statements contained in this press release speak only as of the date of this press release. The Company undertakes no obligation to publicly update any forward-looking statement, whether as a result of new information, future events, or otherwise. The Company may not consummate the Offering and, if the Offering is consummated, the Company cannot provide any assurances regarding the final terms of the Offering or its ability to effectively apply the net proceeds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Minerals Technologies Inc.</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Minerals Technologies Inc. (NYSE: MTX) is a global, technology-driven specialty minerals company that sources, manufactures, sells, and distributes a wide range of minerals and mineral-based products and services. We utilize our global mineral reserves, combined with our core technologies and applications, to deliver innovative products that are an essential part of everyday life. We serve customers in consumer and industrial markets worldwide, and have 4,000 employees in 34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Investor Relations Contact</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Lydia Kopylova</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lydia.kopylova@mineralstech.com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 Contact</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Stephanie Heise</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stephanie.heise@mineralstech.com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78" w:type="dxa"/>
        <w:jc w:val="left"/>
        <w:tblInd w:w="0" w:type="dxa"/>
        <w:tblLayout w:type="fixed"/>
        <w:tblCellMar>
          <w:top w:w="0" w:type="dxa"/>
          <w:left w:w="0" w:type="dxa"/>
          <w:bottom w:w="0" w:type="dxa"/>
          <w:right w:w="0" w:type="dxa"/>
        </w:tblCellMar>
      </w:tblPr>
      <w:tblGrid>
        <w:gridCol w:w="38"/>
        <w:gridCol w:w="3840"/>
      </w:tblGrid>
      <w:tr>
        <w:trPr/>
        <w:tc>
          <w:tcPr>
            <w:tcW w:w="38"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jc w:val="left"/>
              <w:rPr/>
            </w:pPr>
            <w:r>
              <w:rPr/>
              <w:drawing>
                <wp:inline distT="0" distB="0" distL="0" distR="0">
                  <wp:extent cx="2428875"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28875" cy="533400"/>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2003</Words>
  <Characters>11395</Characters>
  <CharactersWithSpaces>13454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