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902970</wp:posOffset>
            </wp:positionH>
            <wp:positionV relativeFrom="page">
              <wp:posOffset>447040</wp:posOffset>
            </wp:positionV>
            <wp:extent cx="574992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49925" cy="15875"/>
                    </a:xfrm>
                    <a:prstGeom prst="rect">
                      <a:avLst/>
                    </a:prstGeom>
                    <a:noFill/>
                  </pic:spPr>
                </pic:pic>
              </a:graphicData>
            </a:graphic>
          </wp:anchor>
        </w:drawing>
        <w:drawing>
          <wp:anchor simplePos="0" relativeHeight="251657728" behindDoc="1" locked="0" layoutInCell="0" allowOverlap="1">
            <wp:simplePos x="0" y="0"/>
            <wp:positionH relativeFrom="page">
              <wp:posOffset>902970</wp:posOffset>
            </wp:positionH>
            <wp:positionV relativeFrom="page">
              <wp:posOffset>291465</wp:posOffset>
            </wp:positionV>
            <wp:extent cx="5749925" cy="31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9925" cy="31115"/>
                    </a:xfrm>
                    <a:prstGeom prst="rect">
                      <a:avLst/>
                    </a:prstGeom>
                    <a:noFill/>
                  </pic:spPr>
                </pic:pic>
              </a:graphicData>
            </a:graphic>
          </wp:anchor>
        </w:drawing>
        <w:t>UNITED STATES</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June 29, 2026</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6"/>
          <w:szCs w:val="26"/>
          <w:b w:val="1"/>
          <w:bCs w:val="1"/>
          <w:color w:val="auto"/>
        </w:rPr>
        <w:t>MINERALS TECHNOLOGIES INC.</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86" w:lineRule="exact"/>
        <w:rPr>
          <w:sz w:val="24"/>
          <w:szCs w:val="24"/>
          <w:color w:val="auto"/>
        </w:rPr>
      </w:pPr>
    </w:p>
    <w:tbl>
      <w:tblPr>
        <w:tblLayout w:type="fixed"/>
        <w:tblInd w:w="1180" w:type="dxa"/>
        <w:tblCellMar>
          <w:top w:w="0" w:type="dxa"/>
          <w:left w:w="0" w:type="dxa"/>
          <w:bottom w:w="0" w:type="dxa"/>
          <w:right w:w="0" w:type="dxa"/>
        </w:tblCellMar>
      </w:tblPr>
      <w:tr>
        <w:trPr>
          <w:trHeight w:val="261"/>
        </w:trPr>
        <w:tc>
          <w:tcPr>
            <w:tcW w:w="180" w:type="dxa"/>
            <w:vAlign w:val="bottom"/>
          </w:tcPr>
          <w:p>
            <w:pPr>
              <w:spacing w:after="0"/>
              <w:rPr>
                <w:sz w:val="22"/>
                <w:szCs w:val="22"/>
                <w:color w:val="auto"/>
              </w:rPr>
            </w:pPr>
          </w:p>
        </w:tc>
        <w:tc>
          <w:tcPr>
            <w:tcW w:w="3560" w:type="dxa"/>
            <w:vAlign w:val="bottom"/>
            <w:gridSpan w:val="3"/>
          </w:tcPr>
          <w:p>
            <w:pPr>
              <w:jc w:val="center"/>
              <w:ind w:right="1240"/>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2020" w:type="dxa"/>
            <w:vAlign w:val="bottom"/>
            <w:gridSpan w:val="2"/>
          </w:tcPr>
          <w:p>
            <w:pPr>
              <w:jc w:val="right"/>
              <w:ind w:right="742"/>
              <w:spacing w:after="0"/>
              <w:rPr>
                <w:sz w:val="20"/>
                <w:szCs w:val="20"/>
                <w:color w:val="auto"/>
              </w:rPr>
            </w:pPr>
            <w:r>
              <w:rPr>
                <w:rFonts w:ascii="Times New Roman" w:cs="Times New Roman" w:eastAsia="Times New Roman" w:hAnsi="Times New Roman"/>
                <w:sz w:val="20"/>
                <w:szCs w:val="20"/>
                <w:b w:val="1"/>
                <w:bCs w:val="1"/>
                <w:color w:val="auto"/>
              </w:rPr>
              <w:t>1-11430</w:t>
            </w: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60" w:type="dxa"/>
            <w:vAlign w:val="bottom"/>
          </w:tcPr>
          <w:p>
            <w:pPr>
              <w:jc w:val="center"/>
              <w:ind w:left="62"/>
              <w:spacing w:after="0"/>
              <w:rPr>
                <w:sz w:val="20"/>
                <w:szCs w:val="20"/>
                <w:color w:val="auto"/>
              </w:rPr>
            </w:pPr>
            <w:r>
              <w:rPr>
                <w:rFonts w:ascii="Times New Roman" w:cs="Times New Roman" w:eastAsia="Times New Roman" w:hAnsi="Times New Roman"/>
                <w:sz w:val="20"/>
                <w:szCs w:val="20"/>
                <w:b w:val="1"/>
                <w:bCs w:val="1"/>
                <w:color w:val="auto"/>
                <w:w w:val="97"/>
              </w:rPr>
              <w:t>25-1190717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18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40" w:type="dxa"/>
            <w:vAlign w:val="bottom"/>
            <w:vMerge w:val="restart"/>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380" w:type="dxa"/>
            <w:vAlign w:val="bottom"/>
            <w:vMerge w:val="restart"/>
          </w:tcPr>
          <w:p>
            <w:pPr>
              <w:spacing w:after="0"/>
              <w:rPr>
                <w:sz w:val="3"/>
                <w:szCs w:val="3"/>
                <w:color w:val="auto"/>
              </w:rPr>
            </w:pPr>
          </w:p>
        </w:tc>
        <w:tc>
          <w:tcPr>
            <w:tcW w:w="160" w:type="dxa"/>
            <w:vAlign w:val="bottom"/>
            <w:vMerge w:val="restart"/>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2500" w:type="dxa"/>
            <w:vAlign w:val="bottom"/>
          </w:tcPr>
          <w:p>
            <w:pPr>
              <w:jc w:val="center"/>
              <w:ind w:right="142"/>
              <w:spacing w:after="0" w:line="188" w:lineRule="exact"/>
              <w:rPr>
                <w:sz w:val="20"/>
                <w:szCs w:val="20"/>
                <w:color w:val="auto"/>
              </w:rPr>
            </w:pPr>
            <w:r>
              <w:rPr>
                <w:rFonts w:ascii="Times New Roman" w:cs="Times New Roman" w:eastAsia="Times New Roman" w:hAnsi="Times New Roman"/>
                <w:sz w:val="20"/>
                <w:szCs w:val="20"/>
                <w:color w:val="auto"/>
                <w:w w:val="97"/>
              </w:rPr>
              <w:t>(State or other jurisdiction</w:t>
            </w:r>
          </w:p>
        </w:tc>
        <w:tc>
          <w:tcPr>
            <w:tcW w:w="5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020" w:type="dxa"/>
            <w:vAlign w:val="bottom"/>
            <w:gridSpan w:val="2"/>
          </w:tcPr>
          <w:p>
            <w:pPr>
              <w:jc w:val="center"/>
              <w:ind w:right="462"/>
              <w:spacing w:after="0" w:line="188" w:lineRule="exact"/>
              <w:rPr>
                <w:sz w:val="20"/>
                <w:szCs w:val="20"/>
                <w:color w:val="auto"/>
              </w:rPr>
            </w:pPr>
            <w:r>
              <w:rPr>
                <w:rFonts w:ascii="Times New Roman" w:cs="Times New Roman" w:eastAsia="Times New Roman" w:hAnsi="Times New Roman"/>
                <w:sz w:val="20"/>
                <w:szCs w:val="20"/>
                <w:color w:val="auto"/>
                <w:w w:val="98"/>
              </w:rPr>
              <w:t>(Commission File</w:t>
            </w:r>
          </w:p>
        </w:tc>
        <w:tc>
          <w:tcPr>
            <w:tcW w:w="3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24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20"/>
                <w:szCs w:val="20"/>
                <w:color w:val="auto"/>
                <w:w w:val="98"/>
              </w:rPr>
              <w:t>(IRS Employer</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3560" w:type="dxa"/>
            <w:vAlign w:val="bottom"/>
            <w:gridSpan w:val="3"/>
          </w:tcPr>
          <w:p>
            <w:pPr>
              <w:jc w:val="center"/>
              <w:ind w:right="1240"/>
              <w:spacing w:after="0"/>
              <w:rPr>
                <w:sz w:val="20"/>
                <w:szCs w:val="20"/>
                <w:color w:val="auto"/>
              </w:rPr>
            </w:pPr>
            <w:r>
              <w:rPr>
                <w:rFonts w:ascii="Times New Roman" w:cs="Times New Roman" w:eastAsia="Times New Roman" w:hAnsi="Times New Roman"/>
                <w:sz w:val="20"/>
                <w:szCs w:val="20"/>
                <w:color w:val="auto"/>
                <w:w w:val="96"/>
              </w:rPr>
              <w:t>of incorporation)</w:t>
            </w:r>
          </w:p>
        </w:tc>
        <w:tc>
          <w:tcPr>
            <w:tcW w:w="380" w:type="dxa"/>
            <w:vAlign w:val="bottom"/>
          </w:tcPr>
          <w:p>
            <w:pPr>
              <w:spacing w:after="0"/>
              <w:rPr>
                <w:sz w:val="22"/>
                <w:szCs w:val="22"/>
                <w:color w:val="auto"/>
              </w:rPr>
            </w:pPr>
          </w:p>
        </w:tc>
        <w:tc>
          <w:tcPr>
            <w:tcW w:w="2180" w:type="dxa"/>
            <w:vAlign w:val="bottom"/>
            <w:gridSpan w:val="3"/>
          </w:tcPr>
          <w:p>
            <w:pPr>
              <w:jc w:val="center"/>
              <w:ind w:right="1440"/>
              <w:spacing w:after="0"/>
              <w:rPr>
                <w:sz w:val="20"/>
                <w:szCs w:val="20"/>
                <w:color w:val="auto"/>
              </w:rPr>
            </w:pPr>
            <w:r>
              <w:rPr>
                <w:rFonts w:ascii="Times New Roman" w:cs="Times New Roman" w:eastAsia="Times New Roman" w:hAnsi="Times New Roman"/>
                <w:sz w:val="20"/>
                <w:szCs w:val="20"/>
                <w:color w:val="auto"/>
                <w:w w:val="96"/>
              </w:rPr>
              <w:t>Number)</w:t>
            </w:r>
          </w:p>
        </w:tc>
        <w:tc>
          <w:tcPr>
            <w:tcW w:w="24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8"/>
              </w:rPr>
              <w:t>Identification No.)</w:t>
            </w:r>
          </w:p>
        </w:tc>
        <w:tc>
          <w:tcPr>
            <w:tcW w:w="0" w:type="dxa"/>
            <w:vAlign w:val="bottom"/>
          </w:tcPr>
          <w:p>
            <w:pPr>
              <w:spacing w:after="0"/>
              <w:rPr>
                <w:sz w:val="1"/>
                <w:szCs w:val="1"/>
                <w:color w:val="auto"/>
              </w:rPr>
            </w:pPr>
          </w:p>
        </w:tc>
      </w:tr>
      <w:tr>
        <w:trPr>
          <w:trHeight w:val="431"/>
        </w:trPr>
        <w:tc>
          <w:tcPr>
            <w:tcW w:w="180" w:type="dxa"/>
            <w:vAlign w:val="bottom"/>
          </w:tcPr>
          <w:p>
            <w:pPr>
              <w:spacing w:after="0"/>
              <w:rPr>
                <w:sz w:val="24"/>
                <w:szCs w:val="24"/>
                <w:color w:val="auto"/>
              </w:rPr>
            </w:pPr>
          </w:p>
        </w:tc>
        <w:tc>
          <w:tcPr>
            <w:tcW w:w="35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20"/>
                <w:szCs w:val="20"/>
                <w:b w:val="1"/>
                <w:bCs w:val="1"/>
                <w:color w:val="auto"/>
                <w:w w:val="96"/>
              </w:rPr>
              <w:t>622 Third Avenue, New York, New York</w:t>
            </w:r>
          </w:p>
        </w:tc>
        <w:tc>
          <w:tcPr>
            <w:tcW w:w="38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20"/>
                <w:szCs w:val="20"/>
                <w:b w:val="1"/>
                <w:bCs w:val="1"/>
                <w:color w:val="auto"/>
              </w:rPr>
              <w:t>10017-6707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80" w:type="dxa"/>
            <w:vAlign w:val="bottom"/>
          </w:tcPr>
          <w:p>
            <w:pPr>
              <w:spacing w:after="0"/>
              <w:rPr>
                <w:sz w:val="21"/>
                <w:szCs w:val="21"/>
                <w:color w:val="auto"/>
              </w:rPr>
            </w:pPr>
          </w:p>
        </w:tc>
        <w:tc>
          <w:tcPr>
            <w:tcW w:w="3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tcPr>
          <w:p>
            <w:pPr>
              <w:jc w:val="center"/>
              <w:ind w:right="62"/>
              <w:spacing w:after="0"/>
              <w:rPr>
                <w:sz w:val="20"/>
                <w:szCs w:val="20"/>
                <w:color w:val="auto"/>
              </w:rPr>
            </w:pPr>
            <w:r>
              <w:rPr>
                <w:rFonts w:ascii="Times New Roman" w:cs="Times New Roman" w:eastAsia="Times New Roman" w:hAnsi="Times New Roman"/>
                <w:sz w:val="20"/>
                <w:szCs w:val="20"/>
                <w:color w:val="auto"/>
                <w:w w:val="97"/>
              </w:rPr>
              <w:t>(Zip Code)</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(212) 878-1800</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2635885</wp:posOffset>
            </wp:positionH>
            <wp:positionV relativeFrom="paragraph">
              <wp:posOffset>-143510</wp:posOffset>
            </wp:positionV>
            <wp:extent cx="177673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6730" cy="7620"/>
                    </a:xfrm>
                    <a:prstGeom prst="rect">
                      <a:avLst/>
                    </a:prstGeom>
                    <a:noFill/>
                  </pic:spPr>
                </pic:pic>
              </a:graphicData>
            </a:graphic>
          </wp:anchor>
        </w:drawing>
      </w:r>
    </w:p>
    <w:p>
      <w:pPr>
        <w:spacing w:after="0" w:line="273" w:lineRule="exact"/>
        <w:rPr>
          <w:sz w:val="24"/>
          <w:szCs w:val="24"/>
          <w:color w:val="auto"/>
        </w:rPr>
      </w:pPr>
    </w:p>
    <w:tbl>
      <w:tblPr>
        <w:tblLayout w:type="fixed"/>
        <w:tblInd w:w="600" w:type="dxa"/>
        <w:tblCellMar>
          <w:top w:w="0" w:type="dxa"/>
          <w:left w:w="0" w:type="dxa"/>
          <w:bottom w:w="0" w:type="dxa"/>
          <w:right w:w="0" w:type="dxa"/>
        </w:tblCellMar>
      </w:tblPr>
      <w:tr>
        <w:trPr>
          <w:trHeight w:val="241"/>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Title of each class</w:t>
            </w:r>
          </w:p>
        </w:tc>
        <w:tc>
          <w:tcPr>
            <w:tcW w:w="4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Trading Symbol</w:t>
            </w:r>
          </w:p>
        </w:tc>
        <w:tc>
          <w:tcPr>
            <w:tcW w:w="400" w:type="dxa"/>
            <w:vAlign w:val="bottom"/>
          </w:tcPr>
          <w:p>
            <w:pPr>
              <w:spacing w:after="0"/>
              <w:rPr>
                <w:sz w:val="20"/>
                <w:szCs w:val="20"/>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Name of exchange on which registered</w:t>
            </w:r>
          </w:p>
        </w:tc>
      </w:tr>
      <w:tr>
        <w:trPr>
          <w:trHeight w:val="294"/>
        </w:trPr>
        <w:tc>
          <w:tcPr>
            <w:tcW w:w="3800" w:type="dxa"/>
            <w:vAlign w:val="bottom"/>
            <w:gridSpan w:val="2"/>
          </w:tcPr>
          <w:p>
            <w:pPr>
              <w:jc w:val="center"/>
              <w:ind w:right="460"/>
              <w:spacing w:after="0"/>
              <w:rPr>
                <w:sz w:val="20"/>
                <w:szCs w:val="20"/>
                <w:color w:val="auto"/>
              </w:rPr>
            </w:pPr>
            <w:r>
              <w:rPr>
                <w:rFonts w:ascii="Times New Roman" w:cs="Times New Roman" w:eastAsia="Times New Roman" w:hAnsi="Times New Roman"/>
                <w:sz w:val="19"/>
                <w:szCs w:val="19"/>
                <w:color w:val="auto"/>
                <w:w w:val="98"/>
              </w:rPr>
              <w:t>Common Stock, $0.10 par value</w:t>
            </w:r>
          </w:p>
        </w:tc>
        <w:tc>
          <w:tcPr>
            <w:tcW w:w="2360" w:type="dxa"/>
            <w:vAlign w:val="bottom"/>
            <w:gridSpan w:val="2"/>
          </w:tcPr>
          <w:p>
            <w:pPr>
              <w:jc w:val="center"/>
              <w:ind w:right="380"/>
              <w:spacing w:after="0"/>
              <w:rPr>
                <w:sz w:val="20"/>
                <w:szCs w:val="20"/>
                <w:color w:val="auto"/>
              </w:rPr>
            </w:pPr>
            <w:r>
              <w:rPr>
                <w:rFonts w:ascii="Times New Roman" w:cs="Times New Roman" w:eastAsia="Times New Roman" w:hAnsi="Times New Roman"/>
                <w:sz w:val="19"/>
                <w:szCs w:val="19"/>
                <w:color w:val="auto"/>
                <w:w w:val="99"/>
              </w:rPr>
              <w:t>MTX</w:t>
            </w:r>
          </w:p>
        </w:tc>
        <w:tc>
          <w:tcPr>
            <w:tcW w:w="37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New York Stock Exchange</w:t>
            </w:r>
          </w:p>
        </w:tc>
      </w:tr>
    </w:tbl>
    <w:p>
      <w:pPr>
        <w:spacing w:after="0" w:line="22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160" w:hanging="131"/>
        <w:spacing w:after="0"/>
        <w:tabs>
          <w:tab w:leader="none" w:pos="1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Written communications pursuant to Rule 425 under the Securities Act (17 CFR 230.425)</w:t>
      </w:r>
    </w:p>
    <w:p>
      <w:pPr>
        <w:spacing w:after="0" w:line="208" w:lineRule="exact"/>
        <w:rPr>
          <w:rFonts w:ascii="Times New Roman" w:cs="Times New Roman" w:eastAsia="Times New Roman" w:hAnsi="Times New Roman"/>
          <w:sz w:val="16"/>
          <w:szCs w:val="16"/>
          <w:color w:val="auto"/>
        </w:rPr>
      </w:pPr>
    </w:p>
    <w:p>
      <w:pPr>
        <w:ind w:left="160" w:hanging="131"/>
        <w:spacing w:after="0"/>
        <w:tabs>
          <w:tab w:leader="none" w:pos="1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Soliciting material pursuant to Rule 14a-12 under the Exchange Act (17 CFR 240.14a-12)</w:t>
      </w:r>
    </w:p>
    <w:p>
      <w:pPr>
        <w:spacing w:after="0" w:line="208" w:lineRule="exact"/>
        <w:rPr>
          <w:rFonts w:ascii="Times New Roman" w:cs="Times New Roman" w:eastAsia="Times New Roman" w:hAnsi="Times New Roman"/>
          <w:sz w:val="16"/>
          <w:szCs w:val="16"/>
          <w:color w:val="auto"/>
        </w:rPr>
      </w:pPr>
    </w:p>
    <w:p>
      <w:pPr>
        <w:ind w:left="160" w:hanging="131"/>
        <w:spacing w:after="0"/>
        <w:tabs>
          <w:tab w:leader="none" w:pos="1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Pre-commencement communications pursuant to Rule 14d-2(b) under the Exchange Act (17 CFR 240.14d-2(b))</w:t>
      </w:r>
    </w:p>
    <w:p>
      <w:pPr>
        <w:spacing w:after="0" w:line="209" w:lineRule="exact"/>
        <w:rPr>
          <w:sz w:val="24"/>
          <w:szCs w:val="24"/>
          <w:color w:val="auto"/>
        </w:rPr>
      </w:pPr>
    </w:p>
    <w:p>
      <w:pPr>
        <w:ind w:left="480" w:right="4820" w:hanging="451"/>
        <w:spacing w:after="0" w:line="294" w:lineRule="auto"/>
        <w:tabs>
          <w:tab w:leader="none" w:pos="16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Pre-commencement communications pursuant to Rule 13e-4(c) under the Exchange Act (17 CFR 240.13e-4(c))</w:t>
      </w:r>
    </w:p>
    <w:p>
      <w:pPr>
        <w:spacing w:after="0" w:line="26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w:t>
      </w:r>
    </w:p>
    <w:p>
      <w:pPr>
        <w:spacing w:after="0" w:line="30"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color w:val="auto"/>
        </w:rPr>
        <w:t>CFR §230.405) or Rule 12b-2 of the Securities Exchange Act of 1934 (17 CFR §240.12b-2).</w:t>
      </w:r>
    </w:p>
    <w:p>
      <w:pPr>
        <w:spacing w:after="0" w:line="12"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color w:val="auto"/>
        </w:rPr>
        <w:t>Emerging growth company [ ]</w:t>
      </w:r>
    </w:p>
    <w:p>
      <w:pPr>
        <w:spacing w:after="0" w:line="216" w:lineRule="exact"/>
        <w:rPr>
          <w:sz w:val="24"/>
          <w:szCs w:val="24"/>
          <w:color w:val="auto"/>
        </w:rPr>
      </w:pPr>
    </w:p>
    <w:p>
      <w:pPr>
        <w:ind w:left="960" w:right="960"/>
        <w:spacing w:after="0" w:line="294"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610235</wp:posOffset>
            </wp:positionH>
            <wp:positionV relativeFrom="paragraph">
              <wp:posOffset>254000</wp:posOffset>
            </wp:positionV>
            <wp:extent cx="582041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20410" cy="31115"/>
                    </a:xfrm>
                    <a:prstGeom prst="rect">
                      <a:avLst/>
                    </a:prstGeom>
                    <a:noFill/>
                  </pic:spPr>
                </pic:pic>
              </a:graphicData>
            </a:graphic>
          </wp:anchor>
        </w:drawing>
        <w:drawing>
          <wp:anchor simplePos="0" relativeHeight="251657728" behindDoc="1" locked="0" layoutInCell="0" allowOverlap="1">
            <wp:simplePos x="0" y="0"/>
            <wp:positionH relativeFrom="column">
              <wp:posOffset>610235</wp:posOffset>
            </wp:positionH>
            <wp:positionV relativeFrom="paragraph">
              <wp:posOffset>113665</wp:posOffset>
            </wp:positionV>
            <wp:extent cx="582041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20410"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16" w:lineRule="exact"/>
        <w:rPr>
          <w:sz w:val="24"/>
          <w:szCs w:val="24"/>
          <w:color w:val="auto"/>
        </w:rPr>
      </w:pPr>
    </w:p>
    <w:p>
      <w:pPr>
        <w:jc w:val="both"/>
        <w:ind w:left="1560" w:right="180"/>
        <w:spacing w:after="0" w:line="238" w:lineRule="auto"/>
        <w:rPr>
          <w:sz w:val="20"/>
          <w:szCs w:val="20"/>
          <w:color w:val="auto"/>
        </w:rPr>
      </w:pPr>
      <w:r>
        <w:rPr>
          <w:rFonts w:ascii="Times New Roman" w:cs="Times New Roman" w:eastAsia="Times New Roman" w:hAnsi="Times New Roman"/>
          <w:sz w:val="20"/>
          <w:szCs w:val="20"/>
          <w:color w:val="auto"/>
        </w:rPr>
        <w:t>On June 29, 2026, Minerals Technologies Inc. (“MTI”) issued a press release (the “Press Release”) announcing that, together with certain of its affiliates, it has filed a Plan of Reorganization in the Chapter 11 cases of BMI OldCo Inc. (formerly Barretts Minerals Inc.) and its affiliated debtors pending before the U.S. Bankruptcy Court for the Southern District of Texas. A copy of the Press Release is furnished as Exhibit 99.1 hereto, and is incorporated herein by reference.</w:t>
      </w:r>
    </w:p>
    <w:p>
      <w:pPr>
        <w:spacing w:after="0" w:line="181" w:lineRule="exact"/>
        <w:rPr>
          <w:sz w:val="24"/>
          <w:szCs w:val="24"/>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216" w:lineRule="exact"/>
        <w:rPr>
          <w:sz w:val="24"/>
          <w:szCs w:val="24"/>
          <w:color w:val="auto"/>
        </w:rPr>
      </w:pPr>
    </w:p>
    <w:p>
      <w:pPr>
        <w:ind w:left="2400" w:hanging="848"/>
        <w:spacing w:after="0"/>
        <w:tabs>
          <w:tab w:leader="none" w:pos="24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4" w:lineRule="exact"/>
        <w:rPr>
          <w:sz w:val="24"/>
          <w:szCs w:val="24"/>
          <w:color w:val="auto"/>
        </w:rPr>
      </w:pPr>
    </w:p>
    <w:p>
      <w:pPr>
        <w:ind w:left="2400"/>
        <w:spacing w:after="0"/>
        <w:tabs>
          <w:tab w:leader="none" w:pos="342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color w:val="auto"/>
        </w:rPr>
        <w:t>Press Release dated June 29, 2026</w:t>
      </w:r>
    </w:p>
    <w:p>
      <w:pPr>
        <w:ind w:left="3440" w:hanging="1041"/>
        <w:spacing w:after="0"/>
        <w:tabs>
          <w:tab w:leader="none" w:pos="3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w:t>
      </w:r>
    </w:p>
    <w:p>
      <w:pPr>
        <w:spacing w:after="0" w:line="185" w:lineRule="exact"/>
        <w:rPr>
          <w:rFonts w:ascii="Times New Roman" w:cs="Times New Roman" w:eastAsia="Times New Roman" w:hAnsi="Times New Roman"/>
          <w:sz w:val="20"/>
          <w:szCs w:val="20"/>
          <w:color w:val="auto"/>
        </w:rPr>
      </w:pPr>
    </w:p>
    <w:p>
      <w:pPr>
        <w:ind w:left="49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4"/>
          <w:szCs w:val="24"/>
          <w:color w:val="auto"/>
        </w:rPr>
      </w:pPr>
    </w:p>
    <w:p>
      <w:pPr>
        <w:spacing w:after="0" w:line="237"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060"/>
          </w:cols>
          <w:pgMar w:left="400" w:top="920" w:right="439" w:bottom="0" w:gutter="0" w:footer="0" w:header="0"/>
        </w:sectPr>
      </w:pPr>
    </w:p>
    <w:bookmarkStart w:id="1" w:name="page2"/>
    <w:bookmarkEnd w:id="1"/>
    <w:p>
      <w:pPr>
        <w:ind w:left="4240"/>
        <w:spacing w:after="0"/>
        <w:rPr>
          <w:sz w:val="20"/>
          <w:szCs w:val="20"/>
          <w:color w:val="auto"/>
        </w:rPr>
      </w:pPr>
      <w:r>
        <w:rPr>
          <w:rFonts w:ascii="Times New Roman" w:cs="Times New Roman" w:eastAsia="Times New Roman" w:hAnsi="Times New Roman"/>
          <w:sz w:val="20"/>
          <w:szCs w:val="20"/>
          <w:b w:val="1"/>
          <w:bCs w:val="1"/>
          <w:color w:val="auto"/>
        </w:rPr>
        <w:t>MINERALS TECHNOLOGIES INC.</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(Registrant)</w:t>
      </w:r>
    </w:p>
    <w:p>
      <w:pPr>
        <w:spacing w:after="0" w:line="200" w:lineRule="exact"/>
        <w:rPr>
          <w:sz w:val="20"/>
          <w:szCs w:val="20"/>
          <w:color w:val="auto"/>
        </w:rPr>
      </w:pPr>
    </w:p>
    <w:p>
      <w:pPr>
        <w:spacing w:after="0" w:line="201" w:lineRule="exact"/>
        <w:rPr>
          <w:sz w:val="20"/>
          <w:szCs w:val="20"/>
          <w:color w:val="auto"/>
        </w:rPr>
      </w:pPr>
    </w:p>
    <w:tbl>
      <w:tblPr>
        <w:tblLayout w:type="fixed"/>
        <w:tblInd w:w="42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/s/ Timothy J. Jordan</w:t>
            </w:r>
          </w:p>
        </w:tc>
        <w:tc>
          <w:tcPr>
            <w:tcW w:w="0" w:type="dxa"/>
            <w:vAlign w:val="bottom"/>
          </w:tcPr>
          <w:p>
            <w:pPr>
              <w:spacing w:after="0"/>
              <w:rPr>
                <w:sz w:val="1"/>
                <w:szCs w:val="1"/>
                <w:color w:val="auto"/>
              </w:rPr>
            </w:pPr>
          </w:p>
        </w:tc>
      </w:tr>
      <w:tr>
        <w:trPr>
          <w:trHeight w:val="25"/>
        </w:trPr>
        <w:tc>
          <w:tcPr>
            <w:tcW w:w="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80" w:type="dxa"/>
            <w:vAlign w:val="bottom"/>
            <w:vMerge w:val="continue"/>
          </w:tcPr>
          <w:p>
            <w:pPr>
              <w:spacing w:after="0"/>
              <w:rPr>
                <w:sz w:val="16"/>
                <w:szCs w:val="16"/>
                <w:color w:val="auto"/>
              </w:rPr>
            </w:pPr>
          </w:p>
        </w:tc>
        <w:tc>
          <w:tcPr>
            <w:tcW w:w="3280" w:type="dxa"/>
            <w:vAlign w:val="bottom"/>
          </w:tcPr>
          <w:p>
            <w:pPr>
              <w:spacing w:after="0" w:line="188" w:lineRule="exact"/>
              <w:rPr>
                <w:sz w:val="20"/>
                <w:szCs w:val="20"/>
                <w:color w:val="auto"/>
              </w:rPr>
            </w:pPr>
            <w:r>
              <w:rPr>
                <w:rFonts w:ascii="Times New Roman" w:cs="Times New Roman" w:eastAsia="Times New Roman" w:hAnsi="Times New Roman"/>
                <w:sz w:val="20"/>
                <w:szCs w:val="20"/>
                <w:color w:val="auto"/>
              </w:rPr>
              <w:t>Timothy J. Jordan</w:t>
            </w:r>
          </w:p>
        </w:tc>
        <w:tc>
          <w:tcPr>
            <w:tcW w:w="0" w:type="dxa"/>
            <w:vAlign w:val="bottom"/>
          </w:tcPr>
          <w:p>
            <w:pPr>
              <w:spacing w:after="0"/>
              <w:rPr>
                <w:sz w:val="1"/>
                <w:szCs w:val="1"/>
                <w:color w:val="auto"/>
              </w:rPr>
            </w:pPr>
          </w:p>
        </w:tc>
      </w:tr>
      <w:tr>
        <w:trPr>
          <w:trHeight w:val="221"/>
        </w:trPr>
        <w:tc>
          <w:tcPr>
            <w:tcW w:w="6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Title:</w:t>
            </w:r>
          </w:p>
        </w:tc>
        <w:tc>
          <w:tcPr>
            <w:tcW w:w="328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Vice President, General Counsel,</w:t>
            </w:r>
          </w:p>
        </w:tc>
        <w:tc>
          <w:tcPr>
            <w:tcW w:w="0" w:type="dxa"/>
            <w:vAlign w:val="bottom"/>
          </w:tcPr>
          <w:p>
            <w:pPr>
              <w:spacing w:after="0"/>
              <w:rPr>
                <w:sz w:val="1"/>
                <w:szCs w:val="1"/>
                <w:color w:val="auto"/>
              </w:rPr>
            </w:pPr>
          </w:p>
        </w:tc>
      </w:tr>
      <w:tr>
        <w:trPr>
          <w:trHeight w:val="257"/>
        </w:trPr>
        <w:tc>
          <w:tcPr>
            <w:tcW w:w="680" w:type="dxa"/>
            <w:vAlign w:val="bottom"/>
          </w:tcPr>
          <w:p>
            <w:pPr>
              <w:spacing w:after="0"/>
              <w:rPr>
                <w:sz w:val="22"/>
                <w:szCs w:val="22"/>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20"/>
                <w:szCs w:val="20"/>
                <w:color w:val="auto"/>
              </w:rPr>
              <w:t>Secretary and Chief Compliance Officer</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29, 2026</w:t>
      </w:r>
    </w:p>
    <w:p>
      <w:pPr>
        <w:sectPr>
          <w:pgSz w:w="11900" w:h="16838" w:orient="portrait"/>
          <w:cols w:equalWidth="0" w:num="1">
            <w:col w:w="10039"/>
          </w:cols>
          <w:pgMar w:left="420" w:top="577" w:right="1440" w:bottom="1440" w:gutter="0" w:footer="0" w:header="0"/>
        </w:sectPr>
      </w:pPr>
    </w:p>
    <w:bookmarkStart w:id="2" w:name="page3"/>
    <w:bookmarkEnd w:id="2"/>
    <w:p>
      <w:pPr>
        <w:ind w:left="5580"/>
        <w:spacing w:after="0"/>
        <w:rPr>
          <w:sz w:val="20"/>
          <w:szCs w:val="20"/>
          <w:color w:val="auto"/>
        </w:rPr>
      </w:pPr>
      <w:r>
        <w:rPr>
          <w:rFonts w:ascii="Arial" w:cs="Arial" w:eastAsia="Arial" w:hAnsi="Arial"/>
          <w:sz w:val="33"/>
          <w:szCs w:val="3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-218440</wp:posOffset>
            </wp:positionV>
            <wp:extent cx="2002155" cy="537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2155" cy="53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Minerals Technologies Inc. Files Plan of Reorganization in BMI OldCo Chapter 11 Cases to Comply with Court Deadline</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NEW YORK, Jun. 29, 2026 (GLOBE NEWSWIRE) -- Minerals Technologies Inc. (NYSE: MTX) (“MTI”), a leading, technology-driven specialty minerals company, today announced that, together with certain of its affiliates (the “Non-Debtor Affiliates”), it has filed a Plan of Reorganization (the “Parent Plan”) in the Chapter 11 cases of its subsidiaries BMI OldCo Inc. (formerly Barretts Minerals Inc.) and its affiliated debtors (collectively, the “Debtors”) pending before the U.S. Bankruptcy Court for the Southern District of Texas.</w:t>
      </w:r>
    </w:p>
    <w:p>
      <w:pPr>
        <w:spacing w:after="0" w:line="18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Parent Plan, as described below, would present a viable, efficient, and advantageous resolution of these Chapter 11 cases, providing claimants with significant recoveries while bringing the proceedings to an orderly and expeditious conclusion.</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Importantly, while the Parent Plan is a serious, good faith, and confirmable proposal, today’s filing is a procedural step to satisfy a deadline imposed by the Bankruptcy Court. The broader dispute regarding these cases remains pending before the U.S. District Court for the Southern District of Texas, which on June 22, 2026 adopted the Bankruptcy Court’s recommendation that the District Court determine the threshold issue of whether any talc sold by BMI Oldco contained sufficient quantity and form of asbestos to potentially cause asbestos-related diseases. The District Court proceedings are ongoing.</w:t>
      </w:r>
    </w:p>
    <w:p>
      <w:pPr>
        <w:spacing w:after="0" w:line="18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MTI looks forward to a judicial forum to prove that the lawsuits against BMI OldCo are meritless and that all talc sold by BMI OldCo is and always has been safe.</w:t>
      </w:r>
    </w:p>
    <w:p>
      <w:pPr>
        <w:spacing w:after="0" w:line="1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According to the Bankruptcy Court's recommendation to the District Court, the Chapter 11 process – including the Plan confirmation process – should be abated until the District Court makes a final determination on the central issue of these cases.</w:t>
      </w:r>
    </w:p>
    <w:p>
      <w:pPr>
        <w:spacing w:after="0" w:line="15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“This Plan reflects our continued commitment to a fair and efficient resolution that provides certainty for all stakeholders, including claimants,” said Douglas T. Dietrich, Chairman and Chief Executive Officer of MTI. “We have supported this process from the start and today's filing, in accordance with the Bankruptcy Court's deadline, continues that commitment. Ultimately, the issues at the heart of these cases are before the District Court, and our position has not changed: BMI OldCo’s talc has always been safe.”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Parent Plan filed today would provide for, among other things:</w:t>
      </w:r>
    </w:p>
    <w:p>
      <w:pPr>
        <w:spacing w:after="0" w:line="7" w:lineRule="exact"/>
        <w:rPr>
          <w:sz w:val="20"/>
          <w:szCs w:val="20"/>
          <w:color w:val="auto"/>
        </w:rPr>
      </w:pPr>
    </w:p>
    <w:p>
      <w:pPr>
        <w:ind w:left="580" w:right="120" w:hanging="287"/>
        <w:spacing w:after="0" w:line="227" w:lineRule="auto"/>
        <w:tabs>
          <w:tab w:leader="none" w:pos="5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funding of a Talc Personal Injury Trust with $450 million from the Non-Debtor Affiliates for the payment of current and future talc-related claims;</w:t>
      </w:r>
    </w:p>
    <w:p>
      <w:pPr>
        <w:ind w:left="580" w:right="260" w:hanging="287"/>
        <w:spacing w:after="0" w:line="227" w:lineRule="auto"/>
        <w:tabs>
          <w:tab w:leader="none" w:pos="5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Issuance of a channeling injunction pursuant to section 524(g) of the Bankruptcy Code to address all current and future talc-related claims through the Trust;</w:t>
      </w:r>
    </w:p>
    <w:p>
      <w:pPr>
        <w:ind w:left="580" w:hanging="287"/>
        <w:spacing w:after="0"/>
        <w:tabs>
          <w:tab w:leader="none" w:pos="5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Release of estate claims against the Non-Debtor Affiliates; and</w:t>
      </w:r>
    </w:p>
    <w:p>
      <w:pPr>
        <w:sectPr>
          <w:pgSz w:w="11900" w:h="16838" w:orient="portrait"/>
          <w:cols w:equalWidth="0" w:num="1">
            <w:col w:w="11240"/>
          </w:cols>
          <w:pgMar w:left="320" w:top="105" w:right="339" w:bottom="1440" w:gutter="0" w:footer="0" w:header="0"/>
        </w:sectPr>
      </w:pPr>
    </w:p>
    <w:bookmarkStart w:id="3" w:name="page4"/>
    <w:bookmarkEnd w:id="3"/>
    <w:p>
      <w:pPr>
        <w:ind w:left="580" w:right="460" w:hanging="287"/>
        <w:spacing w:after="0" w:line="262" w:lineRule="auto"/>
        <w:tabs>
          <w:tab w:leader="none" w:pos="5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Non-Debtor Affiliates’ waiver of more than $100 million in claims against the Debtors related to pre-petition and post-petition funding.</w:t>
      </w:r>
    </w:p>
    <w:p>
      <w:pPr>
        <w:spacing w:after="0" w:line="159" w:lineRule="exact"/>
        <w:rPr>
          <w:sz w:val="20"/>
          <w:szCs w:val="20"/>
          <w:color w:val="auto"/>
        </w:rPr>
      </w:pPr>
    </w:p>
    <w:p>
      <w:pPr>
        <w:ind w:right="900"/>
        <w:spacing w:after="0" w:line="264" w:lineRule="auto"/>
        <w:rPr>
          <w:sz w:val="20"/>
          <w:szCs w:val="20"/>
          <w:color w:val="auto"/>
        </w:rPr>
      </w:pPr>
      <w:r>
        <w:rPr>
          <w:rFonts w:ascii="Arial" w:cs="Arial" w:eastAsia="Arial" w:hAnsi="Arial"/>
          <w:sz w:val="18"/>
          <w:szCs w:val="18"/>
          <w:color w:val="auto"/>
        </w:rPr>
        <w:t>Concurrent with the filing of the Parent Plan, MTI will record a charge of $290 million in the second quarter of 2026 to increase the Company’s reserve for estimated costs.</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MTI remains fully committed to achieving a resolution of these cases that provides the best result for creditors as expeditiously as possible and will continue to fund reasonable and necessary administrative expenses of the Debtors’ estates, as it always has.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Minerals Technologies Inc.</w:t>
      </w:r>
    </w:p>
    <w:p>
      <w:pPr>
        <w:spacing w:after="0" w:line="7"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 xml:space="preserve">Minerals Technologies Inc. (NYSE:MTX) is a global, technology-driven specialty minerals company that sources, manufactures, sells, and distributes a wide range of minerals and mineral-based products and services. We utilize our global mineral reserves, combined with our core technologies and applications, to deliver innovative products that are an essential part of everyday life. We serve customers in consumer and industrial markets worldwide, have 4,000 employees in 34 countries, and reported global sales of $2.1 billion in 2025. For further information, visit </w:t>
      </w:r>
      <w:r>
        <w:rPr>
          <w:rFonts w:ascii="Arial" w:cs="Arial" w:eastAsia="Arial" w:hAnsi="Arial"/>
          <w:sz w:val="18"/>
          <w:szCs w:val="18"/>
          <w:color w:val="0563C1"/>
        </w:rPr>
        <w:t>www.mineralstech.com</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36" w:lineRule="auto"/>
        <w:rPr>
          <w:sz w:val="20"/>
          <w:szCs w:val="20"/>
          <w:color w:val="auto"/>
        </w:rPr>
      </w:pPr>
      <w:r>
        <w:rPr>
          <w:rFonts w:ascii="Arial" w:cs="Arial" w:eastAsia="Arial" w:hAnsi="Arial"/>
          <w:sz w:val="18"/>
          <w:szCs w:val="18"/>
          <w:color w:val="auto"/>
        </w:rPr>
        <w:t>Lydia Kopylova</w:t>
      </w:r>
    </w:p>
    <w:p>
      <w:pPr>
        <w:spacing w:after="0"/>
        <w:rPr>
          <w:sz w:val="20"/>
          <w:szCs w:val="20"/>
          <w:color w:val="auto"/>
        </w:rPr>
      </w:pPr>
      <w:r>
        <w:rPr>
          <w:rFonts w:ascii="Arial" w:cs="Arial" w:eastAsia="Arial" w:hAnsi="Arial"/>
          <w:sz w:val="18"/>
          <w:szCs w:val="18"/>
          <w:color w:val="0563C1"/>
        </w:rPr>
        <w:t>lydia.kopylova@mineralstech.com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36" w:lineRule="auto"/>
        <w:rPr>
          <w:sz w:val="20"/>
          <w:szCs w:val="20"/>
          <w:color w:val="auto"/>
        </w:rPr>
      </w:pPr>
      <w:r>
        <w:rPr>
          <w:rFonts w:ascii="Arial" w:cs="Arial" w:eastAsia="Arial" w:hAnsi="Arial"/>
          <w:sz w:val="18"/>
          <w:szCs w:val="18"/>
          <w:color w:val="auto"/>
        </w:rPr>
        <w:t>Stephanie Heise</w:t>
      </w:r>
    </w:p>
    <w:p>
      <w:pPr>
        <w:spacing w:after="0"/>
        <w:rPr>
          <w:sz w:val="20"/>
          <w:szCs w:val="20"/>
          <w:color w:val="auto"/>
        </w:rPr>
      </w:pPr>
      <w:r>
        <w:rPr>
          <w:rFonts w:ascii="Arial" w:cs="Arial" w:eastAsia="Arial" w:hAnsi="Arial"/>
          <w:sz w:val="18"/>
          <w:szCs w:val="18"/>
          <w:color w:val="0563C1"/>
        </w:rPr>
        <w:t>stephanie.heise@mineralstech.com</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220"/>
          </w:cols>
          <w:pgMar w:left="320" w:top="120" w:right="35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decimal"/>
      <w:start w:val="10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2026-06-29T16:43:44Z</dcterms:created>
  <dcterms:modified xsi:type="dcterms:W3CDTF">2026-06-29T16:43:44Z</dcterms:modified>
</cp:coreProperties>
</file>