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610870</wp:posOffset>
            </wp:positionH>
            <wp:positionV relativeFrom="page">
              <wp:posOffset>483235</wp:posOffset>
            </wp:positionV>
            <wp:extent cx="63265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6505" cy="17145"/>
                    </a:xfrm>
                    <a:prstGeom prst="rect">
                      <a:avLst/>
                    </a:prstGeom>
                    <a:noFill/>
                  </pic:spPr>
                </pic:pic>
              </a:graphicData>
            </a:graphic>
          </wp:anchor>
        </w:drawing>
        <w:drawing>
          <wp:anchor simplePos="0" relativeHeight="251657728" behindDoc="1" locked="0" layoutInCell="0" allowOverlap="1">
            <wp:simplePos x="0" y="0"/>
            <wp:positionH relativeFrom="page">
              <wp:posOffset>610870</wp:posOffset>
            </wp:positionH>
            <wp:positionV relativeFrom="page">
              <wp:posOffset>311785</wp:posOffset>
            </wp:positionV>
            <wp:extent cx="63265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6505" cy="34290"/>
                    </a:xfrm>
                    <a:prstGeom prst="rect">
                      <a:avLst/>
                    </a:prstGeom>
                    <a:noFill/>
                  </pic:spPr>
                </pic:pic>
              </a:graphicData>
            </a:graphic>
          </wp:anchor>
        </w:drawing>
        <w:t>UNITED STATES</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April 5, 2026</w:t>
      </w:r>
    </w:p>
    <w:p>
      <w:pPr>
        <w:spacing w:after="0" w:line="22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MINERALS TECHNOLOGIES INC.</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86"/>
        </w:trPr>
        <w:tc>
          <w:tcPr>
            <w:tcW w:w="200" w:type="dxa"/>
            <w:vAlign w:val="bottom"/>
          </w:tcPr>
          <w:p>
            <w:pPr>
              <w:spacing w:after="0"/>
              <w:rPr>
                <w:sz w:val="24"/>
                <w:szCs w:val="24"/>
                <w:color w:val="auto"/>
              </w:rPr>
            </w:pPr>
          </w:p>
        </w:tc>
        <w:tc>
          <w:tcPr>
            <w:tcW w:w="3920" w:type="dxa"/>
            <w:vAlign w:val="bottom"/>
            <w:gridSpan w:val="3"/>
          </w:tcPr>
          <w:p>
            <w:pPr>
              <w:jc w:val="center"/>
              <w:ind w:right="1360"/>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22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b w:val="1"/>
                <w:bCs w:val="1"/>
                <w:color w:val="auto"/>
              </w:rPr>
              <w:t>1-11430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5"/>
              </w:rPr>
              <w:t>25-1190717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580" w:type="dxa"/>
            <w:vAlign w:val="bottom"/>
            <w:vMerge w:val="restart"/>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2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760" w:type="dxa"/>
            <w:vAlign w:val="bottom"/>
          </w:tcPr>
          <w:p>
            <w:pPr>
              <w:jc w:val="center"/>
              <w:ind w:right="152"/>
              <w:spacing w:after="0" w:line="209" w:lineRule="exact"/>
              <w:rPr>
                <w:sz w:val="20"/>
                <w:szCs w:val="20"/>
                <w:color w:val="auto"/>
              </w:rPr>
            </w:pPr>
            <w:r>
              <w:rPr>
                <w:rFonts w:ascii="Times New Roman" w:cs="Times New Roman" w:eastAsia="Times New Roman" w:hAnsi="Times New Roman"/>
                <w:sz w:val="22"/>
                <w:szCs w:val="22"/>
                <w:color w:val="auto"/>
                <w:w w:val="97"/>
              </w:rPr>
              <w:t>(State or other jurisdiction</w:t>
            </w:r>
          </w:p>
        </w:tc>
        <w:tc>
          <w:tcPr>
            <w:tcW w:w="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20" w:type="dxa"/>
            <w:vAlign w:val="bottom"/>
            <w:gridSpan w:val="2"/>
          </w:tcPr>
          <w:p>
            <w:pPr>
              <w:jc w:val="center"/>
              <w:ind w:right="512"/>
              <w:spacing w:after="0" w:line="209" w:lineRule="exact"/>
              <w:rPr>
                <w:sz w:val="20"/>
                <w:szCs w:val="20"/>
                <w:color w:val="auto"/>
              </w:rPr>
            </w:pPr>
            <w:r>
              <w:rPr>
                <w:rFonts w:ascii="Times New Roman" w:cs="Times New Roman" w:eastAsia="Times New Roman" w:hAnsi="Times New Roman"/>
                <w:sz w:val="22"/>
                <w:szCs w:val="22"/>
                <w:color w:val="auto"/>
                <w:w w:val="98"/>
              </w:rPr>
              <w:t>(Commission File</w:t>
            </w:r>
          </w:p>
        </w:tc>
        <w:tc>
          <w:tcPr>
            <w:tcW w:w="42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60" w:type="dxa"/>
            <w:vAlign w:val="bottom"/>
            <w:gridSpan w:val="2"/>
          </w:tcPr>
          <w:p>
            <w:pPr>
              <w:jc w:val="center"/>
              <w:spacing w:after="0" w:line="209" w:lineRule="exact"/>
              <w:rPr>
                <w:sz w:val="20"/>
                <w:szCs w:val="20"/>
                <w:color w:val="auto"/>
              </w:rPr>
            </w:pPr>
            <w:r>
              <w:rPr>
                <w:rFonts w:ascii="Times New Roman" w:cs="Times New Roman" w:eastAsia="Times New Roman" w:hAnsi="Times New Roman"/>
                <w:sz w:val="22"/>
                <w:szCs w:val="22"/>
                <w:color w:val="auto"/>
                <w:w w:val="98"/>
              </w:rPr>
              <w:t>(IRS Employer</w:t>
            </w: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3920" w:type="dxa"/>
            <w:vAlign w:val="bottom"/>
            <w:gridSpan w:val="3"/>
          </w:tcPr>
          <w:p>
            <w:pPr>
              <w:jc w:val="center"/>
              <w:ind w:right="1360"/>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420" w:type="dxa"/>
            <w:vAlign w:val="bottom"/>
          </w:tcPr>
          <w:p>
            <w:pPr>
              <w:spacing w:after="0"/>
              <w:rPr>
                <w:sz w:val="24"/>
                <w:szCs w:val="24"/>
                <w:color w:val="auto"/>
              </w:rPr>
            </w:pPr>
          </w:p>
        </w:tc>
        <w:tc>
          <w:tcPr>
            <w:tcW w:w="2400" w:type="dxa"/>
            <w:vAlign w:val="bottom"/>
            <w:gridSpan w:val="3"/>
          </w:tcPr>
          <w:p>
            <w:pPr>
              <w:jc w:val="center"/>
              <w:ind w:right="1580"/>
              <w:spacing w:after="0"/>
              <w:rPr>
                <w:sz w:val="20"/>
                <w:szCs w:val="20"/>
                <w:color w:val="auto"/>
              </w:rPr>
            </w:pPr>
            <w:r>
              <w:rPr>
                <w:rFonts w:ascii="Times New Roman" w:cs="Times New Roman" w:eastAsia="Times New Roman" w:hAnsi="Times New Roman"/>
                <w:sz w:val="22"/>
                <w:szCs w:val="22"/>
                <w:color w:val="auto"/>
                <w:w w:val="98"/>
              </w:rPr>
              <w:t>Number)</w:t>
            </w: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8"/>
              </w:rPr>
              <w:t>Identification No.)</w:t>
            </w:r>
          </w:p>
        </w:tc>
        <w:tc>
          <w:tcPr>
            <w:tcW w:w="0" w:type="dxa"/>
            <w:vAlign w:val="bottom"/>
          </w:tcPr>
          <w:p>
            <w:pPr>
              <w:spacing w:after="0"/>
              <w:rPr>
                <w:sz w:val="1"/>
                <w:szCs w:val="1"/>
                <w:color w:val="auto"/>
              </w:rPr>
            </w:pPr>
          </w:p>
        </w:tc>
      </w:tr>
      <w:tr>
        <w:trPr>
          <w:trHeight w:val="474"/>
        </w:trPr>
        <w:tc>
          <w:tcPr>
            <w:tcW w:w="200" w:type="dxa"/>
            <w:vAlign w:val="bottom"/>
          </w:tcPr>
          <w:p>
            <w:pPr>
              <w:spacing w:after="0"/>
              <w:rPr>
                <w:sz w:val="24"/>
                <w:szCs w:val="24"/>
                <w:color w:val="auto"/>
              </w:rPr>
            </w:pPr>
          </w:p>
        </w:tc>
        <w:tc>
          <w:tcPr>
            <w:tcW w:w="39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2"/>
                <w:szCs w:val="22"/>
                <w:b w:val="1"/>
                <w:bCs w:val="1"/>
                <w:color w:val="auto"/>
                <w:w w:val="96"/>
              </w:rPr>
              <w:t>622 Third Avenue, New York, New York</w:t>
            </w:r>
          </w:p>
        </w:tc>
        <w:tc>
          <w:tcPr>
            <w:tcW w:w="42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b w:val="1"/>
                <w:bCs w:val="1"/>
                <w:color w:val="auto"/>
              </w:rPr>
              <w:t>10017-6707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3"/>
                <w:szCs w:val="23"/>
                <w:color w:val="auto"/>
              </w:rPr>
            </w:pPr>
          </w:p>
        </w:tc>
        <w:tc>
          <w:tcPr>
            <w:tcW w:w="39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(Address of principal executive offices)</w:t>
            </w: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8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(Zip Code)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(212) 878-1800</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-158115</wp:posOffset>
            </wp:positionV>
            <wp:extent cx="1954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3" w:lineRule="exact"/>
        <w:rPr>
          <w:sz w:val="24"/>
          <w:szCs w:val="24"/>
          <w:color w:val="auto"/>
        </w:rPr>
      </w:pPr>
    </w:p>
    <w:tbl>
      <w:tblPr>
        <w:tblLayout w:type="fixed"/>
        <w:tblInd w:w="180" w:type="dxa"/>
        <w:tblCellMar>
          <w:top w:w="0" w:type="dxa"/>
          <w:left w:w="0" w:type="dxa"/>
          <w:bottom w:w="0" w:type="dxa"/>
          <w:right w:w="0" w:type="dxa"/>
        </w:tblCellMar>
      </w:tblPr>
      <w:tr>
        <w:trPr>
          <w:trHeight w:val="26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Title of each class</w:t>
            </w:r>
          </w:p>
        </w:tc>
        <w:tc>
          <w:tcPr>
            <w:tcW w:w="520" w:type="dxa"/>
            <w:vAlign w:val="bottom"/>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Trading Symbol</w:t>
            </w:r>
          </w:p>
        </w:tc>
        <w:tc>
          <w:tcPr>
            <w:tcW w:w="440" w:type="dxa"/>
            <w:vAlign w:val="bottom"/>
          </w:tcPr>
          <w:p>
            <w:pPr>
              <w:spacing w:after="0"/>
              <w:rPr>
                <w:sz w:val="22"/>
                <w:szCs w:val="22"/>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Name of exchange on which registered</w:t>
            </w:r>
          </w:p>
        </w:tc>
      </w:tr>
      <w:tr>
        <w:trPr>
          <w:trHeight w:val="326"/>
        </w:trPr>
        <w:tc>
          <w:tcPr>
            <w:tcW w:w="4200" w:type="dxa"/>
            <w:vAlign w:val="bottom"/>
            <w:gridSpan w:val="2"/>
          </w:tcPr>
          <w:p>
            <w:pPr>
              <w:jc w:val="center"/>
              <w:ind w:right="520"/>
              <w:spacing w:after="0"/>
              <w:rPr>
                <w:sz w:val="20"/>
                <w:szCs w:val="20"/>
                <w:color w:val="auto"/>
              </w:rPr>
            </w:pPr>
            <w:r>
              <w:rPr>
                <w:rFonts w:ascii="Times New Roman" w:cs="Times New Roman" w:eastAsia="Times New Roman" w:hAnsi="Times New Roman"/>
                <w:sz w:val="21"/>
                <w:szCs w:val="21"/>
                <w:color w:val="auto"/>
                <w:w w:val="98"/>
              </w:rPr>
              <w:t>Common Stock, $0.10 par value</w:t>
            </w:r>
          </w:p>
        </w:tc>
        <w:tc>
          <w:tcPr>
            <w:tcW w:w="2580" w:type="dxa"/>
            <w:vAlign w:val="bottom"/>
            <w:gridSpan w:val="2"/>
          </w:tcPr>
          <w:p>
            <w:pPr>
              <w:jc w:val="center"/>
              <w:ind w:right="440"/>
              <w:spacing w:after="0"/>
              <w:rPr>
                <w:sz w:val="20"/>
                <w:szCs w:val="20"/>
                <w:color w:val="auto"/>
              </w:rPr>
            </w:pPr>
            <w:r>
              <w:rPr>
                <w:rFonts w:ascii="Times New Roman" w:cs="Times New Roman" w:eastAsia="Times New Roman" w:hAnsi="Times New Roman"/>
                <w:sz w:val="21"/>
                <w:szCs w:val="21"/>
                <w:color w:val="auto"/>
                <w:w w:val="98"/>
              </w:rPr>
              <w:t>MTX</w:t>
            </w:r>
          </w:p>
        </w:tc>
        <w:tc>
          <w:tcPr>
            <w:tcW w:w="41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New York Stock Exchange</w:t>
            </w:r>
          </w:p>
        </w:tc>
      </w:tr>
    </w:tbl>
    <w:p>
      <w:pPr>
        <w:spacing w:after="0" w:line="24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ind w:left="460" w:right="4280" w:hanging="452"/>
        <w:spacing w:after="0" w:line="282" w:lineRule="auto"/>
        <w:tabs>
          <w:tab w:leader="none" w:pos="1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9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w:t>
      </w:r>
    </w:p>
    <w:p>
      <w:pPr>
        <w:spacing w:after="0" w:line="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CFR §230.405) or Rule 12b-2 of the Securities Exchange Act of 1934 (17 CFR §240.12b-2).</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34" w:lineRule="exact"/>
        <w:rPr>
          <w:sz w:val="24"/>
          <w:szCs w:val="24"/>
          <w:color w:val="auto"/>
        </w:rPr>
      </w:pPr>
    </w:p>
    <w:p>
      <w:pPr>
        <w:ind w:left="580" w:right="4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wp:posOffset>
            </wp:positionH>
            <wp:positionV relativeFrom="paragraph">
              <wp:posOffset>285750</wp:posOffset>
            </wp:positionV>
            <wp:extent cx="64033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3340" cy="342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131445</wp:posOffset>
            </wp:positionV>
            <wp:extent cx="6403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3340" cy="171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1" w:name="page2"/>
    <w:bookmarkEnd w:id="1"/>
    <w:p>
      <w:pPr>
        <w:ind w:right="360"/>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Principal Officers; Election of Directors; Appointment of Certain Officers; Compensatory Arrangements of Certain Officers.</w:t>
      </w:r>
    </w:p>
    <w:p>
      <w:pPr>
        <w:spacing w:after="0" w:line="181"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On April 5, 2026, Jonathan J. Hastings, Senior Vice President, M&amp;A and Strategy of Minerals Technologies Inc. (the “Company”) notified the Company that he will step down from that position effective April 30, 2026. Mr. Hastings will continue to serve the Company as Corporate Strategy Advisor to the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MINERALS TECHNOLOGIES INC.</w:t>
      </w:r>
    </w:p>
    <w:p>
      <w:pPr>
        <w:spacing w:after="0" w:line="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42" w:lineRule="exact"/>
        <w:rPr>
          <w:sz w:val="20"/>
          <w:szCs w:val="20"/>
          <w:color w:val="auto"/>
        </w:rPr>
      </w:pPr>
    </w:p>
    <w:tbl>
      <w:tblPr>
        <w:tblLayout w:type="fixed"/>
        <w:tblInd w:w="468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 Timothy J. Jordan</w:t>
            </w:r>
          </w:p>
        </w:tc>
        <w:tc>
          <w:tcPr>
            <w:tcW w:w="0" w:type="dxa"/>
            <w:vAlign w:val="bottom"/>
          </w:tcPr>
          <w:p>
            <w:pPr>
              <w:spacing w:after="0"/>
              <w:rPr>
                <w:sz w:val="1"/>
                <w:szCs w:val="1"/>
                <w:color w:val="auto"/>
              </w:rPr>
            </w:pPr>
          </w:p>
        </w:tc>
      </w:tr>
      <w:tr>
        <w:trPr>
          <w:trHeight w:val="27"/>
        </w:trPr>
        <w:tc>
          <w:tcPr>
            <w:tcW w:w="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vMerge w:val="continue"/>
          </w:tcPr>
          <w:p>
            <w:pPr>
              <w:spacing w:after="0"/>
              <w:rPr>
                <w:sz w:val="18"/>
                <w:szCs w:val="18"/>
                <w:color w:val="auto"/>
              </w:rPr>
            </w:pPr>
          </w:p>
        </w:tc>
        <w:tc>
          <w:tcPr>
            <w:tcW w:w="36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Timothy J. Jordan</w:t>
            </w:r>
          </w:p>
        </w:tc>
        <w:tc>
          <w:tcPr>
            <w:tcW w:w="0" w:type="dxa"/>
            <w:vAlign w:val="bottom"/>
          </w:tcPr>
          <w:p>
            <w:pPr>
              <w:spacing w:after="0"/>
              <w:rPr>
                <w:sz w:val="1"/>
                <w:szCs w:val="1"/>
                <w:color w:val="auto"/>
              </w:rPr>
            </w:pPr>
          </w:p>
        </w:tc>
      </w:tr>
      <w:tr>
        <w:trPr>
          <w:trHeight w:val="243"/>
        </w:trPr>
        <w:tc>
          <w:tcPr>
            <w:tcW w:w="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Vice President, General Counsel,</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22"/>
                <w:szCs w:val="22"/>
                <w:color w:val="auto"/>
              </w:rPr>
              <w:t>Secretary and Chief Compliance Officer</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April 9, 2026</w:t>
      </w:r>
    </w:p>
    <w:sectPr>
      <w:pgSz w:w="11900" w:h="16838" w:orient="portrait"/>
      <w:cols w:equalWidth="0" w:num="1">
        <w:col w:w="10980"/>
      </w:cols>
      <w:pgMar w:left="420" w:top="7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2026-04-09T16:01:16Z</dcterms:created>
  <dcterms:modified xsi:type="dcterms:W3CDTF">2026-04-09T16:01:16Z</dcterms:modified>
</cp:coreProperties>
</file>